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ccs-20240331.htm"/>
      <w:bookmarkStart w:id="1" w:name="kscccs20240331"/>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transition period from ________________ to ________________</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CCC INTELLIGENT SOLUTIONS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left"/>
        <w:rPr/>
      </w:pPr>
      <w:r>
        <w:rPr/>
        <w:t> </w:t>
      </w:r>
    </w:p>
    <w:p>
      <w:pPr>
        <w:pStyle w:val="TextBody"/>
        <w:bidi w:val="0"/>
        <w:jc w:val="center"/>
        <w:rPr/>
      </w:pPr>
      <w:r>
        <w:rPr/>
        <w:t> </w:t>
      </w:r>
    </w:p>
    <w:tbl>
      <w:tblPr>
        <w:tblW w:w="5898" w:type="dxa"/>
        <w:jc w:val="left"/>
        <w:tblInd w:w="0" w:type="dxa"/>
        <w:tblLayout w:type="fixed"/>
        <w:tblCellMar>
          <w:top w:w="28" w:type="dxa"/>
          <w:left w:w="28" w:type="dxa"/>
          <w:bottom w:w="28" w:type="dxa"/>
          <w:right w:w="28" w:type="dxa"/>
        </w:tblCellMar>
      </w:tblPr>
      <w:tblGrid>
        <w:gridCol w:w="2956"/>
        <w:gridCol w:w="1261"/>
        <w:gridCol w:w="1681"/>
      </w:tblGrid>
      <w:tr>
        <w:trPr/>
        <w:tc>
          <w:tcPr>
            <w:tcW w:w="29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001-39447</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98-1546280</w:t>
            </w:r>
          </w:p>
        </w:tc>
      </w:tr>
      <w:tr>
        <w:trPr/>
        <w:tc>
          <w:tcPr>
            <w:tcW w:w="295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(State or other jurisdiction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 or organization)</w:t>
            </w:r>
          </w:p>
        </w:tc>
        <w:tc>
          <w:tcPr>
            <w:tcW w:w="12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(Commission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(IRS Employer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jc w:val="left"/>
        <w:rPr/>
      </w:pPr>
      <w:r>
        <w:rPr/>
        <w:t> </w:t>
      </w:r>
    </w:p>
    <w:tbl>
      <w:tblPr>
        <w:tblW w:w="4723" w:type="dxa"/>
        <w:jc w:val="left"/>
        <w:tblInd w:w="0" w:type="dxa"/>
        <w:tblLayout w:type="fixed"/>
        <w:tblCellMar>
          <w:top w:w="28" w:type="dxa"/>
          <w:left w:w="28" w:type="dxa"/>
          <w:bottom w:w="28" w:type="dxa"/>
          <w:right w:w="28" w:type="dxa"/>
        </w:tblCellMar>
      </w:tblPr>
      <w:tblGrid>
        <w:gridCol w:w="3526"/>
        <w:gridCol w:w="146"/>
        <w:gridCol w:w="105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167 N. Green Street, 9th Floor</w:t>
            </w:r>
          </w:p>
          <w:p>
            <w:pPr>
              <w:pStyle w:val="TableContents"/>
              <w:bidi w:val="0"/>
              <w:jc w:val="center"/>
              <w:rPr>
                <w:rFonts w:ascii="Times New Roman" w:hAnsi="Times New Roman"/>
                <w:sz w:val="20"/>
              </w:rPr>
            </w:pPr>
            <w:r>
              <w:rPr>
                <w:rFonts w:ascii="Times New Roman" w:hAnsi="Times New Roman"/>
                <w:b/>
                <w:color w:val="000000"/>
                <w:sz w:val="20"/>
              </w:rPr>
              <w:t>Chicago, Illinois</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60607</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center"/>
        <w:rPr>
          <w:rFonts w:ascii="Times New Roman" w:hAnsi="Times New Roman"/>
          <w:sz w:val="20"/>
        </w:rPr>
      </w:pP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621-8070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CCCS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April 23, 2024, 614,584,238 shares of common stock, $0.0001 par value per share, were issued and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March 31, 2024</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3"/>
        <w:gridCol w:w="9010"/>
        <w:gridCol w:w="572"/>
      </w:tblGrid>
      <w:tr>
        <w:trPr/>
        <w:tc>
          <w:tcPr>
            <w:tcW w:w="623" w:type="dxa"/>
            <w:tcBorders/>
            <w:vAlign w:val="center"/>
          </w:tcPr>
          <w:p>
            <w:pPr>
              <w:pStyle w:val="TableContents"/>
              <w:bidi w:val="0"/>
              <w:spacing w:before="0" w:after="283"/>
              <w:jc w:val="left"/>
              <w:rPr>
                <w:sz w:val="4"/>
                <w:szCs w:val="4"/>
              </w:rPr>
            </w:pPr>
            <w:r>
              <w:rPr>
                <w:sz w:val="4"/>
                <w:szCs w:val="4"/>
              </w:rPr>
            </w:r>
          </w:p>
        </w:tc>
        <w:tc>
          <w:tcPr>
            <w:tcW w:w="901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283"/>
              <w:ind w:left="0" w:right="0" w:firstLine="180"/>
              <w:jc w:val="left"/>
              <w:rPr/>
            </w:pPr>
            <w:r>
              <w:rPr/>
              <w:t> </w:t>
            </w:r>
          </w:p>
        </w:tc>
        <w:tc>
          <w:tcPr>
            <w:tcW w:w="9010" w:type="dxa"/>
            <w:tcBorders/>
            <w:vAlign w:val="center"/>
          </w:tcPr>
          <w:p>
            <w:pPr>
              <w:pStyle w:val="TableContents"/>
              <w:pBdr/>
              <w:bidi w:val="0"/>
              <w:spacing w:before="0" w:after="283"/>
              <w:ind w:left="0" w:right="0" w:hanging="180"/>
              <w:jc w:val="left"/>
              <w:rPr/>
            </w:pPr>
            <w:r>
              <w:rPr/>
              <w:t> </w:t>
            </w:r>
          </w:p>
        </w:tc>
        <w:tc>
          <w:tcPr>
            <w:tcW w:w="572"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633" w:type="dxa"/>
            <w:gridSpan w:val="2"/>
            <w:tcBorders/>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r>
              <w:rPr>
                <w:rFonts w:ascii="Times New Roman" w:hAnsi="Times New Roman"/>
                <w:b/>
                <w:color w:val="000000"/>
                <w:sz w:val="20"/>
              </w:rPr>
              <w:t>`</w:t>
            </w:r>
          </w:p>
        </w:tc>
        <w:tc>
          <w:tcPr>
            <w:tcW w:w="572" w:type="dxa"/>
            <w:tcBorders/>
            <w:vAlign w:val="center"/>
          </w:tcPr>
          <w:p>
            <w:pPr>
              <w:pStyle w:val="TableContents"/>
              <w:bidi w:val="0"/>
              <w:spacing w:before="0" w:after="283"/>
              <w:jc w:val="right"/>
              <w:rPr/>
            </w:pPr>
            <w:r>
              <w:rPr/>
              <w:t> </w:t>
            </w:r>
          </w:p>
        </w:tc>
      </w:tr>
      <w:tr>
        <w:trPr/>
        <w:tc>
          <w:tcPr>
            <w:tcW w:w="623" w:type="dxa"/>
            <w:tcBorders/>
            <w:vAlign w:val="center"/>
          </w:tcPr>
          <w:p>
            <w:pPr>
              <w:pStyle w:val="TableContents"/>
              <w:bidi w:val="0"/>
              <w:spacing w:before="0" w:after="283"/>
              <w:ind w:left="0" w:right="0" w:firstLine="180"/>
              <w:jc w:val="left"/>
              <w:rPr/>
            </w:pPr>
            <w:r>
              <w:rPr/>
              <w:t> </w:t>
            </w:r>
          </w:p>
        </w:tc>
        <w:tc>
          <w:tcPr>
            <w:tcW w:w="9010" w:type="dxa"/>
            <w:tcBorders/>
            <w:vAlign w:val="center"/>
          </w:tcPr>
          <w:p>
            <w:pPr>
              <w:pStyle w:val="TableContents"/>
              <w:pBdr/>
              <w:bidi w:val="0"/>
              <w:spacing w:before="0" w:after="283"/>
              <w:ind w:left="0" w:right="0" w:hanging="180"/>
              <w:jc w:val="left"/>
              <w:rPr/>
            </w:pPr>
            <w:r>
              <w:rPr/>
              <w:t> </w:t>
            </w:r>
          </w:p>
        </w:tc>
        <w:tc>
          <w:tcPr>
            <w:tcW w:w="572" w:type="dxa"/>
            <w:tcBorders/>
            <w:vAlign w:val="center"/>
          </w:tcPr>
          <w:p>
            <w:pPr>
              <w:pStyle w:val="TableContents"/>
              <w:bidi w:val="0"/>
              <w:spacing w:before="0" w:after="283"/>
              <w:jc w:val="right"/>
              <w:rPr/>
            </w:pPr>
            <w:r>
              <w:rPr/>
              <w:t> </w:t>
            </w:r>
          </w:p>
        </w:tc>
      </w:tr>
      <w:tr>
        <w:trPr/>
        <w:tc>
          <w:tcPr>
            <w:tcW w:w="623"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Cautionary Statement Regarding Forward-Looking Statements</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23"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010" w:type="dxa"/>
            <w:tcBorders/>
            <w:vAlign w:val="center"/>
          </w:tcPr>
          <w:p>
            <w:pPr>
              <w:pStyle w:val="TableContents"/>
              <w:bidi w:val="0"/>
              <w:jc w:val="left"/>
              <w:rPr/>
            </w:pPr>
            <w:r>
              <w:rPr/>
              <w:t> </w:t>
            </w:r>
          </w:p>
          <w:p>
            <w:pPr>
              <w:pStyle w:val="TableContents"/>
              <w:bidi w:val="0"/>
              <w:spacing w:before="0" w:after="283"/>
              <w:jc w:val="left"/>
              <w:rPr/>
            </w:pPr>
            <w:hyperlink w:anchor="item_1_consolidated_financial_statements">
              <w:r>
                <w:rPr>
                  <w:rStyle w:val="InternetLink"/>
                  <w:rFonts w:ascii="Times New Roman" w:hAnsi="Times New Roman"/>
                  <w:color w:val="0000FF"/>
                  <w:sz w:val="20"/>
                  <w:u w:val="single"/>
                </w:rPr>
                <w:t>Financial Statements (Unaudited)</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23"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March 31, 2024 (unaudited) and December 31, 2023</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23" w:type="dxa"/>
            <w:tcBorders/>
            <w:vAlign w:val="center"/>
          </w:tcPr>
          <w:p>
            <w:pPr>
              <w:pStyle w:val="TableContents"/>
              <w:bidi w:val="0"/>
              <w:spacing w:before="0" w:after="283"/>
              <w:ind w:left="0" w:right="0" w:firstLine="7"/>
              <w:jc w:val="left"/>
              <w:rPr/>
            </w:pPr>
            <w:r>
              <w:rPr/>
              <w:t> </w:t>
            </w:r>
          </w:p>
        </w:tc>
        <w:tc>
          <w:tcPr>
            <w:tcW w:w="9010" w:type="dxa"/>
            <w:tcBorders/>
            <w:vAlign w:val="center"/>
          </w:tcPr>
          <w:p>
            <w:pPr>
              <w:pStyle w:val="TableContents"/>
              <w:pBdr/>
              <w:bidi w:val="0"/>
              <w:spacing w:before="0" w:after="283"/>
              <w:ind w:left="0" w:right="0" w:hanging="7"/>
              <w:jc w:val="left"/>
              <w:rPr/>
            </w:pPr>
            <w:hyperlink w:anchor="statements_of_operations">
              <w:r>
                <w:rPr>
                  <w:rStyle w:val="InternetLink"/>
                  <w:rFonts w:ascii="Times New Roman" w:hAnsi="Times New Roman"/>
                  <w:color w:val="0000FF"/>
                  <w:sz w:val="20"/>
                  <w:u w:val="single"/>
                </w:rPr>
                <w:t>Unaudited Condensed Consolidated Statements of Operations and Comprehensive (Loss) Income for the three months ended March 31, 2024 and 2023</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623" w:type="dxa"/>
            <w:tcBorders/>
            <w:vAlign w:val="center"/>
          </w:tcPr>
          <w:p>
            <w:pPr>
              <w:pStyle w:val="TableContents"/>
              <w:bidi w:val="0"/>
              <w:spacing w:before="0" w:after="283"/>
              <w:ind w:left="0" w:right="0" w:firstLine="7"/>
              <w:jc w:val="left"/>
              <w:rPr/>
            </w:pPr>
            <w:r>
              <w:rPr/>
              <w:t> </w:t>
            </w:r>
          </w:p>
        </w:tc>
        <w:tc>
          <w:tcPr>
            <w:tcW w:w="9010" w:type="dxa"/>
            <w:tcBorders/>
            <w:vAlign w:val="center"/>
          </w:tcPr>
          <w:p>
            <w:pPr>
              <w:pStyle w:val="TableContents"/>
              <w:pBdr/>
              <w:bidi w:val="0"/>
              <w:spacing w:before="0" w:after="283"/>
              <w:ind w:left="0" w:right="0" w:hanging="7"/>
              <w:jc w:val="left"/>
              <w:rPr/>
            </w:pPr>
            <w:hyperlink w:anchor="stockholders_equity_">
              <w:r>
                <w:rPr>
                  <w:rStyle w:val="InternetLink"/>
                  <w:rFonts w:ascii="Times New Roman" w:hAnsi="Times New Roman"/>
                  <w:color w:val="0000FF"/>
                  <w:sz w:val="20"/>
                  <w:u w:val="single"/>
                </w:rPr>
                <w:t>Unaudited Condensed Consolidated Statements of Mezzanine Equity and Stockholders’ Equity for the three months ended March 31, 2024 and 2023</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623" w:type="dxa"/>
            <w:tcBorders/>
            <w:vAlign w:val="center"/>
          </w:tcPr>
          <w:p>
            <w:pPr>
              <w:pStyle w:val="TableContents"/>
              <w:bidi w:val="0"/>
              <w:spacing w:before="0" w:after="283"/>
              <w:ind w:left="0" w:right="0" w:firstLine="7"/>
              <w:jc w:val="left"/>
              <w:rPr/>
            </w:pPr>
            <w:r>
              <w:rPr/>
              <w:t> </w:t>
            </w:r>
          </w:p>
        </w:tc>
        <w:tc>
          <w:tcPr>
            <w:tcW w:w="9010" w:type="dxa"/>
            <w:tcBorders/>
            <w:vAlign w:val="center"/>
          </w:tcPr>
          <w:p>
            <w:pPr>
              <w:pStyle w:val="TableContents"/>
              <w:pBdr/>
              <w:bidi w:val="0"/>
              <w:spacing w:before="0" w:after="283"/>
              <w:ind w:left="0" w:right="0" w:hanging="7"/>
              <w:jc w:val="left"/>
              <w:rPr/>
            </w:pPr>
            <w:hyperlink w:anchor="statements_of_cash_flows">
              <w:r>
                <w:rPr>
                  <w:rStyle w:val="InternetLink"/>
                  <w:rFonts w:ascii="Times New Roman" w:hAnsi="Times New Roman"/>
                  <w:color w:val="0000FF"/>
                  <w:sz w:val="20"/>
                  <w:u w:val="single"/>
                </w:rPr>
                <w:t>Unaudited Condensed Consolidated Statements of Cash Flows for the three months ended March 31, 2024 and 2023</w:t>
              </w:r>
            </w:hyperlink>
            <w:hyperlink w:anchor="statements_of_cash_flows">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623" w:type="dxa"/>
            <w:tcBorders/>
            <w:vAlign w:val="center"/>
          </w:tcPr>
          <w:p>
            <w:pPr>
              <w:pStyle w:val="TableContents"/>
              <w:bidi w:val="0"/>
              <w:spacing w:before="0" w:after="283"/>
              <w:ind w:left="0" w:right="0" w:firstLine="7"/>
              <w:jc w:val="left"/>
              <w:rPr/>
            </w:pPr>
            <w:r>
              <w:rPr/>
              <w:t> </w:t>
            </w:r>
          </w:p>
        </w:tc>
        <w:tc>
          <w:tcPr>
            <w:tcW w:w="9010" w:type="dxa"/>
            <w:tcBorders/>
            <w:vAlign w:val="center"/>
          </w:tcPr>
          <w:p>
            <w:pPr>
              <w:pStyle w:val="TableContents"/>
              <w:pBdr/>
              <w:bidi w:val="0"/>
              <w:spacing w:before="0" w:after="283"/>
              <w:ind w:left="0" w:right="0" w:hanging="7"/>
              <w:jc w:val="left"/>
              <w:rPr/>
            </w:pPr>
            <w:hyperlink w:anchor="notes_to_condensed_consolidated">
              <w:r>
                <w:rPr>
                  <w:rStyle w:val="InternetLink"/>
                  <w:rFonts w:ascii="Times New Roman" w:hAnsi="Times New Roman"/>
                  <w:color w:val="0000FF"/>
                  <w:sz w:val="20"/>
                  <w:u w:val="single"/>
                </w:rPr>
                <w:t>Notes to Condensed Consolidated Financial Statements</w:t>
              </w:r>
            </w:hyperlink>
            <w:r>
              <w:rPr>
                <w:rFonts w:ascii="Times New Roman" w:hAnsi="Times New Roman"/>
                <w:color w:val="000000"/>
                <w:sz w:val="20"/>
              </w:rPr>
              <w:t xml:space="preserve"> </w:t>
            </w:r>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623" w:type="dxa"/>
            <w:tcBorders/>
            <w:vAlign w:val="center"/>
          </w:tcPr>
          <w:p>
            <w:pPr>
              <w:pStyle w:val="TableContents"/>
              <w:bidi w:val="0"/>
              <w:spacing w:before="0" w:after="283"/>
              <w:ind w:left="0" w:right="0" w:firstLine="7"/>
              <w:jc w:val="left"/>
              <w:rPr>
                <w:rFonts w:ascii="Times New Roman" w:hAnsi="Times New Roman"/>
                <w:color w:val="000000"/>
                <w:sz w:val="20"/>
              </w:rPr>
            </w:pPr>
            <w:r>
              <w:rPr>
                <w:rFonts w:ascii="Times New Roman" w:hAnsi="Times New Roman"/>
                <w:color w:val="000000"/>
                <w:sz w:val="20"/>
              </w:rPr>
              <w:t>Item 2.</w:t>
            </w:r>
          </w:p>
        </w:tc>
        <w:tc>
          <w:tcPr>
            <w:tcW w:w="9010" w:type="dxa"/>
            <w:tcBorders/>
            <w:vAlign w:val="center"/>
          </w:tcPr>
          <w:p>
            <w:pPr>
              <w:pStyle w:val="TableContents"/>
              <w:pBdr/>
              <w:bidi w:val="0"/>
              <w:spacing w:before="0" w:after="283"/>
              <w:ind w:left="0" w:right="0" w:hanging="7"/>
              <w:jc w:val="left"/>
              <w:rPr/>
            </w:pPr>
            <w:hyperlink w:anchor="item_2_managements_discussion_and_anal">
              <w:r>
                <w:rPr>
                  <w:rStyle w:val="InternetLink"/>
                  <w:rFonts w:ascii="Times New Roman" w:hAnsi="Times New Roman"/>
                  <w:color w:val="0000FF"/>
                  <w:sz w:val="20"/>
                  <w:u w:val="single"/>
                </w:rPr>
                <w:t>Management’s Discussion and Analysis of Financial Condition and Results of Operations</w:t>
              </w:r>
            </w:hyperlink>
            <w:hyperlink w:anchor="item_2_managements_discussion_and_anal">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623" w:type="dxa"/>
            <w:tcBorders/>
            <w:vAlign w:val="center"/>
          </w:tcPr>
          <w:p>
            <w:pPr>
              <w:pStyle w:val="TableContents"/>
              <w:bidi w:val="0"/>
              <w:spacing w:before="0" w:after="283"/>
              <w:ind w:left="0" w:right="0" w:firstLine="7"/>
              <w:jc w:val="left"/>
              <w:rPr>
                <w:rFonts w:ascii="Times New Roman" w:hAnsi="Times New Roman"/>
                <w:color w:val="000000"/>
                <w:sz w:val="20"/>
              </w:rPr>
            </w:pPr>
            <w:r>
              <w:rPr>
                <w:rFonts w:ascii="Times New Roman" w:hAnsi="Times New Roman"/>
                <w:color w:val="000000"/>
                <w:sz w:val="20"/>
              </w:rPr>
              <w:t>Item 3.</w:t>
            </w:r>
          </w:p>
        </w:tc>
        <w:tc>
          <w:tcPr>
            <w:tcW w:w="9010" w:type="dxa"/>
            <w:tcBorders/>
            <w:vAlign w:val="center"/>
          </w:tcPr>
          <w:p>
            <w:pPr>
              <w:pStyle w:val="TableContents"/>
              <w:pBdr/>
              <w:bidi w:val="0"/>
              <w:spacing w:before="0" w:after="283"/>
              <w:ind w:left="0" w:right="0" w:hanging="7"/>
              <w:jc w:val="left"/>
              <w:rPr/>
            </w:pPr>
            <w:hyperlink w:anchor="item_3_quantitative_qualitative_disclo">
              <w:r>
                <w:rPr>
                  <w:rStyle w:val="InternetLink"/>
                  <w:rFonts w:ascii="Times New Roman" w:hAnsi="Times New Roman"/>
                  <w:color w:val="0000FF"/>
                  <w:sz w:val="20"/>
                  <w:u w:val="single"/>
                </w:rPr>
                <w:t>Quantitative and Qualitative Disclosures about Market Risk</w:t>
              </w:r>
            </w:hyperlink>
            <w:hyperlink w:anchor="item_3_quantitative_qualitative_disclo">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623" w:type="dxa"/>
            <w:tcBorders/>
            <w:vAlign w:val="center"/>
          </w:tcPr>
          <w:p>
            <w:pPr>
              <w:pStyle w:val="TableContents"/>
              <w:bidi w:val="0"/>
              <w:spacing w:before="0" w:after="283"/>
              <w:ind w:left="0" w:right="0" w:firstLine="7"/>
              <w:jc w:val="left"/>
              <w:rPr>
                <w:rFonts w:ascii="Times New Roman" w:hAnsi="Times New Roman"/>
                <w:color w:val="000000"/>
                <w:sz w:val="20"/>
              </w:rPr>
            </w:pPr>
            <w:r>
              <w:rPr>
                <w:rFonts w:ascii="Times New Roman" w:hAnsi="Times New Roman"/>
                <w:color w:val="000000"/>
                <w:sz w:val="20"/>
              </w:rPr>
              <w:t>Item 4.</w:t>
            </w:r>
          </w:p>
        </w:tc>
        <w:tc>
          <w:tcPr>
            <w:tcW w:w="9010" w:type="dxa"/>
            <w:tcBorders/>
            <w:vAlign w:val="center"/>
          </w:tcPr>
          <w:p>
            <w:pPr>
              <w:pStyle w:val="TableContents"/>
              <w:pBdr/>
              <w:bidi w:val="0"/>
              <w:spacing w:before="0" w:after="283"/>
              <w:ind w:left="0" w:right="0" w:hanging="7"/>
              <w:jc w:val="left"/>
              <w:rPr/>
            </w:pPr>
            <w:hyperlink w:anchor="item_4_controls_and_procedures">
              <w:r>
                <w:rPr>
                  <w:rStyle w:val="InternetLink"/>
                  <w:rFonts w:ascii="Times New Roman" w:hAnsi="Times New Roman"/>
                  <w:color w:val="0000FF"/>
                  <w:sz w:val="20"/>
                  <w:u w:val="single"/>
                </w:rPr>
                <w:t>Controls and Procedures</w:t>
              </w:r>
            </w:hyperlink>
            <w:hyperlink w:anchor="item_4_controls_and_procedures">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623" w:type="dxa"/>
            <w:tcBorders/>
            <w:vAlign w:val="center"/>
          </w:tcPr>
          <w:p>
            <w:pPr>
              <w:pStyle w:val="TableContents"/>
              <w:bidi w:val="0"/>
              <w:spacing w:before="0" w:after="283"/>
              <w:ind w:left="0" w:right="0" w:firstLine="7"/>
              <w:jc w:val="left"/>
              <w:rPr/>
            </w:pPr>
            <w:r>
              <w:rPr/>
              <w:t> </w:t>
            </w:r>
          </w:p>
        </w:tc>
        <w:tc>
          <w:tcPr>
            <w:tcW w:w="9010" w:type="dxa"/>
            <w:tcBorders/>
            <w:vAlign w:val="center"/>
          </w:tcPr>
          <w:p>
            <w:pPr>
              <w:pStyle w:val="TableContents"/>
              <w:pBdr/>
              <w:bidi w:val="0"/>
              <w:spacing w:before="0" w:after="283"/>
              <w:ind w:left="0" w:right="0" w:hanging="7"/>
              <w:jc w:val="left"/>
              <w:rPr/>
            </w:pPr>
            <w:r>
              <w:rPr/>
              <w:t> </w:t>
            </w:r>
          </w:p>
        </w:tc>
        <w:tc>
          <w:tcPr>
            <w:tcW w:w="572" w:type="dxa"/>
            <w:tcBorders/>
            <w:vAlign w:val="center"/>
          </w:tcPr>
          <w:p>
            <w:pPr>
              <w:pStyle w:val="TableContents"/>
              <w:bidi w:val="0"/>
              <w:spacing w:before="0" w:after="283"/>
              <w:jc w:val="right"/>
              <w:rPr/>
            </w:pPr>
            <w:r>
              <w:rPr/>
              <w:t> </w:t>
            </w:r>
          </w:p>
        </w:tc>
      </w:tr>
    </w:tbl>
    <w:p>
      <w:pPr>
        <w:pStyle w:val="TextBody"/>
        <w:bidi w:val="0"/>
        <w:jc w:val="left"/>
        <w:rPr/>
      </w:pPr>
      <w:hyperlink w:anchor="part_ii_other_information">
        <w:r>
          <w:rPr>
            <w:rStyle w:val="InternetLink"/>
            <w:rFonts w:ascii="Times New Roman" w:hAnsi="Times New Roman"/>
            <w:b/>
            <w:color w:val="0000FF"/>
            <w:sz w:val="20"/>
            <w:u w:val="single"/>
          </w:rPr>
          <w:t>PART II. OTHER INFORMATION</w:t>
        </w:r>
      </w:hyperlink>
    </w:p>
    <w:tbl>
      <w:tblPr>
        <w:tblW w:w="8268" w:type="dxa"/>
        <w:jc w:val="left"/>
        <w:tblInd w:w="0" w:type="dxa"/>
        <w:tblLayout w:type="fixed"/>
        <w:tblCellMar>
          <w:top w:w="28" w:type="dxa"/>
          <w:left w:w="28" w:type="dxa"/>
          <w:bottom w:w="28" w:type="dxa"/>
          <w:right w:w="28" w:type="dxa"/>
        </w:tblCellMar>
      </w:tblPr>
      <w:tblGrid>
        <w:gridCol w:w="811"/>
        <w:gridCol w:w="709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70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pPr>
            <w:r>
              <w:rPr/>
              <w:t> </w:t>
            </w:r>
          </w:p>
        </w:tc>
        <w:tc>
          <w:tcPr>
            <w:tcW w:w="709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096"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096"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096" w:type="dxa"/>
            <w:tcBorders/>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 from Registered Securities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096"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096"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096" w:type="dxa"/>
            <w:tcBorders/>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096"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hyperlink w:anchor="item_6_exhibits">
              <w:r>
                <w:rPr>
                  <w:rStyle w:val="InternetLink"/>
                  <w:rFonts w:ascii="Times New Roman" w:hAnsi="Times New Roman"/>
                  <w:color w:val="0000FF"/>
                  <w:sz w:val="20"/>
                </w:rPr>
                <w:t xml:space="preserve"> </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907" w:type="dxa"/>
            <w:gridSpan w:val="2"/>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FORWARD-LOOKING STATEMENTS</w:t>
      </w:r>
    </w:p>
    <w:p>
      <w:pPr>
        <w:pStyle w:val="TextBody"/>
        <w:bidi w:val="0"/>
        <w:spacing w:before="240" w:after="283"/>
        <w:jc w:val="left"/>
        <w:rPr>
          <w:rFonts w:ascii="Times New Roman" w:hAnsi="Times New Roman"/>
          <w:sz w:val="20"/>
        </w:rPr>
      </w:pPr>
      <w:r>
        <w:rPr>
          <w:rFonts w:ascii="Times New Roman" w:hAnsi="Times New Roman"/>
          <w:color w:val="000000"/>
          <w:sz w:val="20"/>
        </w:rPr>
        <w:t>The section titled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as well as other parts of this Quarterly Report on Form 10-Q contain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Important factors that could cause actual results to differ materially from our expectations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the concentration of our customers and the ability to retain our current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with our customers on favorable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grow our brand and reputation cost-effectively;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execution of our growth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public health outbreaks, epidemics or pandemics on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projected financial information, growth rate and market opportunity;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 of our industry, claim volumes, and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insurance and automotive collision industries, including the adoption of new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conditions and 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our market and our ability to retain and grow market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introduce and market new enhanced versions of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implementation cycles;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research and development efforts to create significant new revenue streams;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applicable laws or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international economic, political, social and governmental conditions and policies, including corruption risks in China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data, technology and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customers' or the public's perceptions regarding the use of artificial intelligence ("AI");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keep our data and information systems secure from data security breaches;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acquire or invest in companies or pursue business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financing in the future and improve our capital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retaining or recruiting, or changes required in, our officers, key employees or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or maintain our existing customer base;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service our 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our control) or other assumptions that may cause actual results or performance to be materially different from those expressed 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4" w:name="item_1_consolidated_financial_statements"/>
      <w:bookmarkEnd w:id="4"/>
      <w:r>
        <w:rPr>
          <w:rFonts w:ascii="Times New Roman" w:hAnsi="Times New Roman"/>
          <w:b/>
          <w:color w:val="000000"/>
          <w:sz w:val="20"/>
        </w:rPr>
        <w:t>Item 1. Financial Statements (Unaudited)</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pBdr>
          <w:top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5"/>
        <w:gridCol w:w="146"/>
        <w:gridCol w:w="196"/>
        <w:gridCol w:w="886"/>
        <w:gridCol w:w="166"/>
        <w:gridCol w:w="146"/>
        <w:gridCol w:w="205"/>
        <w:gridCol w:w="932"/>
        <w:gridCol w:w="613"/>
      </w:tblGrid>
      <w:tr>
        <w:trPr/>
        <w:tc>
          <w:tcPr>
            <w:tcW w:w="6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3" w:type="dxa"/>
            <w:tcBorders/>
            <w:shd w:fill="FFFFFF" w:val="clear"/>
            <w:vAlign w:val="center"/>
          </w:tcPr>
          <w:p>
            <w:pPr>
              <w:pStyle w:val="TableContents"/>
              <w:bidi w:val="0"/>
              <w:spacing w:before="0" w:after="283"/>
              <w:jc w:val="center"/>
              <w:rPr/>
            </w:pPr>
            <w:r>
              <w:rPr/>
              <w:t> </w:t>
            </w:r>
          </w:p>
        </w:tc>
      </w:tr>
      <w:tr>
        <w:trPr/>
        <w:tc>
          <w:tcPr>
            <w:tcW w:w="69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195,572</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Accounts receivable—Net of allowances of $4,792</w:t>
            </w:r>
            <w:r>
              <w:rPr>
                <w:rFonts w:ascii="Times New Roman" w:hAnsi="Times New Roman"/>
                <w:color w:val="000000"/>
                <w:sz w:val="20"/>
              </w:rPr>
              <w:t> </w:t>
            </w:r>
            <w:r>
              <w:rPr>
                <w:rFonts w:ascii="Times New Roman" w:hAnsi="Times New Roman"/>
                <w:color w:val="000000"/>
                <w:sz w:val="18"/>
              </w:rPr>
              <w:t>and $5,574</w:t>
            </w:r>
            <w:r>
              <w:rPr>
                <w:rFonts w:ascii="Times New Roman" w:hAnsi="Times New Roman"/>
                <w:color w:val="000000"/>
                <w:sz w:val="20"/>
              </w:rPr>
              <w:t> </w:t>
            </w:r>
            <w:r>
              <w:rPr>
                <w:rFonts w:ascii="Times New Roman" w:hAnsi="Times New Roman"/>
                <w:color w:val="000000"/>
                <w:sz w:val="18"/>
              </w:rPr>
              <w:t>as of March 31, 2024 and</w:t>
              <w:br/>
              <w:t>   December 31, 2023,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102,365</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taxes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32,364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349,999</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 EQUIPMENT, AND PROPERTY—Net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160,416</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30,456</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990,537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1,015,046</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1,417,724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1,417,724</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FINANCING FEES, REVOLVER—Net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22,302</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METHOD INVESTMENT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43,197</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3,023,660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3,051,040</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MEZZANINE EQUITY AND STOCKHOLDERS’ EQUITY</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16,324</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71,478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long-term licensing agreement—Net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3,061</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43,567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152,907</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767,504</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195,365</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LICENSING AGREEMENT—Net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27,692</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50,796</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51,501</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6,414</w:t>
            </w:r>
          </w:p>
        </w:tc>
        <w:tc>
          <w:tcPr>
            <w:tcW w:w="613" w:type="dxa"/>
            <w:tcBorders/>
            <w:shd w:fill="CFF0FC" w:val="clear"/>
            <w:vAlign w:val="center"/>
          </w:tcPr>
          <w:p>
            <w:pPr>
              <w:pStyle w:val="TableContents"/>
              <w:bidi w:val="0"/>
              <w:spacing w:before="0" w:after="283"/>
              <w:ind w:left="0" w:right="0" w:firstLine="400"/>
              <w:jc w:val="left"/>
              <w:rPr/>
            </w:pPr>
            <w:r>
              <w:rPr/>
              <w:t> </w:t>
            </w:r>
          </w:p>
        </w:tc>
      </w:tr>
      <w:tr>
        <w:trPr/>
        <w:tc>
          <w:tcPr>
            <w:tcW w:w="691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1,222,425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1,252,179</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(Notes 18 and 19)</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EQUITY:</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Redeemable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16,584</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Preferred stock—$0.0001</w:t>
            </w:r>
            <w:r>
              <w:rPr>
                <w:rFonts w:ascii="Times New Roman" w:hAnsi="Times New Roman"/>
                <w:color w:val="000000"/>
                <w:sz w:val="20"/>
              </w:rPr>
              <w:t> </w:t>
            </w:r>
            <w:r>
              <w:rPr>
                <w:rFonts w:ascii="Times New Roman" w:hAnsi="Times New Roman"/>
                <w:color w:val="000000"/>
                <w:sz w:val="18"/>
              </w:rPr>
              <w:t>par; 100,000,000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 or outstanding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stock—$0.0001</w:t>
            </w:r>
            <w:r>
              <w:rPr>
                <w:rFonts w:ascii="Times New Roman" w:hAnsi="Times New Roman"/>
                <w:color w:val="000000"/>
                <w:sz w:val="20"/>
              </w:rPr>
              <w:t> </w:t>
            </w:r>
            <w:r>
              <w:rPr>
                <w:rFonts w:ascii="Times New Roman" w:hAnsi="Times New Roman"/>
                <w:color w:val="000000"/>
                <w:sz w:val="18"/>
              </w:rPr>
              <w:t>par; 5,000,000,000</w:t>
            </w:r>
            <w:r>
              <w:rPr>
                <w:rFonts w:ascii="Times New Roman" w:hAnsi="Times New Roman"/>
                <w:color w:val="000000"/>
                <w:sz w:val="20"/>
              </w:rPr>
              <w:t> </w:t>
            </w:r>
            <w:r>
              <w:rPr>
                <w:rFonts w:ascii="Times New Roman" w:hAnsi="Times New Roman"/>
                <w:color w:val="000000"/>
                <w:sz w:val="18"/>
              </w:rPr>
              <w:t>shares authorized; 614,257,735</w:t>
            </w:r>
            <w:r>
              <w:rPr>
                <w:rFonts w:ascii="Times New Roman" w:hAnsi="Times New Roman"/>
                <w:color w:val="000000"/>
                <w:sz w:val="20"/>
              </w:rPr>
              <w:t> </w:t>
            </w:r>
            <w:r>
              <w:rPr>
                <w:rFonts w:ascii="Times New Roman" w:hAnsi="Times New Roman"/>
                <w:color w:val="000000"/>
                <w:sz w:val="18"/>
              </w:rPr>
              <w:t>and</w:t>
              <w:br/>
              <w:t>   603,128,781</w:t>
            </w:r>
            <w:r>
              <w:rPr>
                <w:rFonts w:ascii="Times New Roman" w:hAnsi="Times New Roman"/>
                <w:color w:val="000000"/>
                <w:sz w:val="20"/>
              </w:rPr>
              <w:t> </w:t>
            </w:r>
            <w:r>
              <w:rPr>
                <w:rFonts w:ascii="Times New Roman" w:hAnsi="Times New Roman"/>
                <w:color w:val="000000"/>
                <w:sz w:val="18"/>
              </w:rPr>
              <w:t>shares issued and outstanding as of March 31, 2024 and December 31,</w:t>
              <w:br/>
              <w:t>   2023,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2,911,660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2,909,757</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(1,127,064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(1,126,467</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w:t>
            </w:r>
          </w:p>
        </w:tc>
        <w:tc>
          <w:tcPr>
            <w:tcW w:w="613"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1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1,783,509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1,782,277</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3,023,660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3,051,040</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sz w:val="20"/>
        </w:rPr>
      </w:pPr>
      <w:bookmarkStart w:id="6" w:name="statements_of_operations"/>
      <w:bookmarkEnd w:id="6"/>
      <w:r>
        <w:rPr>
          <w:rFonts w:ascii="Times New Roman" w:hAnsi="Times New Roman"/>
          <w:b/>
          <w:color w:val="000000"/>
          <w:sz w:val="20"/>
        </w:rPr>
        <w:t>CONDENSED CONSOLIDATED STATEMENTS OF OPERATIONS AND COMPREHENSIVE (LOSS)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909" w:type="dxa"/>
        <w:jc w:val="left"/>
        <w:tblInd w:w="0" w:type="dxa"/>
        <w:tblLayout w:type="fixed"/>
        <w:tblCellMar>
          <w:top w:w="28" w:type="dxa"/>
          <w:left w:w="28" w:type="dxa"/>
          <w:bottom w:w="28" w:type="dxa"/>
          <w:right w:w="28" w:type="dxa"/>
        </w:tblCellMar>
      </w:tblPr>
      <w:tblGrid>
        <w:gridCol w:w="6256"/>
        <w:gridCol w:w="146"/>
        <w:gridCol w:w="196"/>
        <w:gridCol w:w="1006"/>
        <w:gridCol w:w="166"/>
        <w:gridCol w:w="146"/>
        <w:gridCol w:w="196"/>
        <w:gridCol w:w="1006"/>
        <w:gridCol w:w="79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791" w:type="dxa"/>
            <w:tcBorders/>
            <w:shd w:fill="FFFFFF" w:val="clear"/>
            <w:vAlign w:val="center"/>
          </w:tcPr>
          <w:p>
            <w:pPr>
              <w:pStyle w:val="TableContents"/>
              <w:bidi w:val="0"/>
              <w:spacing w:before="0" w:after="283"/>
              <w:jc w:val="center"/>
              <w:rPr/>
            </w:pPr>
            <w:r>
              <w:rPr/>
              <w:t> </w:t>
            </w:r>
          </w:p>
        </w:tc>
      </w:tr>
      <w:tr>
        <w:trPr/>
        <w:tc>
          <w:tcPr>
            <w:tcW w:w="6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204,919</w:t>
            </w:r>
          </w:p>
        </w:tc>
        <w:tc>
          <w:tcPr>
            <w:tcW w:w="791" w:type="dxa"/>
            <w:tcBorders/>
            <w:shd w:fill="CFF0FC" w:val="cle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200"/>
              <w:jc w:val="center"/>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Cost of revenues, exclusive of amortization of acquired technologies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50,447</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acquired technologies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5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57,132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147,787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791" w:type="dxa"/>
            <w:tcBorders/>
            <w:shd w:fill="CFF0FC" w:val="clear"/>
            <w:vAlign w:val="center"/>
          </w:tcPr>
          <w:p>
            <w:pPr>
              <w:pStyle w:val="TableContents"/>
              <w:bidi w:val="0"/>
              <w:spacing w:before="0" w:after="283"/>
              <w:ind w:left="0" w:right="0" w:firstLine="200"/>
              <w:jc w:val="center"/>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40,996</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33,531</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41,865</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134,458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13,329</w:t>
            </w:r>
          </w:p>
        </w:tc>
        <w:tc>
          <w:tcPr>
            <w:tcW w:w="791" w:type="dxa"/>
            <w:tcBorders/>
            <w:shd w:fill="CFF0FC" w:val="cle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(13,832</w:t>
            </w:r>
          </w:p>
        </w:tc>
        <w:tc>
          <w:tcPr>
            <w:tcW w:w="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3,259</w:t>
            </w:r>
          </w:p>
        </w:tc>
        <w:tc>
          <w:tcPr>
            <w:tcW w:w="791" w:type="dxa"/>
            <w:tcBorders/>
            <w:shd w:fill="CFF0FC" w:val="cle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w:t>
            </w:r>
          </w:p>
        </w:tc>
        <w:tc>
          <w:tcPr>
            <w:tcW w:w="791" w:type="dxa"/>
            <w:tcBorders/>
            <w:shd w:fill="FFFFFF" w:val="clear"/>
            <w:vAlign w:val="center"/>
          </w:tcPr>
          <w:p>
            <w:pPr>
              <w:pStyle w:val="TableContents"/>
              <w:bidi w:val="0"/>
              <w:spacing w:before="0" w:after="283"/>
              <w:jc w:val="left"/>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PRETAX (LOSS)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w:t>
            </w:r>
          </w:p>
        </w:tc>
        <w:tc>
          <w:tcPr>
            <w:tcW w:w="791" w:type="dxa"/>
            <w:tcBorders/>
            <w:shd w:fill="FFFFFF" w:val="clear"/>
            <w:vAlign w:val="center"/>
          </w:tcPr>
          <w:p>
            <w:pPr>
              <w:pStyle w:val="TableContents"/>
              <w:bidi w:val="0"/>
              <w:spacing w:before="0" w:after="283"/>
              <w:jc w:val="left"/>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INCLUDING NON-CONTROLLING</w:t>
              <w:br/>
              <w:t>   INTEREST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ATTRIBUTABLE TO CCC INTELLIGENT</w:t>
              <w:br/>
              <w:t>   SOLUTIONS HOLDINGS INC. COMMON STOCKHOLDERS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791" w:type="dxa"/>
            <w:tcBorders/>
            <w:shd w:fill="FFFFFF" w:val="clear"/>
            <w:vAlign w:val="center"/>
          </w:tcPr>
          <w:p>
            <w:pPr>
              <w:pStyle w:val="TableContents"/>
              <w:bidi w:val="0"/>
              <w:spacing w:before="0" w:after="283"/>
              <w:jc w:val="left"/>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791" w:type="dxa"/>
            <w:tcBorders/>
            <w:shd w:fill="CFF0FC" w:val="clear"/>
            <w:vAlign w:val="center"/>
          </w:tcPr>
          <w:p>
            <w:pPr>
              <w:pStyle w:val="TableContents"/>
              <w:bidi w:val="0"/>
              <w:spacing w:before="0" w:after="283"/>
              <w:ind w:left="0" w:right="0" w:firstLine="400"/>
              <w:jc w:val="center"/>
              <w:rPr/>
            </w:pPr>
            <w:r>
              <w:rPr/>
              <w:t> </w:t>
            </w:r>
          </w:p>
        </w:tc>
      </w:tr>
      <w:tr>
        <w:trPr/>
        <w:tc>
          <w:tcPr>
            <w:tcW w:w="62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62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791" w:type="dxa"/>
            <w:tcBorders/>
            <w:shd w:fill="CFF0FC" w:val="cle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(loss) income per share</w:t>
              <w:br/>
              <w:t>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400"/>
              <w:jc w:val="center"/>
              <w:rPr/>
            </w:pPr>
            <w:r>
              <w:rPr/>
              <w:t> </w:t>
            </w:r>
          </w:p>
        </w:tc>
      </w:tr>
      <w:tr>
        <w:trPr/>
        <w:tc>
          <w:tcPr>
            <w:tcW w:w="62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598,279,377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616,217,176</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62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598,279,377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646,380,961</w:t>
            </w:r>
          </w:p>
        </w:tc>
        <w:tc>
          <w:tcPr>
            <w:tcW w:w="791" w:type="dxa"/>
            <w:tcBorders/>
            <w:shd w:fill="FFFFFF" w:val="clear"/>
            <w:vAlign w:val="center"/>
          </w:tcPr>
          <w:p>
            <w:pPr>
              <w:pStyle w:val="TableContents"/>
              <w:bidi w:val="0"/>
              <w:spacing w:before="0" w:after="283"/>
              <w:jc w:val="left"/>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INCOME:</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791" w:type="dxa"/>
            <w:tcBorders/>
            <w:shd w:fill="CFF0FC" w:val="clear"/>
            <w:vAlign w:val="center"/>
          </w:tcPr>
          <w:p>
            <w:pPr>
              <w:pStyle w:val="TableContents"/>
              <w:bidi w:val="0"/>
              <w:spacing w:before="0" w:after="283"/>
              <w:ind w:left="0" w:right="0" w:firstLine="200"/>
              <w:jc w:val="center"/>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 income including non-controlling interest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(loss) income—Foreign currency translation</w:t>
              <w:br/>
              <w:t>   adjustment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INCOME INCLUDING</w:t>
              <w:br/>
              <w:t>   NON-CONTROLLING INTEREST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INCOME ATTRIBUTABLE TO CCC</w:t>
              <w:br/>
              <w:t>   INTELLIGENT SOLUTIONS HOLDINGS INC. COMMON STOCKHOLDERS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7" w:name="stockholders_equity_"/>
      <w:bookmarkEnd w:id="7"/>
      <w:r>
        <w:rPr>
          <w:rFonts w:ascii="Times New Roman" w:hAnsi="Times New Roman"/>
          <w:b/>
          <w:color w:val="000000"/>
          <w:sz w:val="20"/>
        </w:rPr>
        <w:t>CONDENSED CONSOLIDATED STATEMENTS OF MEZZANINE EQUITY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number of shares)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3476" w:type="dxa"/>
        <w:jc w:val="left"/>
        <w:tblInd w:w="0" w:type="dxa"/>
        <w:tblLayout w:type="fixed"/>
        <w:tblCellMar>
          <w:top w:w="28" w:type="dxa"/>
          <w:left w:w="28" w:type="dxa"/>
          <w:bottom w:w="28" w:type="dxa"/>
          <w:right w:w="28" w:type="dxa"/>
        </w:tblCellMar>
      </w:tblPr>
      <w:tblGrid>
        <w:gridCol w:w="1416"/>
        <w:gridCol w:w="146"/>
        <w:gridCol w:w="338"/>
        <w:gridCol w:w="1043"/>
        <w:gridCol w:w="146"/>
        <w:gridCol w:w="146"/>
        <w:gridCol w:w="146"/>
        <w:gridCol w:w="370"/>
        <w:gridCol w:w="381"/>
        <w:gridCol w:w="146"/>
        <w:gridCol w:w="146"/>
        <w:gridCol w:w="210"/>
        <w:gridCol w:w="346"/>
        <w:gridCol w:w="146"/>
        <w:gridCol w:w="146"/>
        <w:gridCol w:w="146"/>
        <w:gridCol w:w="1006"/>
        <w:gridCol w:w="146"/>
        <w:gridCol w:w="146"/>
        <w:gridCol w:w="210"/>
        <w:gridCol w:w="346"/>
        <w:gridCol w:w="146"/>
        <w:gridCol w:w="146"/>
        <w:gridCol w:w="196"/>
        <w:gridCol w:w="826"/>
        <w:gridCol w:w="166"/>
        <w:gridCol w:w="146"/>
        <w:gridCol w:w="203"/>
        <w:gridCol w:w="923"/>
        <w:gridCol w:w="166"/>
        <w:gridCol w:w="146"/>
        <w:gridCol w:w="332"/>
        <w:gridCol w:w="974"/>
        <w:gridCol w:w="166"/>
        <w:gridCol w:w="146"/>
        <w:gridCol w:w="213"/>
        <w:gridCol w:w="898"/>
        <w:gridCol w:w="411"/>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2023</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603,128,781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2,909,757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(1,126,467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1,782,277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3,346,599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7,588,048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(52,581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(52,580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translation</w:t>
              <w:br/>
              <w:t>   adjustment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BALANCE—March 31, 2024</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614,257,735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2,911,660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(1,127,064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1,783,509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MEZZANINE EQUITY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number of shares)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3517" w:type="dxa"/>
        <w:jc w:val="left"/>
        <w:tblInd w:w="0" w:type="dxa"/>
        <w:tblLayout w:type="fixed"/>
        <w:tblCellMar>
          <w:top w:w="28" w:type="dxa"/>
          <w:left w:w="28" w:type="dxa"/>
          <w:bottom w:w="28" w:type="dxa"/>
          <w:right w:w="28" w:type="dxa"/>
        </w:tblCellMar>
      </w:tblPr>
      <w:tblGrid>
        <w:gridCol w:w="1311"/>
        <w:gridCol w:w="146"/>
        <w:gridCol w:w="338"/>
        <w:gridCol w:w="1043"/>
        <w:gridCol w:w="146"/>
        <w:gridCol w:w="146"/>
        <w:gridCol w:w="146"/>
        <w:gridCol w:w="146"/>
        <w:gridCol w:w="370"/>
        <w:gridCol w:w="381"/>
        <w:gridCol w:w="146"/>
        <w:gridCol w:w="146"/>
        <w:gridCol w:w="210"/>
        <w:gridCol w:w="346"/>
        <w:gridCol w:w="146"/>
        <w:gridCol w:w="146"/>
        <w:gridCol w:w="146"/>
        <w:gridCol w:w="1006"/>
        <w:gridCol w:w="146"/>
        <w:gridCol w:w="146"/>
        <w:gridCol w:w="210"/>
        <w:gridCol w:w="346"/>
        <w:gridCol w:w="146"/>
        <w:gridCol w:w="146"/>
        <w:gridCol w:w="196"/>
        <w:gridCol w:w="826"/>
        <w:gridCol w:w="166"/>
        <w:gridCol w:w="146"/>
        <w:gridCol w:w="233"/>
        <w:gridCol w:w="893"/>
        <w:gridCol w:w="166"/>
        <w:gridCol w:w="146"/>
        <w:gridCol w:w="404"/>
        <w:gridCol w:w="902"/>
        <w:gridCol w:w="166"/>
        <w:gridCol w:w="146"/>
        <w:gridCol w:w="213"/>
        <w:gridCol w:w="898"/>
        <w:gridCol w:w="411"/>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9"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00"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1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shd w:fill="FFFFFF" w:val="clear"/>
            <w:vAlign w:val="center"/>
          </w:tcPr>
          <w:p>
            <w:pPr>
              <w:pStyle w:val="TableContents"/>
              <w:bidi w:val="0"/>
              <w:spacing w:before="0" w:after="283"/>
              <w:jc w:val="center"/>
              <w:rPr/>
            </w:pPr>
            <w:r>
              <w:rPr/>
              <w:t> </w:t>
            </w:r>
          </w:p>
        </w:tc>
      </w:tr>
      <w:tr>
        <w:trPr/>
        <w:tc>
          <w:tcPr>
            <w:tcW w:w="1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1" w:type="dxa"/>
            <w:tcBorders/>
            <w:shd w:fill="FFFFFF" w:val="clear"/>
            <w:vAlign w:val="center"/>
          </w:tcPr>
          <w:p>
            <w:pPr>
              <w:pStyle w:val="TableContents"/>
              <w:bidi w:val="0"/>
              <w:spacing w:before="0" w:after="283"/>
              <w:jc w:val="center"/>
              <w:rPr/>
            </w:pPr>
            <w:r>
              <w:rPr/>
              <w:t> </w:t>
            </w:r>
          </w:p>
        </w:tc>
      </w:tr>
      <w:tr>
        <w:trPr/>
        <w:tc>
          <w:tcPr>
            <w:tcW w:w="1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shd w:fill="FFFFFF" w:val="clear"/>
            <w:vAlign w:val="center"/>
          </w:tcPr>
          <w:p>
            <w:pPr>
              <w:pStyle w:val="TableContents"/>
              <w:bidi w:val="0"/>
              <w:spacing w:before="0" w:after="283"/>
              <w:jc w:val="center"/>
              <w:rPr/>
            </w:pPr>
            <w:r>
              <w:rPr/>
              <w:t> </w:t>
            </w:r>
          </w:p>
        </w:tc>
      </w:tr>
      <w:tr>
        <w:trPr/>
        <w:tc>
          <w:tcPr>
            <w:tcW w:w="13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2022</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14,179</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622,072,905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2,754,055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(707,946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2,045,287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1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Exercise of stock options—net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3,214,093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1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2,217,379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BALANCE—March 31, 2023</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627,683,715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2,781,104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2,074,555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pBdr>
          <w:top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12"/>
        <w:gridCol w:w="146"/>
        <w:gridCol w:w="219"/>
        <w:gridCol w:w="774"/>
        <w:gridCol w:w="185"/>
        <w:gridCol w:w="162"/>
        <w:gridCol w:w="219"/>
        <w:gridCol w:w="774"/>
        <w:gridCol w:w="1014"/>
      </w:tblGrid>
      <w:tr>
        <w:trPr/>
        <w:tc>
          <w:tcPr>
            <w:tcW w:w="6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67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3"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1014" w:type="dxa"/>
            <w:tcBorders/>
            <w:shd w:fill="FFFFFF" w:val="clear"/>
            <w:vAlign w:val="center"/>
          </w:tcPr>
          <w:p>
            <w:pPr>
              <w:pStyle w:val="TableContents"/>
              <w:bidi w:val="0"/>
              <w:spacing w:before="0" w:after="283"/>
              <w:jc w:val="center"/>
              <w:rPr/>
            </w:pPr>
            <w:r>
              <w:rPr/>
              <w:t> </w:t>
            </w:r>
          </w:p>
        </w:tc>
      </w:tr>
      <w:tr>
        <w:trPr/>
        <w:tc>
          <w:tcPr>
            <w:tcW w:w="67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ind w:left="0" w:right="0" w:firstLine="200"/>
              <w:jc w:val="right"/>
              <w:rPr/>
            </w:pPr>
            <w:r>
              <w:rPr/>
              <w:t> </w:t>
            </w:r>
          </w:p>
        </w:tc>
      </w:tr>
      <w:tr>
        <w:trPr/>
        <w:tc>
          <w:tcPr>
            <w:tcW w:w="67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8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1014" w:type="dxa"/>
            <w:tcBorders/>
            <w:shd w:fill="FFFFFF" w:val="clear"/>
            <w:vAlign w:val="center"/>
          </w:tcPr>
          <w:p>
            <w:pPr>
              <w:pStyle w:val="TableContents"/>
              <w:bidi w:val="0"/>
              <w:spacing w:before="0" w:after="283"/>
              <w:ind w:left="0" w:right="0" w:firstLine="200"/>
              <w:jc w:val="left"/>
              <w:rPr/>
            </w:pPr>
            <w:r>
              <w:rPr/>
              <w:t> </w:t>
            </w:r>
          </w:p>
        </w:tc>
      </w:tr>
      <w:tr>
        <w:trPr/>
        <w:tc>
          <w:tcPr>
            <w:tcW w:w="67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reconcile net (loss)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ind w:left="0" w:right="0" w:firstLine="400"/>
              <w:jc w:val="right"/>
              <w:rPr/>
            </w:pPr>
            <w:r>
              <w:rPr/>
              <w:t> </w:t>
            </w:r>
          </w:p>
        </w:tc>
      </w:tr>
      <w:tr>
        <w:trPr/>
        <w:tc>
          <w:tcPr>
            <w:tcW w:w="67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Depreciation and amortization of software, equipment, and property</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9,442</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9,206</w:t>
            </w:r>
          </w:p>
        </w:tc>
        <w:tc>
          <w:tcPr>
            <w:tcW w:w="1014" w:type="dxa"/>
            <w:tcBorders/>
            <w:shd w:fill="FFFFFF" w:val="clear"/>
            <w:vAlign w:val="center"/>
          </w:tcPr>
          <w:p>
            <w:pPr>
              <w:pStyle w:val="TableContents"/>
              <w:bidi w:val="0"/>
              <w:spacing w:before="0" w:after="283"/>
              <w:ind w:left="0" w:right="0" w:firstLine="400"/>
              <w:jc w:val="left"/>
              <w:rPr/>
            </w:pPr>
            <w:r>
              <w:rPr/>
              <w:t> </w:t>
            </w:r>
          </w:p>
        </w:tc>
      </w:tr>
      <w:tr>
        <w:trPr/>
        <w:tc>
          <w:tcPr>
            <w:tcW w:w="671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24,509</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24,751</w:t>
            </w:r>
          </w:p>
        </w:tc>
        <w:tc>
          <w:tcPr>
            <w:tcW w:w="1014" w:type="dxa"/>
            <w:tcBorders/>
            <w:shd w:fill="CFF0FC" w:val="clear"/>
            <w:vAlign w:val="center"/>
          </w:tcPr>
          <w:p>
            <w:pPr>
              <w:pStyle w:val="TableContents"/>
              <w:bidi w:val="0"/>
              <w:spacing w:before="0" w:after="283"/>
              <w:ind w:left="0" w:right="0" w:firstLine="400"/>
              <w:jc w:val="left"/>
              <w:rPr/>
            </w:pPr>
            <w:r>
              <w:rPr/>
              <w:t> </w:t>
            </w:r>
          </w:p>
        </w:tc>
      </w:tr>
      <w:tr>
        <w:trPr/>
        <w:tc>
          <w:tcPr>
            <w:tcW w:w="67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(12,055</w:t>
            </w:r>
          </w:p>
        </w:tc>
        <w:tc>
          <w:tcPr>
            <w:tcW w:w="18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(6,763</w:t>
            </w:r>
          </w:p>
        </w:tc>
        <w:tc>
          <w:tcPr>
            <w:tcW w:w="1014"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44,971</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29,234</w:t>
            </w:r>
          </w:p>
        </w:tc>
        <w:tc>
          <w:tcPr>
            <w:tcW w:w="1014" w:type="dxa"/>
            <w:tcBorders/>
            <w:shd w:fill="CFF0FC" w:val="clear"/>
            <w:vAlign w:val="center"/>
          </w:tcPr>
          <w:p>
            <w:pPr>
              <w:pStyle w:val="TableContents"/>
              <w:bidi w:val="0"/>
              <w:spacing w:before="0" w:after="283"/>
              <w:ind w:left="0" w:right="0" w:firstLine="400"/>
              <w:jc w:val="left"/>
              <w:rPr/>
            </w:pPr>
            <w:r>
              <w:rPr/>
              <w:t> </w:t>
            </w:r>
          </w:p>
        </w:tc>
      </w:tr>
      <w:tr>
        <w:trPr/>
        <w:tc>
          <w:tcPr>
            <w:tcW w:w="67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deferred financing fees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1014" w:type="dxa"/>
            <w:tcBorders/>
            <w:shd w:fill="FFFFFF" w:val="clear"/>
            <w:vAlign w:val="center"/>
          </w:tcPr>
          <w:p>
            <w:pPr>
              <w:pStyle w:val="TableContents"/>
              <w:bidi w:val="0"/>
              <w:spacing w:before="0" w:after="283"/>
              <w:ind w:left="0" w:right="0" w:firstLine="400"/>
              <w:jc w:val="left"/>
              <w:rPr/>
            </w:pPr>
            <w:r>
              <w:rPr/>
              <w:t> </w:t>
            </w:r>
          </w:p>
        </w:tc>
      </w:tr>
      <w:tr>
        <w:trPr/>
        <w:tc>
          <w:tcPr>
            <w:tcW w:w="671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discount on debt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014" w:type="dxa"/>
            <w:tcBorders/>
            <w:shd w:fill="CFF0FC" w:val="clear"/>
            <w:vAlign w:val="center"/>
          </w:tcPr>
          <w:p>
            <w:pPr>
              <w:pStyle w:val="TableContents"/>
              <w:bidi w:val="0"/>
              <w:spacing w:before="0" w:after="283"/>
              <w:ind w:left="0" w:right="0" w:firstLine="400"/>
              <w:jc w:val="left"/>
              <w:rPr/>
            </w:pPr>
            <w:r>
              <w:rPr/>
              <w:t> </w:t>
            </w:r>
          </w:p>
        </w:tc>
      </w:tr>
      <w:tr>
        <w:trPr/>
        <w:tc>
          <w:tcPr>
            <w:tcW w:w="67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 in fair value of derivative instruments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18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w:t>
            </w:r>
          </w:p>
        </w:tc>
        <w:tc>
          <w:tcPr>
            <w:tcW w:w="1014" w:type="dxa"/>
            <w:tcBorders/>
            <w:shd w:fill="FFFFFF" w:val="clear"/>
            <w:vAlign w:val="center"/>
          </w:tcPr>
          <w:p>
            <w:pPr>
              <w:pStyle w:val="TableContents"/>
              <w:bidi w:val="0"/>
              <w:spacing w:before="0" w:after="283"/>
              <w:ind w:left="0" w:right="0" w:firstLine="400"/>
              <w:jc w:val="left"/>
              <w:rPr/>
            </w:pPr>
            <w:r>
              <w:rPr/>
              <w:t> </w:t>
            </w:r>
          </w:p>
        </w:tc>
      </w:tr>
      <w:tr>
        <w:trPr/>
        <w:tc>
          <w:tcPr>
            <w:tcW w:w="671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w:t>
            </w:r>
          </w:p>
        </w:tc>
        <w:tc>
          <w:tcPr>
            <w:tcW w:w="1014"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color w:val="000000"/>
              </w:rPr>
            </w:pPr>
            <w:r>
              <w:rPr>
                <w:color w:val="000000"/>
              </w:rPr>
              <w:t>—</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w:t>
            </w:r>
          </w:p>
        </w:tc>
        <w:tc>
          <w:tcPr>
            <w:tcW w:w="1014" w:type="dxa"/>
            <w:tcBorders/>
            <w:shd w:fill="FFFFFF" w:val="clear"/>
            <w:vAlign w:val="center"/>
          </w:tcPr>
          <w:p>
            <w:pPr>
              <w:pStyle w:val="TableContents"/>
              <w:bidi w:val="0"/>
              <w:spacing w:before="0" w:after="283"/>
              <w:ind w:left="0" w:right="0" w:firstLine="400"/>
              <w:jc w:val="left"/>
              <w:rPr/>
            </w:pPr>
            <w:r>
              <w:rPr/>
              <w:t> </w:t>
            </w:r>
          </w:p>
        </w:tc>
      </w:tr>
      <w:tr>
        <w:trPr/>
        <w:tc>
          <w:tcPr>
            <w:tcW w:w="671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on disposal of software, equipment and property</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color w:val="000000"/>
              </w:rPr>
            </w:pPr>
            <w:r>
              <w:rPr>
                <w:color w:val="000000"/>
              </w:rPr>
              <w:t>—</w:t>
            </w:r>
          </w:p>
        </w:tc>
        <w:tc>
          <w:tcPr>
            <w:tcW w:w="1014" w:type="dxa"/>
            <w:tcBorders/>
            <w:shd w:fill="CFF0FC" w:val="clear"/>
            <w:vAlign w:val="center"/>
          </w:tcPr>
          <w:p>
            <w:pPr>
              <w:pStyle w:val="TableContents"/>
              <w:bidi w:val="0"/>
              <w:spacing w:before="0" w:after="283"/>
              <w:ind w:left="0" w:right="0" w:firstLine="400"/>
              <w:jc w:val="left"/>
              <w:rPr/>
            </w:pPr>
            <w:r>
              <w:rPr/>
              <w:t> </w:t>
            </w:r>
          </w:p>
        </w:tc>
      </w:tr>
      <w:tr>
        <w:trPr/>
        <w:tc>
          <w:tcPr>
            <w:tcW w:w="67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014" w:type="dxa"/>
            <w:tcBorders/>
            <w:shd w:fill="FFFFFF" w:val="clear"/>
            <w:vAlign w:val="center"/>
          </w:tcPr>
          <w:p>
            <w:pPr>
              <w:pStyle w:val="TableContents"/>
              <w:bidi w:val="0"/>
              <w:spacing w:before="0" w:after="283"/>
              <w:ind w:left="0" w:right="0" w:firstLine="400"/>
              <w:jc w:val="left"/>
              <w:rPr/>
            </w:pPr>
            <w:r>
              <w:rPr/>
              <w:t> </w:t>
            </w:r>
          </w:p>
        </w:tc>
      </w:tr>
      <w:tr>
        <w:trPr/>
        <w:tc>
          <w:tcPr>
            <w:tcW w:w="671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Changes in:</w:t>
            </w:r>
          </w:p>
        </w:tc>
        <w:tc>
          <w:tcPr>
            <w:tcW w:w="146"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ind w:left="0" w:right="0" w:firstLine="600"/>
              <w:jc w:val="right"/>
              <w:rPr/>
            </w:pPr>
            <w:r>
              <w:rPr/>
              <w:t> </w:t>
            </w:r>
          </w:p>
        </w:tc>
      </w:tr>
      <w:tr>
        <w:trPr/>
        <w:tc>
          <w:tcPr>
            <w:tcW w:w="671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receivable—Net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6,084</w:t>
            </w:r>
          </w:p>
        </w:tc>
        <w:tc>
          <w:tcPr>
            <w:tcW w:w="1014" w:type="dxa"/>
            <w:tcBorders/>
            <w:shd w:fill="FFFFFF" w:val="clear"/>
            <w:vAlign w:val="center"/>
          </w:tcPr>
          <w:p>
            <w:pPr>
              <w:pStyle w:val="TableContents"/>
              <w:bidi w:val="0"/>
              <w:spacing w:before="0" w:after="283"/>
              <w:ind w:left="0" w:right="0" w:firstLine="600"/>
              <w:jc w:val="left"/>
              <w:rPr/>
            </w:pPr>
            <w:r>
              <w:rPr/>
              <w:t> </w:t>
            </w:r>
          </w:p>
        </w:tc>
      </w:tr>
      <w:tr>
        <w:trPr/>
        <w:tc>
          <w:tcPr>
            <w:tcW w:w="671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w:t>
            </w:r>
          </w:p>
        </w:tc>
        <w:tc>
          <w:tcPr>
            <w:tcW w:w="18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w:t>
            </w:r>
          </w:p>
        </w:tc>
        <w:tc>
          <w:tcPr>
            <w:tcW w:w="1014"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w:t>
            </w:r>
          </w:p>
        </w:tc>
        <w:tc>
          <w:tcPr>
            <w:tcW w:w="1014" w:type="dxa"/>
            <w:tcBorders/>
            <w:shd w:fill="FFFFFF" w:val="clear"/>
            <w:vAlign w:val="center"/>
          </w:tcPr>
          <w:p>
            <w:pPr>
              <w:pStyle w:val="TableContents"/>
              <w:bidi w:val="0"/>
              <w:spacing w:before="0" w:after="283"/>
              <w:ind w:left="0" w:right="0" w:firstLine="600"/>
              <w:jc w:val="left"/>
              <w:rPr/>
            </w:pPr>
            <w:r>
              <w:rPr/>
              <w:t> </w:t>
            </w:r>
          </w:p>
        </w:tc>
      </w:tr>
      <w:tr>
        <w:trPr/>
        <w:tc>
          <w:tcPr>
            <w:tcW w:w="671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Deferred contract costs—Non-current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014"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(8,519</w:t>
            </w:r>
          </w:p>
        </w:tc>
        <w:tc>
          <w:tcPr>
            <w:tcW w:w="1014"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w:t>
            </w:r>
          </w:p>
        </w:tc>
        <w:tc>
          <w:tcPr>
            <w:tcW w:w="18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1014"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7,235</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5,778</w:t>
            </w:r>
          </w:p>
        </w:tc>
        <w:tc>
          <w:tcPr>
            <w:tcW w:w="1014" w:type="dxa"/>
            <w:tcBorders/>
            <w:shd w:fill="FFFFFF" w:val="clear"/>
            <w:vAlign w:val="center"/>
          </w:tcPr>
          <w:p>
            <w:pPr>
              <w:pStyle w:val="TableContents"/>
              <w:bidi w:val="0"/>
              <w:spacing w:before="0" w:after="283"/>
              <w:ind w:left="0" w:right="0" w:firstLine="600"/>
              <w:jc w:val="left"/>
              <w:rPr/>
            </w:pPr>
            <w:r>
              <w:rPr/>
              <w:t> </w:t>
            </w:r>
          </w:p>
        </w:tc>
      </w:tr>
      <w:tr>
        <w:trPr/>
        <w:tc>
          <w:tcPr>
            <w:tcW w:w="671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7,395</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(11,897</w:t>
            </w:r>
          </w:p>
        </w:tc>
        <w:tc>
          <w:tcPr>
            <w:tcW w:w="1014"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(31,153</w:t>
            </w:r>
          </w:p>
        </w:tc>
        <w:tc>
          <w:tcPr>
            <w:tcW w:w="18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(25,690</w:t>
            </w:r>
          </w:p>
        </w:tc>
        <w:tc>
          <w:tcPr>
            <w:tcW w:w="1014"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014" w:type="dxa"/>
            <w:tcBorders/>
            <w:shd w:fill="CFF0FC" w:val="clear"/>
            <w:vAlign w:val="center"/>
          </w:tcPr>
          <w:p>
            <w:pPr>
              <w:pStyle w:val="TableContents"/>
              <w:bidi w:val="0"/>
              <w:spacing w:before="0" w:after="283"/>
              <w:ind w:left="0" w:right="0" w:firstLine="600"/>
              <w:jc w:val="left"/>
              <w:rPr/>
            </w:pPr>
            <w:r>
              <w:rPr/>
              <w:t> </w:t>
            </w:r>
          </w:p>
        </w:tc>
      </w:tr>
      <w:tr>
        <w:trPr/>
        <w:tc>
          <w:tcPr>
            <w:tcW w:w="671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5,033</w:t>
            </w:r>
          </w:p>
        </w:tc>
        <w:tc>
          <w:tcPr>
            <w:tcW w:w="1014" w:type="dxa"/>
            <w:tcBorders/>
            <w:shd w:fill="FFFFFF" w:val="clear"/>
            <w:vAlign w:val="center"/>
          </w:tcPr>
          <w:p>
            <w:pPr>
              <w:pStyle w:val="TableContents"/>
              <w:bidi w:val="0"/>
              <w:spacing w:before="0" w:after="283"/>
              <w:ind w:left="0" w:right="0" w:firstLine="600"/>
              <w:jc w:val="left"/>
              <w:rPr/>
            </w:pPr>
            <w:r>
              <w:rPr/>
              <w:t> </w:t>
            </w:r>
          </w:p>
        </w:tc>
      </w:tr>
      <w:tr>
        <w:trPr/>
        <w:tc>
          <w:tcPr>
            <w:tcW w:w="671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33,078</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ind w:left="0" w:right="0" w:firstLine="200"/>
              <w:jc w:val="right"/>
              <w:rPr/>
            </w:pPr>
            <w:r>
              <w:rPr/>
              <w:t> </w:t>
            </w:r>
          </w:p>
        </w:tc>
      </w:tr>
      <w:tr>
        <w:trPr/>
        <w:tc>
          <w:tcPr>
            <w:tcW w:w="67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software, equipment, and property</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(14,534</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(15,663</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(14,534</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93" w:type="dxa"/>
            <w:gridSpan w:val="2"/>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993" w:type="dxa"/>
            <w:gridSpan w:val="2"/>
            <w:tcBorders/>
            <w:shd w:fill="FFFFFF" w:val="clear"/>
            <w:vAlign w:val="center"/>
          </w:tcPr>
          <w:p>
            <w:pPr>
              <w:pStyle w:val="TableContents"/>
              <w:bidi w:val="0"/>
              <w:spacing w:before="0" w:after="283"/>
              <w:jc w:val="right"/>
              <w:rPr/>
            </w:pPr>
            <w:r>
              <w:rPr/>
              <w:t> </w:t>
            </w:r>
          </w:p>
        </w:tc>
        <w:tc>
          <w:tcPr>
            <w:tcW w:w="1014" w:type="dxa"/>
            <w:tcBorders/>
            <w:shd w:fill="FFFFFF" w:val="clear"/>
            <w:vAlign w:val="center"/>
          </w:tcPr>
          <w:p>
            <w:pPr>
              <w:pStyle w:val="TableContents"/>
              <w:bidi w:val="0"/>
              <w:spacing w:before="0" w:after="283"/>
              <w:ind w:left="0" w:right="0" w:firstLine="200"/>
              <w:jc w:val="right"/>
              <w:rPr/>
            </w:pPr>
            <w:r>
              <w:rPr/>
              <w:t> </w:t>
            </w:r>
          </w:p>
        </w:tc>
      </w:tr>
      <w:tr>
        <w:trPr/>
        <w:tc>
          <w:tcPr>
            <w:tcW w:w="67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8,901</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8,109</w:t>
            </w:r>
          </w:p>
        </w:tc>
        <w:tc>
          <w:tcPr>
            <w:tcW w:w="1014" w:type="dxa"/>
            <w:tcBorders/>
            <w:shd w:fill="CFF0FC" w:val="clear"/>
            <w:vAlign w:val="center"/>
          </w:tcPr>
          <w:p>
            <w:pPr>
              <w:pStyle w:val="TableContents"/>
              <w:bidi w:val="0"/>
              <w:spacing w:before="0" w:after="283"/>
              <w:ind w:left="0" w:right="0" w:firstLine="200"/>
              <w:jc w:val="left"/>
              <w:rPr/>
            </w:pPr>
            <w:r>
              <w:rPr/>
              <w:t> </w:t>
            </w:r>
          </w:p>
        </w:tc>
      </w:tr>
      <w:tr>
        <w:trPr/>
        <w:tc>
          <w:tcPr>
            <w:tcW w:w="67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employee stock purchase plan</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1014" w:type="dxa"/>
            <w:tcBorders/>
            <w:shd w:fill="FFFFFF" w:val="clear"/>
            <w:vAlign w:val="center"/>
          </w:tcPr>
          <w:p>
            <w:pPr>
              <w:pStyle w:val="TableContents"/>
              <w:bidi w:val="0"/>
              <w:spacing w:before="0" w:after="283"/>
              <w:ind w:left="0" w:right="0" w:firstLine="200"/>
              <w:jc w:val="left"/>
              <w:rPr/>
            </w:pPr>
            <w:r>
              <w:rPr/>
              <w:t> </w:t>
            </w:r>
          </w:p>
        </w:tc>
      </w:tr>
      <w:tr>
        <w:trPr/>
        <w:tc>
          <w:tcPr>
            <w:tcW w:w="67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for employee taxes withheld upon vesting of equity awards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(52,581</w:t>
            </w:r>
          </w:p>
        </w:tc>
        <w:tc>
          <w:tcPr>
            <w:tcW w:w="18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(11,449</w:t>
            </w:r>
          </w:p>
        </w:tc>
        <w:tc>
          <w:tcPr>
            <w:tcW w:w="1014"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Principal payments on long-term debt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(43,847</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(4,014</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EFFECT OF EXCHANGE RATE CHANGES ON CASH AND CASH EQUIVALENTS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AND CASH EQUIVALENTS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(4,384</w:t>
            </w:r>
          </w:p>
        </w:tc>
        <w:tc>
          <w:tcPr>
            <w:tcW w:w="18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14,566</w:t>
            </w:r>
          </w:p>
        </w:tc>
        <w:tc>
          <w:tcPr>
            <w:tcW w:w="1014" w:type="dxa"/>
            <w:tcBorders/>
            <w:shd w:fill="CFF0FC" w:val="clear"/>
            <w:vAlign w:val="center"/>
          </w:tcPr>
          <w:p>
            <w:pPr>
              <w:pStyle w:val="TableContents"/>
              <w:bidi w:val="0"/>
              <w:spacing w:before="0" w:after="283"/>
              <w:jc w:val="left"/>
              <w:rPr/>
            </w:pPr>
            <w:r>
              <w:rPr/>
              <w:t> </w:t>
            </w:r>
          </w:p>
        </w:tc>
      </w:tr>
      <w:tr>
        <w:trPr/>
        <w:tc>
          <w:tcPr>
            <w:tcW w:w="67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993" w:type="dxa"/>
            <w:gridSpan w:val="2"/>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993" w:type="dxa"/>
            <w:gridSpan w:val="2"/>
            <w:tcBorders/>
            <w:shd w:fill="FFFFFF" w:val="clear"/>
            <w:vAlign w:val="center"/>
          </w:tcPr>
          <w:p>
            <w:pPr>
              <w:pStyle w:val="TableContents"/>
              <w:bidi w:val="0"/>
              <w:spacing w:before="0" w:after="283"/>
              <w:jc w:val="right"/>
              <w:rPr/>
            </w:pPr>
            <w:r>
              <w:rPr/>
              <w:t> </w:t>
            </w:r>
          </w:p>
        </w:tc>
        <w:tc>
          <w:tcPr>
            <w:tcW w:w="1014" w:type="dxa"/>
            <w:tcBorders/>
            <w:shd w:fill="FFFFFF" w:val="clear"/>
            <w:vAlign w:val="center"/>
          </w:tcPr>
          <w:p>
            <w:pPr>
              <w:pStyle w:val="TableContents"/>
              <w:bidi w:val="0"/>
              <w:spacing w:before="0" w:after="283"/>
              <w:ind w:left="0" w:right="0" w:firstLine="200"/>
              <w:jc w:val="right"/>
              <w:rPr/>
            </w:pPr>
            <w:r>
              <w:rPr/>
              <w:t> </w:t>
            </w:r>
          </w:p>
        </w:tc>
      </w:tr>
      <w:tr>
        <w:trPr/>
        <w:tc>
          <w:tcPr>
            <w:tcW w:w="67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Beginning of period</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195,572</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323,788</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End of period</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191,188</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338,354</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ind w:left="0" w:right="0" w:firstLine="200"/>
              <w:jc w:val="right"/>
              <w:rPr/>
            </w:pPr>
            <w:r>
              <w:rPr/>
              <w:t> </w:t>
            </w:r>
          </w:p>
        </w:tc>
      </w:tr>
      <w:tr>
        <w:trPr/>
        <w:tc>
          <w:tcPr>
            <w:tcW w:w="67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purchases of software, equipment, and property</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DISCLOSURES OF CASH FLOW INFORMATION:</w:t>
            </w:r>
          </w:p>
        </w:tc>
        <w:tc>
          <w:tcPr>
            <w:tcW w:w="146"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ind w:left="0" w:right="0" w:firstLine="200"/>
              <w:jc w:val="right"/>
              <w:rPr/>
            </w:pPr>
            <w:r>
              <w:rPr/>
              <w:t> </w:t>
            </w:r>
          </w:p>
        </w:tc>
      </w:tr>
      <w:tr>
        <w:trPr/>
        <w:tc>
          <w:tcPr>
            <w:tcW w:w="67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15,908</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13,446</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income taxes—Net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9" w:name="notes_to_condensed_consolidated"/>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1.</w:t>
      </w:r>
    </w:p>
    <w:p>
      <w:pPr>
        <w:pStyle w:val="TextBody"/>
        <w:bidi w:val="0"/>
        <w:spacing w:before="240" w:after="283"/>
        <w:jc w:val="left"/>
        <w:rPr>
          <w:rFonts w:ascii="Times New Roman" w:hAnsi="Times New Roman"/>
          <w:sz w:val="20"/>
        </w:rPr>
      </w:pPr>
      <w:r>
        <w:rPr>
          <w:rFonts w:ascii="Times New Roman" w:hAnsi="Times New Roman"/>
          <w:b/>
          <w:caps/>
          <w:color w:val="000000"/>
          <w:sz w:val="20"/>
        </w:rPr>
        <w:t>ORGANIZATION AND nature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CCC Intelligent Solutions Holdings Inc. (the "Company"), a Delaware corporation, is a leading software as a service ("SaaS") platform for the multi-trillion-dollar property and casualty ("P&amp;C") insurance economy, powering operations for insurers, repairers, automakers, parts suppliers, lenders and more. CCC's cloud technology connects businesses digitizing mission-critical workflows, commerce and customer experiences.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cloud-based SaaS platform connects trading partners, facilitates commerce and supports mission-critical artificial intelligence ("AI") enabled digital workflows.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headquartered in Chicago, Illinois. The Company’s primary operations are in the United States ("US") and it also has operations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originally incorporated as a Cayman Islands exempted company on July 3, 2020 as a special purpose acquisition company under the name Dragoneer Growth Opportunities Corp ("Dragoneer"). On February 2, 2021, Cypress Holdings Inc. ("CCCIS"), a Delaware corporation, entered into a Business Combination Agreement (the "Business Combination Agreement") with Dragoneer. In connection with the closing of the business combination ("Business Combination"), Dragoneer changed its jurisdiction of incorporation by deregistering as an exempted company in the Cayman Islands and continuing and domesticating as a Delaware corporation on July 30, 2021, upon which Dragoneer changed its name to CCC Intelligent Solutions Holdings Inc.</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w:t>
      </w:r>
    </w:p>
    <w:p>
      <w:pPr>
        <w:pStyle w:val="TextBody"/>
        <w:bidi w:val="0"/>
        <w:spacing w:before="360" w:after="283"/>
        <w:jc w:val="left"/>
        <w:rPr>
          <w:rFonts w:ascii="Times New Roman" w:hAnsi="Times New Roman"/>
          <w:sz w:val="20"/>
        </w:rPr>
      </w:pPr>
      <w:r>
        <w:rPr>
          <w:rFonts w:ascii="Times New Roman" w:hAnsi="Times New Roman"/>
          <w:b/>
          <w:caps/>
          <w:color w:val="000000"/>
          <w:sz w:val="20"/>
        </w:rPr>
        <w:t>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—The condensed consolidated balance sheets as of March 31, 2024 and December 31, 2023, the condensed consolidated statements of operations and comprehensive (loss) income for the three months ended March 31, 2024 and 2023, the condensed consolidated statements of mezzanine equity and stockholders’ equity for the three months ended March 31, 2024 and 2023, and the condensed consolidated statements of cash flows for the three months ended March 31, 2024 and 2023 have been prepared by the Company and have not been audited. In the opinion of management, all adjustments (which include only normal recurring adjustments except where disclosed) necessary for the fair presentation of the financial position, results of operations and cash flows have been made. The results of operations for any interim period are not necessarily indicative of the results to be expected for the full year or any future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accordance with generally accepted accounting principles ("GAAP") for interim financial information and in accordance with the instructions to Form 10-Q and Regulation S-X of the Securities and Exchange Commission ("SEC"). 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information and footnote disclosures normally included in consolidated financial statements prepared in accordance with GAAP have been condensed or omitted, pursuant to the rules and regulations of the SEC for interim financial reporting. Accordingly, the condensed consolidated financial statements may not include all the information and footnotes necessary for a complete presentation of financial position, results of operations or cash flows. These condensed consolidated financial statements should be read in conjunction with the Company's audited consolidated financial statements and notes thereto included in the Company's Annual Report on Form 10-K for the year ended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described in Note 2, Summary of Significant Accounting Policies, to the consolidated financial statements included in the Company's Annual Report on Form 10-K for the year ended December 31, 2023. There have been no material changes to the significant accounting policies since December 31, 2023.</w:t>
      </w:r>
    </w:p>
    <w:p>
      <w:pPr>
        <w:pStyle w:val="TextBody"/>
        <w:bidi w:val="0"/>
        <w:spacing w:before="120" w:after="283"/>
        <w:jc w:val="left"/>
        <w:rPr>
          <w:rFonts w:ascii="Times New Roman" w:hAnsi="Times New Roman"/>
          <w:sz w:val="20"/>
        </w:rPr>
      </w:pPr>
      <w:r>
        <w:rPr>
          <w:rFonts w:ascii="Times New Roman" w:hAnsi="Times New Roman"/>
          <w:b/>
          <w:color w:val="000000"/>
          <w:sz w:val="20"/>
        </w:rPr>
        <w:t>Basis of Accounting</w:t>
      </w:r>
      <w:r>
        <w:rPr>
          <w:rFonts w:ascii="Times New Roman" w:hAnsi="Times New Roman"/>
          <w:color w:val="000000"/>
          <w:sz w:val="20"/>
        </w:rPr>
        <w:t xml:space="preserve">—The accompanying condensed consolidated financial statements are prepared in accordance with GAAP and include the accounts of the Company and its wholly-owned and majority-owned subsidiaries. All intercompany balances and transactions have been eliminated in consolidation. The condensed consolidated financial statements include 100% of the accounts of wholly-owned and majority-owned subsidiaries and the ownership interest of the minority investor is recorded as a non-controlling interest in a subsidiary. </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—The preparation of the condensed consolidated financial statements requires management to make estimates and assumptions that affect the reported amounts, and the disclosures of contingent amounts, in the Company’s condensed consolidated financial statements and the accompanying notes. Although the Company regularly assesses these estimates, actual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could differ from those estimates. Changes in estimates are recorded in the period in which they become known. The Company bases its estimates on historical experience and various other assumptions that it believes to be reasonable under the circumstances. Actual results could differ from management’s estimates if past experience or other assumptions are not substantially accurate. Significant estimates in these condensed consolidated financial statements include the estimation of contract transaction prices, the determination of the amortization period for contract assets, the valuation of goodwill and intangible assets, the valuation of the warrant liabilities, and the estimates and assumptions associated with stock incentive plans. </w:t>
      </w:r>
    </w:p>
    <w:p>
      <w:pPr>
        <w:pStyle w:val="TextBody"/>
        <w:bidi w:val="0"/>
        <w:spacing w:before="120" w:after="283"/>
        <w:jc w:val="left"/>
        <w:rPr>
          <w:rFonts w:ascii="Times New Roman" w:hAnsi="Times New Roman"/>
          <w:sz w:val="20"/>
        </w:rPr>
      </w:pPr>
      <w:r>
        <w:rPr>
          <w:rFonts w:ascii="Times New Roman" w:hAnsi="Times New Roman"/>
          <w:b/>
          <w:color w:val="000000"/>
          <w:sz w:val="20"/>
        </w:rPr>
        <w:t>Reclassifications</w:t>
      </w:r>
      <w:r>
        <w:rPr>
          <w:rFonts w:ascii="Times New Roman" w:hAnsi="Times New Roman"/>
          <w:color w:val="000000"/>
          <w:sz w:val="20"/>
        </w:rPr>
        <w:t>—Certain reclassifications of prior period amounts have been made to conform to the current period presentation. For the three months ended March 31, 2024, changes in the fair value of the Company's interest rate cap agreements are recognized within other income (expense)—net in the condensed consolidated statements of operations and comprehensive (loss) income. Corresponding amounts recognized during the three months ended March 31, 2023, were previously classified as a change in fair value of derivative instruments and have been reclassified to conform to the current period presentation. The amounts reclassified had no impact on net (loss) income.</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—In December 2023, the Financial Accounting Standards Board ("FASB") issued Accounting Standards Update ("ASU") 2023-09, Income Taxes (Topic 740): Improvements to Income Tax Disclosures. This update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amendments in this update are effective for fiscal years beginning after December 15, 2024, with early adoption permitted. The Company is evaluating the disclosure requirements related to this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ASU 2023-07, Segment Reporting (Topic 280): Improvements to Reportable Segment Disclosures. This update is intended to improve reportable segment disclosure requirements, primarily through additional disclosures about significant segment expenses. The amendments in this update are effective for fiscal years beginning after December 31, 2023, and interim periods within fiscal years beginning after December 15, 2024, with early adoption permitted. The amendments should be applied retrospectively to all prior periods presented in the financial statements. The Company is evaluating the disclosure requirements related to this update.</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3.</w:t>
      </w:r>
    </w:p>
    <w:p>
      <w:pPr>
        <w:pStyle w:val="TextBody"/>
        <w:bidi w:val="0"/>
        <w:spacing w:before="160" w:after="283"/>
        <w:jc w:val="left"/>
        <w:rPr/>
      </w:pPr>
      <w:r>
        <w:rPr>
          <w:rFonts w:ascii="Times New Roman" w:hAnsi="Times New Roman"/>
          <w:b/>
          <w:caps/>
          <w:color w:val="000000"/>
          <w:sz w:val="20"/>
        </w:rPr>
        <w:t>REvenue</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—The Company provides disaggregation of revenue based on type of service as it believes these categories best depict how the nature, amount, timing and uncertainty of revenue and cash flows are affected by economic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revenue by type of service for the three months ended March 31, 2024 and 2023 (in thousands): </w:t>
      </w:r>
    </w:p>
    <w:p>
      <w:pPr>
        <w:pStyle w:val="TextBody"/>
        <w:bidi w:val="0"/>
        <w:jc w:val="left"/>
        <w:rPr/>
      </w:pPr>
      <w:r>
        <w:rPr/>
        <w:t> </w:t>
      </w:r>
    </w:p>
    <w:tbl>
      <w:tblPr>
        <w:tblW w:w="5022" w:type="dxa"/>
        <w:jc w:val="left"/>
        <w:tblInd w:w="0" w:type="dxa"/>
        <w:tblLayout w:type="fixed"/>
        <w:tblCellMar>
          <w:top w:w="28" w:type="dxa"/>
          <w:left w:w="28" w:type="dxa"/>
          <w:bottom w:w="28" w:type="dxa"/>
          <w:right w:w="28" w:type="dxa"/>
        </w:tblCellMar>
      </w:tblPr>
      <w:tblGrid>
        <w:gridCol w:w="1951"/>
        <w:gridCol w:w="146"/>
        <w:gridCol w:w="235"/>
        <w:gridCol w:w="870"/>
        <w:gridCol w:w="162"/>
        <w:gridCol w:w="162"/>
        <w:gridCol w:w="235"/>
        <w:gridCol w:w="870"/>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subscriptions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218,069</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196,256</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227,237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i/>
          <w:color w:val="000000"/>
          <w:sz w:val="20"/>
        </w:rPr>
        <w:t>Transaction Price Allocated to the Remaining Performance Obligations</w:t>
      </w:r>
      <w:r>
        <w:rPr>
          <w:rFonts w:ascii="Times New Roman" w:hAnsi="Times New Roman"/>
          <w:color w:val="000000"/>
          <w:sz w:val="20"/>
        </w:rPr>
        <w:t xml:space="preserve">—Remaining performance obligations represent contracted revenue that has not yet been recognized, which includes deferred revenue and amounts that will be invoiced and recognized as revenue in future periods. As of March 31, 2024, approximately $1,533 million of revenue is expected to be recognized from remaining performance obligations in the amount of approximately $617 million during the following twelve months, and approximately $916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 </w:t>
      </w:r>
    </w:p>
    <w:p>
      <w:pPr>
        <w:pStyle w:val="TextBody"/>
        <w:bidi w:val="0"/>
        <w:spacing w:before="120" w:after="120"/>
        <w:jc w:val="left"/>
        <w:rPr>
          <w:rFonts w:ascii="Times New Roman" w:hAnsi="Times New Roman"/>
          <w:sz w:val="20"/>
        </w:rPr>
      </w:pPr>
      <w:r>
        <w:rPr>
          <w:rFonts w:ascii="Times New Roman" w:hAnsi="Times New Roman"/>
          <w:i/>
          <w:color w:val="000000"/>
          <w:sz w:val="20"/>
        </w:rPr>
        <w:t>Deferred Revenue</w:t>
      </w:r>
      <w:r>
        <w:rPr>
          <w:rFonts w:ascii="Times New Roman" w:hAnsi="Times New Roman"/>
          <w:color w:val="000000"/>
          <w:sz w:val="20"/>
        </w:rPr>
        <w:t>—Revenue recognized for the three months ended March 31, 2024 from amounts in deferred revenue as of December 31, 2023 was $39.0 million. Revenue recognized for the three months ended March 31, 2023 from amounts in deferred revenue as of December 31, 2022 was $33.8 million</w:t>
      </w:r>
      <w:r>
        <w:rPr>
          <w:rFonts w:ascii="Times New Roman" w:hAnsi="Times New Roman"/>
          <w:color w:val="000000"/>
          <w:sz w:val="24"/>
        </w:rPr>
        <w:t>.</w:t>
      </w:r>
    </w:p>
    <w:p>
      <w:pPr>
        <w:pStyle w:val="TextBody"/>
        <w:bidi w:val="0"/>
        <w:spacing w:before="120" w:after="283"/>
        <w:jc w:val="left"/>
        <w:rPr>
          <w:rFonts w:ascii="Times New Roman" w:hAnsi="Times New Roman"/>
          <w:sz w:val="20"/>
        </w:rPr>
      </w:pPr>
      <w:r>
        <w:rPr>
          <w:rFonts w:ascii="Times New Roman" w:hAnsi="Times New Roman"/>
          <w:i/>
          <w:color w:val="000000"/>
          <w:sz w:val="20"/>
        </w:rPr>
        <w:t>Contract Assets and Liabilities</w:t>
      </w:r>
      <w:r>
        <w:rPr>
          <w:rFonts w:ascii="Times New Roman" w:hAnsi="Times New Roman"/>
          <w:color w:val="000000"/>
          <w:sz w:val="20"/>
        </w:rPr>
        <w:t xml:space="preserve">—The opening and closing balances of the Company’s receivables, contract assets and contract liabilities from contracts with customers are as follows (in thousands):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902"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68"/>
        <w:gridCol w:w="992"/>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receivables—Net of allowances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102,365</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17,900</w:t>
            </w:r>
          </w:p>
        </w:tc>
        <w:tc>
          <w:tcPr>
            <w:tcW w:w="1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contract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22,302</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(accounts receivable, non-current)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15,198</w:t>
            </w:r>
          </w:p>
        </w:tc>
        <w:tc>
          <w:tcPr>
            <w:tcW w:w="1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43,567</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(deferred revenues, non-current)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deferred revenue balances during the three months ended March 31, 2024 and 2023 is presented below (in thousands): </w:t>
      </w:r>
    </w:p>
    <w:tbl>
      <w:tblPr>
        <w:tblW w:w="5665" w:type="dxa"/>
        <w:jc w:val="left"/>
        <w:tblInd w:w="0" w:type="dxa"/>
        <w:tblLayout w:type="fixed"/>
        <w:tblCellMar>
          <w:top w:w="28" w:type="dxa"/>
          <w:left w:w="28" w:type="dxa"/>
          <w:bottom w:w="28" w:type="dxa"/>
          <w:right w:w="28" w:type="dxa"/>
        </w:tblCellMar>
      </w:tblPr>
      <w:tblGrid>
        <w:gridCol w:w="2721"/>
        <w:gridCol w:w="221"/>
        <w:gridCol w:w="882"/>
        <w:gridCol w:w="174"/>
        <w:gridCol w:w="153"/>
        <w:gridCol w:w="221"/>
        <w:gridCol w:w="882"/>
        <w:gridCol w:w="411"/>
      </w:tblGrid>
      <w:tr>
        <w:trPr/>
        <w:tc>
          <w:tcPr>
            <w:tcW w:w="27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411" w:type="dxa"/>
            <w:tcBorders/>
            <w:shd w:fill="FFFFFF" w:val="cle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44,940</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Revenue recognized</w:t>
            </w:r>
            <w:r>
              <w:rPr>
                <w:rFonts w:ascii="Times New Roman" w:hAnsi="Times New Roman"/>
                <w:color w:val="000000"/>
                <w:sz w:val="13"/>
              </w:rPr>
              <w:t>1</w:t>
            </w:r>
          </w:p>
        </w:tc>
        <w:tc>
          <w:tcPr>
            <w:tcW w:w="22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(115,413</w:t>
            </w:r>
          </w:p>
        </w:tc>
        <w:tc>
          <w:tcPr>
            <w:tcW w:w="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(103,187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Additional amounts deferred</w:t>
            </w:r>
            <w:r>
              <w:rPr>
                <w:rFonts w:ascii="Times New Roman" w:hAnsi="Times New Roman"/>
                <w:color w:val="000000"/>
                <w:sz w:val="13"/>
              </w:rPr>
              <w:t>1</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118,033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47,560</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1103"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1103"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103"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1103"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45,254</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Non-current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47,560</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Amounts include total revenue deferred and recognized during each respective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the deferred contract costs during the three months ended March 31, 2024 and 2023 is presented below (in thousands): </w:t>
      </w:r>
    </w:p>
    <w:tbl>
      <w:tblPr>
        <w:tblW w:w="5735" w:type="dxa"/>
        <w:jc w:val="left"/>
        <w:tblInd w:w="0" w:type="dxa"/>
        <w:tblLayout w:type="fixed"/>
        <w:tblCellMar>
          <w:top w:w="28" w:type="dxa"/>
          <w:left w:w="28" w:type="dxa"/>
          <w:bottom w:w="28" w:type="dxa"/>
          <w:right w:w="28" w:type="dxa"/>
        </w:tblCellMar>
      </w:tblPr>
      <w:tblGrid>
        <w:gridCol w:w="2646"/>
        <w:gridCol w:w="146"/>
        <w:gridCol w:w="256"/>
        <w:gridCol w:w="821"/>
        <w:gridCol w:w="201"/>
        <w:gridCol w:w="177"/>
        <w:gridCol w:w="256"/>
        <w:gridCol w:w="821"/>
        <w:gridCol w:w="411"/>
      </w:tblGrid>
      <w:tr>
        <w:trPr/>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3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411" w:type="dxa"/>
            <w:tcBorders/>
            <w:shd w:fill="FFFFFF" w:val="clear"/>
            <w:vAlign w:val="center"/>
          </w:tcPr>
          <w:p>
            <w:pPr>
              <w:pStyle w:val="TableContents"/>
              <w:bidi w:val="0"/>
              <w:spacing w:before="0" w:after="283"/>
              <w:jc w:val="center"/>
              <w:rPr/>
            </w:pPr>
            <w:r>
              <w:rPr/>
              <w:t> </w:t>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40,202</w:t>
            </w:r>
          </w:p>
        </w:tc>
        <w:tc>
          <w:tcPr>
            <w:tcW w:w="201"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6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Costs amortized</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w:t>
            </w:r>
          </w:p>
        </w:tc>
        <w:tc>
          <w:tcPr>
            <w:tcW w:w="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amounts deferred</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18,693</w:t>
            </w:r>
          </w:p>
        </w:tc>
        <w:tc>
          <w:tcPr>
            <w:tcW w:w="201"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6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contract costs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4.</w:t>
      </w:r>
    </w:p>
    <w:p>
      <w:pPr>
        <w:pStyle w:val="TextBody"/>
        <w:bidi w:val="0"/>
        <w:spacing w:before="120" w:after="283"/>
        <w:jc w:val="left"/>
        <w:rPr/>
      </w:pPr>
      <w:r>
        <w:rPr>
          <w:rFonts w:ascii="Times New Roman" w:hAnsi="Times New Roman"/>
          <w:b/>
          <w:caps/>
          <w:color w:val="000000"/>
          <w:sz w:val="20"/>
        </w:rPr>
        <w:t>FAIR VALUE measurements</w:t>
      </w:r>
      <w:r>
        <w:rPr>
          <w:color w:val="00000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Assets and Liabilities Measured at Fair Value on a Recurring Basis</w:t>
      </w:r>
    </w:p>
    <w:p>
      <w:pPr>
        <w:pStyle w:val="TextBody"/>
        <w:bidi w:val="0"/>
        <w:spacing w:before="120" w:after="283"/>
        <w:jc w:val="left"/>
        <w:rPr>
          <w:rFonts w:ascii="Times New Roman" w:hAnsi="Times New Roman"/>
          <w:sz w:val="20"/>
        </w:rPr>
      </w:pPr>
      <w:r>
        <w:rPr>
          <w:rFonts w:ascii="Times New Roman" w:hAnsi="Times New Roman"/>
          <w:i/>
          <w:color w:val="000000"/>
          <w:sz w:val="20"/>
        </w:rPr>
        <w:t>Private Warrants</w:t>
      </w:r>
      <w:r>
        <w:rPr>
          <w:rFonts w:ascii="Times New Roman" w:hAnsi="Times New Roman"/>
          <w:color w:val="000000"/>
          <w:sz w:val="20"/>
        </w:rPr>
        <w:t>—Upon consummation of the Business Combination, the Company assumed warrants sold in a private placement ("Private Warrants") issued by Dragoneer.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and December 31, 2023, the Company's Private Warrants are recognized as liabilities and measured at fair value on a 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Private Warrants are valued using Level 1 and Level 2 inputs within the Black-Scholes option pricing model. The assumptions utilized under the Black-Scholes option pricing model require judgments and estimates. Changes in these inputs and assumptions could affect the measurement of the estimated fair value of the Private Warrants. Accordingly, the Private Warrants are classified within Level 2 of the fair value hierarchy.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valuation of the Private Warrants as of March 31, 2024 and December 31, 2023 was determined using the Black-Scholes option pricing model using the following assumptions: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245" w:type="dxa"/>
        <w:jc w:val="left"/>
        <w:tblInd w:w="0" w:type="dxa"/>
        <w:tblLayout w:type="fixed"/>
        <w:tblCellMar>
          <w:top w:w="28" w:type="dxa"/>
          <w:left w:w="28" w:type="dxa"/>
          <w:bottom w:w="28" w:type="dxa"/>
          <w:right w:w="28" w:type="dxa"/>
        </w:tblCellMar>
      </w:tblPr>
      <w:tblGrid>
        <w:gridCol w:w="2131"/>
        <w:gridCol w:w="146"/>
        <w:gridCol w:w="232"/>
        <w:gridCol w:w="743"/>
        <w:gridCol w:w="271"/>
        <w:gridCol w:w="146"/>
        <w:gridCol w:w="300"/>
        <w:gridCol w:w="960"/>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each Private Warrant using the Company's stock price on the valuation date and above assumptions was $2.98 and $2.89 as of March 31, 2024 and December 31, 2023,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Contingent Consideration Liability</w:t>
      </w:r>
      <w:r>
        <w:rPr>
          <w:rFonts w:ascii="Times New Roman" w:hAnsi="Times New Roman"/>
          <w:color w:val="000000"/>
          <w:sz w:val="20"/>
        </w:rPr>
        <w:t xml:space="preserve">—The contingent consideration liability relates to the acquisition of Safekeep, Inc. in February 2022. The contingent consideration liability, recognized within other liabilities on the condensed consolidated balance sheet, is adjusted each reporting period for changes in fair value, which can result from changes in anticipated payments and changes in assumed discount rates. These inputs are unobservable in the market and therefore categorized as Level 3 inputs.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the contingent consideration was determined using probability-weighted discounted cash flows and a Monte Carlo simulation model. The discount rate, based on the Company's estimated cost of debt, was 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contingent consideration liability had a fair value of $0.1 million. As of March 31, 2024, there were no significant changes to the inputs used within the Monte Carlo simulation model and the estimated fair value of the contingent consideration liability was $0.1 million. The Company did not recognize any change in the estimated fair value of the contingent consideration liability during the three months ended March 31, 2024 or the three months ended March 31, 2023.</w:t>
      </w:r>
    </w:p>
    <w:p>
      <w:pPr>
        <w:pStyle w:val="TextBody"/>
        <w:bidi w:val="0"/>
        <w:spacing w:before="120" w:after="283"/>
        <w:jc w:val="left"/>
        <w:rPr>
          <w:rFonts w:ascii="Times New Roman" w:hAnsi="Times New Roman"/>
          <w:sz w:val="20"/>
        </w:rPr>
      </w:pPr>
      <w:r>
        <w:rPr>
          <w:rFonts w:ascii="Times New Roman" w:hAnsi="Times New Roman"/>
          <w:i/>
          <w:color w:val="000000"/>
          <w:sz w:val="20"/>
        </w:rPr>
        <w:t>Interest Rate Cap</w:t>
      </w:r>
      <w:r>
        <w:rPr>
          <w:rFonts w:ascii="Times New Roman" w:hAnsi="Times New Roman"/>
          <w:color w:val="000000"/>
          <w:sz w:val="20"/>
        </w:rPr>
        <w:t xml:space="preserve">—In August 2022, the Company entered into two interest rate cap agreements to reduce its exposure to increases in interest rates applicable to its floating rate long-term debt (see Note 13). The fair value of the interest rate cap agreements was estimated using inputs that were observable or that could be corroborated by observable market data and therefore was classified within Level 2 of the fair value hierarchy as of March 31, 2024 and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designate its interest rate cap agreements as hedging instruments and records the changes in fair value within other income (expense)—net on the condensed consolidated statements of operations and comprehensive (loss) income. As of March 31, 2024 and December 31, 2023, the interest rate cap agreements had a fair value of $6.9 million and $6.2 million, respectively, classified within other assets in the accompanying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fair value of the assets and liabilities measured at fair value on a recurring basis as of March 31, 2024 (in thousands): </w:t>
      </w:r>
    </w:p>
    <w:p>
      <w:pPr>
        <w:pStyle w:val="TextBody"/>
        <w:bidi w:val="0"/>
        <w:jc w:val="left"/>
        <w:rPr/>
      </w:pPr>
      <w:r>
        <w:rPr/>
        <w:t> </w:t>
      </w:r>
    </w:p>
    <w:tbl>
      <w:tblPr>
        <w:tblW w:w="9501" w:type="dxa"/>
        <w:jc w:val="left"/>
        <w:tblInd w:w="0" w:type="dxa"/>
        <w:tblLayout w:type="fixed"/>
        <w:tblCellMar>
          <w:top w:w="28" w:type="dxa"/>
          <w:left w:w="28" w:type="dxa"/>
          <w:bottom w:w="28" w:type="dxa"/>
          <w:right w:w="28" w:type="dxa"/>
        </w:tblCellMar>
      </w:tblPr>
      <w:tblGrid>
        <w:gridCol w:w="4811"/>
        <w:gridCol w:w="146"/>
        <w:gridCol w:w="242"/>
        <w:gridCol w:w="778"/>
        <w:gridCol w:w="146"/>
        <w:gridCol w:w="146"/>
        <w:gridCol w:w="277"/>
        <w:gridCol w:w="458"/>
        <w:gridCol w:w="146"/>
        <w:gridCol w:w="146"/>
        <w:gridCol w:w="211"/>
        <w:gridCol w:w="676"/>
        <w:gridCol w:w="146"/>
        <w:gridCol w:w="146"/>
        <w:gridCol w:w="245"/>
        <w:gridCol w:w="490"/>
        <w:gridCol w:w="291"/>
      </w:tblGrid>
      <w:tr>
        <w:trPr/>
        <w:tc>
          <w:tcPr>
            <w:tcW w:w="4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rate cap</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 related to business acquisition</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Private Warrants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fair value of the assets and liabilities measured at fair value on a recurring basis as of December 31, 2023 (in thousands): </w:t>
      </w:r>
    </w:p>
    <w:p>
      <w:pPr>
        <w:pStyle w:val="TextBody"/>
        <w:bidi w:val="0"/>
        <w:jc w:val="left"/>
        <w:rPr/>
      </w:pPr>
      <w:r>
        <w:rPr/>
        <w:t> </w:t>
      </w:r>
    </w:p>
    <w:tbl>
      <w:tblPr>
        <w:tblW w:w="9501" w:type="dxa"/>
        <w:jc w:val="left"/>
        <w:tblInd w:w="0" w:type="dxa"/>
        <w:tblLayout w:type="fixed"/>
        <w:tblCellMar>
          <w:top w:w="28" w:type="dxa"/>
          <w:left w:w="28" w:type="dxa"/>
          <w:bottom w:w="28" w:type="dxa"/>
          <w:right w:w="28" w:type="dxa"/>
        </w:tblCellMar>
      </w:tblPr>
      <w:tblGrid>
        <w:gridCol w:w="4811"/>
        <w:gridCol w:w="146"/>
        <w:gridCol w:w="242"/>
        <w:gridCol w:w="778"/>
        <w:gridCol w:w="146"/>
        <w:gridCol w:w="146"/>
        <w:gridCol w:w="277"/>
        <w:gridCol w:w="458"/>
        <w:gridCol w:w="146"/>
        <w:gridCol w:w="146"/>
        <w:gridCol w:w="211"/>
        <w:gridCol w:w="676"/>
        <w:gridCol w:w="146"/>
        <w:gridCol w:w="146"/>
        <w:gridCol w:w="245"/>
        <w:gridCol w:w="490"/>
        <w:gridCol w:w="291"/>
      </w:tblGrid>
      <w:tr>
        <w:trPr/>
        <w:tc>
          <w:tcPr>
            <w:tcW w:w="4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rate cap</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 related to business acquisition</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Private Warrants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Assets and Liabilities Measured at Fair Value on a Nonrecurring Basis</w:t>
      </w:r>
      <w:r>
        <w:rPr>
          <w:rFonts w:ascii="Times New Roman" w:hAnsi="Times New Roman"/>
          <w:color w:val="000000"/>
          <w:sz w:val="20"/>
        </w:rPr>
        <w:t xml:space="preserve">—The Company has assets that under certain conditions are subject to 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 The Company did not recognize any impairment charges related to these assets during the three months ended March 31, 2024 and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Fair Value of Other Financial Instruments</w:t>
      </w:r>
      <w:r>
        <w:rPr>
          <w:rFonts w:ascii="Times New Roman" w:hAnsi="Times New Roman"/>
          <w:color w:val="000000"/>
          <w:sz w:val="20"/>
        </w:rPr>
        <w:t xml:space="preserve">—The following table presents the carrying amounts, net of debt discount, and the estimated fair values of the Company’s financial instruments that are not recorded at fair value on the condensed consolidated balance sheets (in thousands): </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3331"/>
        <w:gridCol w:w="146"/>
        <w:gridCol w:w="211"/>
        <w:gridCol w:w="781"/>
        <w:gridCol w:w="146"/>
        <w:gridCol w:w="146"/>
        <w:gridCol w:w="217"/>
        <w:gridCol w:w="803"/>
        <w:gridCol w:w="146"/>
        <w:gridCol w:w="146"/>
        <w:gridCol w:w="211"/>
        <w:gridCol w:w="781"/>
        <w:gridCol w:w="146"/>
        <w:gridCol w:w="146"/>
        <w:gridCol w:w="217"/>
        <w:gridCol w:w="803"/>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9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 including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784,000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5.</w:t>
      </w:r>
    </w:p>
    <w:p>
      <w:pPr>
        <w:pStyle w:val="TextBody"/>
        <w:bidi w:val="0"/>
        <w:spacing w:before="360" w:after="283"/>
        <w:jc w:val="left"/>
        <w:rPr>
          <w:rFonts w:ascii="Times New Roman" w:hAnsi="Times New Roman"/>
          <w:sz w:val="20"/>
        </w:rPr>
      </w:pPr>
      <w:r>
        <w:rPr>
          <w:rFonts w:ascii="Times New Roman" w:hAnsi="Times New Roman"/>
          <w:b/>
          <w:caps/>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an income tax benefit of $4.2 million and $0.8 million for the three months ended March 31, 2024 and 2023, respectively. The income tax benefit for the three months ended March 31, 2024 was primarily due to the tax benefit related to stock-based compensation. The income tax benefit for the three months ended March 31, 2023 was primarily due to the tax benefit related to stock-based compensation and the tax benefit related to the re-measurement of the Company's deferred tax liability for changes in state tax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made income tax payments of $576 thousand and $224 thousand for the three months ended March 31, 2024 and 2023, respectively. The Company received negligible refunds from various states during the three months ended March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unrecognized tax benefits were materially consistent with the amount as of December 31, 2023. The Company believes its liability for unrecognized tax benefits, excluding interest and penalties, will not significantly change over the following twelve months.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6.</w:t>
      </w:r>
    </w:p>
    <w:p>
      <w:pPr>
        <w:pStyle w:val="TextBody"/>
        <w:bidi w:val="0"/>
        <w:spacing w:before="360" w:after="283"/>
        <w:jc w:val="left"/>
        <w:rPr>
          <w:rFonts w:ascii="Times New Roman" w:hAnsi="Times New Roman"/>
          <w:sz w:val="20"/>
        </w:rPr>
      </w:pPr>
      <w:r>
        <w:rPr>
          <w:rFonts w:ascii="Times New Roman" w:hAnsi="Times New Roman"/>
          <w:b/>
          <w:caps/>
          <w:color w:val="000000"/>
          <w:sz w:val="20"/>
        </w:rPr>
        <w:t>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receivable—Net as of March 31, 2024 and December 31, 2023, consists of the following (in thousands): </w:t>
      </w:r>
    </w:p>
    <w:p>
      <w:pPr>
        <w:pStyle w:val="TextBody"/>
        <w:bidi w:val="0"/>
        <w:jc w:val="left"/>
        <w:rPr/>
      </w:pPr>
      <w:r>
        <w:rPr/>
        <w:t> </w:t>
      </w:r>
    </w:p>
    <w:tbl>
      <w:tblPr>
        <w:tblW w:w="7167" w:type="dxa"/>
        <w:jc w:val="left"/>
        <w:tblInd w:w="0" w:type="dxa"/>
        <w:tblLayout w:type="fixed"/>
        <w:tblCellMar>
          <w:top w:w="28" w:type="dxa"/>
          <w:left w:w="28" w:type="dxa"/>
          <w:bottom w:w="28" w:type="dxa"/>
          <w:right w:w="28" w:type="dxa"/>
        </w:tblCellMar>
      </w:tblPr>
      <w:tblGrid>
        <w:gridCol w:w="4246"/>
        <w:gridCol w:w="146"/>
        <w:gridCol w:w="211"/>
        <w:gridCol w:w="781"/>
        <w:gridCol w:w="166"/>
        <w:gridCol w:w="146"/>
        <w:gridCol w:w="268"/>
        <w:gridCol w:w="992"/>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107,939</w:t>
            </w:r>
          </w:p>
        </w:tc>
        <w:tc>
          <w:tcPr>
            <w:tcW w:w="21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 and sales reserves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31, 2024 and December 31, 2023, no customer accounted for more than 10% of accounts receivable.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to the allowance for doubtful accounts and sales reserves during the three months ended March 31, 2024 and 2023 consist of the following (in thousands): </w:t>
      </w:r>
    </w:p>
    <w:tbl>
      <w:tblPr>
        <w:tblW w:w="6281" w:type="dxa"/>
        <w:jc w:val="left"/>
        <w:tblInd w:w="0" w:type="dxa"/>
        <w:tblLayout w:type="fixed"/>
        <w:tblCellMar>
          <w:top w:w="28" w:type="dxa"/>
          <w:left w:w="28" w:type="dxa"/>
          <w:bottom w:w="28" w:type="dxa"/>
          <w:right w:w="28" w:type="dxa"/>
        </w:tblCellMar>
      </w:tblPr>
      <w:tblGrid>
        <w:gridCol w:w="3311"/>
        <w:gridCol w:w="146"/>
        <w:gridCol w:w="268"/>
        <w:gridCol w:w="801"/>
        <w:gridCol w:w="210"/>
        <w:gridCol w:w="185"/>
        <w:gridCol w:w="268"/>
        <w:gridCol w:w="801"/>
        <w:gridCol w:w="291"/>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91" w:type="dxa"/>
            <w:tcBorders/>
            <w:shd w:fill="FFFFFF" w:val="clear"/>
            <w:vAlign w:val="center"/>
          </w:tcPr>
          <w:p>
            <w:pPr>
              <w:pStyle w:val="TableContents"/>
              <w:bidi w:val="0"/>
              <w:spacing w:before="0" w:after="283"/>
              <w:jc w:val="center"/>
              <w:rPr/>
            </w:pPr>
            <w:r>
              <w:rPr/>
              <w:t> </w:t>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3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Charges to bad debt and sales reserves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Write-offs—Net</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7.</w:t>
      </w:r>
    </w:p>
    <w:p>
      <w:pPr>
        <w:pStyle w:val="TextBody"/>
        <w:bidi w:val="0"/>
        <w:spacing w:before="160" w:after="283"/>
        <w:jc w:val="left"/>
        <w:rPr>
          <w:rFonts w:ascii="Times New Roman" w:hAnsi="Times New Roman"/>
          <w:sz w:val="20"/>
        </w:rPr>
      </w:pPr>
      <w:r>
        <w:rPr>
          <w:rFonts w:ascii="Times New Roman" w:hAnsi="Times New Roman"/>
          <w:b/>
          <w:caps/>
          <w:color w:val="000000"/>
          <w:sz w:val="20"/>
        </w:rPr>
        <w:t>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current assets as of March 31, 2024 and December 31, 2023 consists of the following (in thousands): </w:t>
      </w:r>
    </w:p>
    <w:p>
      <w:pPr>
        <w:pStyle w:val="TextBody"/>
        <w:bidi w:val="0"/>
        <w:jc w:val="left"/>
        <w:rPr/>
      </w:pPr>
      <w:r>
        <w:rPr/>
        <w:t> </w:t>
      </w:r>
    </w:p>
    <w:tbl>
      <w:tblPr>
        <w:tblW w:w="6660" w:type="dxa"/>
        <w:jc w:val="left"/>
        <w:tblInd w:w="0" w:type="dxa"/>
        <w:tblLayout w:type="fixed"/>
        <w:tblCellMar>
          <w:top w:w="28" w:type="dxa"/>
          <w:left w:w="28" w:type="dxa"/>
          <w:bottom w:w="28" w:type="dxa"/>
          <w:right w:w="28" w:type="dxa"/>
        </w:tblCellMar>
      </w:tblPr>
      <w:tblGrid>
        <w:gridCol w:w="3796"/>
        <w:gridCol w:w="146"/>
        <w:gridCol w:w="232"/>
        <w:gridCol w:w="743"/>
        <w:gridCol w:w="146"/>
        <w:gridCol w:w="146"/>
        <w:gridCol w:w="299"/>
        <w:gridCol w:w="96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SaaS costs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 fees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software and equipment maintenance</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8.</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SOFTWARE, EQUIPMENT, AND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Software, equipment, and property as of March 31, 2024 and December 31, 2023 consists of the following (in thousands): </w:t>
      </w:r>
    </w:p>
    <w:p>
      <w:pPr>
        <w:pStyle w:val="TextBody"/>
        <w:bidi w:val="0"/>
        <w:jc w:val="left"/>
        <w:rPr/>
      </w:pPr>
      <w:r>
        <w:rPr/>
        <w:t> </w:t>
      </w:r>
    </w:p>
    <w:tbl>
      <w:tblPr>
        <w:tblW w:w="7212" w:type="dxa"/>
        <w:jc w:val="left"/>
        <w:tblInd w:w="0" w:type="dxa"/>
        <w:tblLayout w:type="fixed"/>
        <w:tblCellMar>
          <w:top w:w="28" w:type="dxa"/>
          <w:left w:w="28" w:type="dxa"/>
          <w:bottom w:w="28" w:type="dxa"/>
          <w:right w:w="28" w:type="dxa"/>
        </w:tblCellMar>
      </w:tblPr>
      <w:tblGrid>
        <w:gridCol w:w="4051"/>
        <w:gridCol w:w="146"/>
        <w:gridCol w:w="211"/>
        <w:gridCol w:w="841"/>
        <w:gridCol w:w="166"/>
        <w:gridCol w:w="146"/>
        <w:gridCol w:w="252"/>
        <w:gridCol w:w="1008"/>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licenses and database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220,625</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27,467</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31,046</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land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other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software, equipment, and property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285,418</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equipment, and property—Net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related to software, equipment and property was $9.4 million and $9.2 million for the three months ended March 31, 2024 and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real estate in the form of office space and data center facilities. Generally, at the inception of the contract, the term for real estate leases ranges from 1 to 17 years and the term for equipment leases is 1 to 3 years. Some real estate leases include options to renew that can extend the original term by 3 to 5 years.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lease expense for the three months ended March 31, 2024 and 2023 were as follows (in thousands):</w:t>
      </w:r>
    </w:p>
    <w:tbl>
      <w:tblPr>
        <w:tblW w:w="4902" w:type="dxa"/>
        <w:jc w:val="left"/>
        <w:tblInd w:w="0" w:type="dxa"/>
        <w:tblLayout w:type="fixed"/>
        <w:tblCellMar>
          <w:top w:w="28" w:type="dxa"/>
          <w:left w:w="28" w:type="dxa"/>
          <w:bottom w:w="28" w:type="dxa"/>
          <w:right w:w="28" w:type="dxa"/>
        </w:tblCellMar>
      </w:tblPr>
      <w:tblGrid>
        <w:gridCol w:w="1831"/>
        <w:gridCol w:w="146"/>
        <w:gridCol w:w="288"/>
        <w:gridCol w:w="780"/>
        <w:gridCol w:w="199"/>
        <w:gridCol w:w="199"/>
        <w:gridCol w:w="288"/>
        <w:gridCol w:w="780"/>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three months ended March 31, 2024 and 2023, the Company made cash payments for operating leases of $1.8 million and $0.9 million, respectively.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March 31, 2024, the Company obtained operating lease assets in exchange for lease liabilities of $0.7 million. During the three months ended March 31, 2023, the Company did not obtain any operating lease assets in exchange for lease liabilities.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10.</w:t>
      </w:r>
    </w:p>
    <w:p>
      <w:pPr>
        <w:pStyle w:val="TextBody"/>
        <w:bidi w:val="0"/>
        <w:spacing w:before="360" w:after="283"/>
        <w:jc w:val="left"/>
        <w:rPr>
          <w:rFonts w:ascii="Times New Roman" w:hAnsi="Times New Roman"/>
          <w:sz w:val="20"/>
        </w:rPr>
      </w:pPr>
      <w:r>
        <w:rPr>
          <w:rFonts w:ascii="Times New Roman" w:hAnsi="Times New Roman"/>
          <w:b/>
          <w:caps/>
          <w:color w:val="000000"/>
          <w:sz w:val="20"/>
        </w:rPr>
        <w:t>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and intangible assets are primarily the result of business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performs its annual impairment assessment of goodwill and indefinite life intangible assets as of November 30 of each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Company's China reporting unit experienced adverse impacts as a result of changes in market conditions and increases in interest rates which contributed to reduced forecasted revenues and reduced projected future cash flows. As a result of these adverse impacts, the Company performed an interim quantitative assessment of goodwill impairment by comparing the fair value of its China reporting unit to its carrying value, including goodwill. When performing the assessment, the Company determined the fair value of its China reporting unit based on forecasted future cash flows. Based on the Company's forecast of the future cash flows of its China reporting unit, it was determined the carrying value of goodwill for its China reporting unit was impaired and the Company recorded a goodwill impairment charge of $77.4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November 30, 2023, the Company performed a qualitative assessment for its remaining reporting unit with goodwill and its trademark indefinite life intangible assets. The Company determined there were no indicators of impairment and that it was more likely than not that the fair value of the reporting unit and trademarks were greater than their carrying values and therefore performing the next step of the impairment test was unnecessary.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impairments to goodwill or indefinite life intangible assets were recorded during the three months ended March 31, 2024 and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gross amount, accumulated impairment loss and carrying amount of goodwill as of March 31, 2024 and December 31, 2023 (in thousands):</w:t>
      </w:r>
    </w:p>
    <w:tbl>
      <w:tblPr>
        <w:tblW w:w="6936" w:type="dxa"/>
        <w:jc w:val="left"/>
        <w:tblInd w:w="0" w:type="dxa"/>
        <w:tblLayout w:type="fixed"/>
        <w:tblCellMar>
          <w:top w:w="28" w:type="dxa"/>
          <w:left w:w="28" w:type="dxa"/>
          <w:bottom w:w="28" w:type="dxa"/>
          <w:right w:w="28" w:type="dxa"/>
        </w:tblCellMar>
      </w:tblPr>
      <w:tblGrid>
        <w:gridCol w:w="1796"/>
        <w:gridCol w:w="232"/>
        <w:gridCol w:w="1028"/>
        <w:gridCol w:w="146"/>
        <w:gridCol w:w="146"/>
        <w:gridCol w:w="290"/>
        <w:gridCol w:w="1165"/>
        <w:gridCol w:w="166"/>
        <w:gridCol w:w="146"/>
        <w:gridCol w:w="282"/>
        <w:gridCol w:w="1248"/>
        <w:gridCol w:w="291"/>
      </w:tblGrid>
      <w:tr>
        <w:trPr/>
        <w:tc>
          <w:tcPr>
            <w:tcW w:w="17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9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w:t>
            </w:r>
          </w:p>
        </w:tc>
        <w:tc>
          <w:tcPr>
            <w:tcW w:w="291" w:type="dxa"/>
            <w:tcBorders/>
            <w:shd w:fill="FFFFFF" w:val="clear"/>
            <w:vAlign w:val="center"/>
          </w:tcPr>
          <w:p>
            <w:pPr>
              <w:pStyle w:val="TableContents"/>
              <w:bidi w:val="0"/>
              <w:spacing w:before="0" w:after="283"/>
              <w:jc w:val="center"/>
              <w:rPr/>
            </w:pPr>
            <w:r>
              <w:rPr/>
              <w:t> </w:t>
            </w:r>
          </w:p>
        </w:tc>
      </w:tr>
      <w:tr>
        <w:trPr/>
        <w:tc>
          <w:tcPr>
            <w:tcW w:w="179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Impairment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Carrying 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March 31, 2024</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1,417,724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7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December 31, 2023</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1,417,724</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accumulated impairment loss as of December 31, 2023 was due to impairment charges of $77.4 million and $25.8 million recognized during the years ended December 31, 2023 and December 31, 2019,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no changes in the carrying amount of goodwill during the three months ended March 31, 2024 and 2023.</w:t>
      </w:r>
    </w:p>
    <w:p>
      <w:pPr>
        <w:pStyle w:val="TextBody"/>
        <w:bidi w:val="0"/>
        <w:spacing w:before="120" w:after="120"/>
        <w:jc w:val="left"/>
        <w:rPr>
          <w:rFonts w:ascii="Times New Roman" w:hAnsi="Times New Roman"/>
          <w:sz w:val="20"/>
        </w:rPr>
      </w:pPr>
      <w:r>
        <w:rPr>
          <w:rFonts w:ascii="Times New Roman" w:hAnsi="Times New Roman"/>
          <w:i/>
          <w:color w:val="000000"/>
          <w:sz w:val="20"/>
        </w:rPr>
        <w:t>Intangible Assets</w:t>
      </w:r>
      <w:r>
        <w:rPr>
          <w:rFonts w:ascii="Times New Roman" w:hAnsi="Times New Roman"/>
          <w:color w:val="000000"/>
          <w:sz w:val="20"/>
        </w:rPr>
        <w:t>—No intangible asset impairments were recorded during the three months ended March 31, 2024 and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intangible assets balance as of March 31, 2024 is reflected below (in thousands): </w:t>
      </w:r>
    </w:p>
    <w:tbl>
      <w:tblPr>
        <w:tblW w:w="9787" w:type="dxa"/>
        <w:jc w:val="left"/>
        <w:tblInd w:w="0" w:type="dxa"/>
        <w:tblLayout w:type="fixed"/>
        <w:tblCellMar>
          <w:top w:w="28" w:type="dxa"/>
          <w:left w:w="28" w:type="dxa"/>
          <w:bottom w:w="28" w:type="dxa"/>
          <w:right w:w="28" w:type="dxa"/>
        </w:tblCellMar>
      </w:tblPr>
      <w:tblGrid>
        <w:gridCol w:w="2571"/>
        <w:gridCol w:w="146"/>
        <w:gridCol w:w="1021"/>
        <w:gridCol w:w="146"/>
        <w:gridCol w:w="246"/>
        <w:gridCol w:w="790"/>
        <w:gridCol w:w="146"/>
        <w:gridCol w:w="146"/>
        <w:gridCol w:w="211"/>
        <w:gridCol w:w="931"/>
        <w:gridCol w:w="146"/>
        <w:gridCol w:w="146"/>
        <w:gridCol w:w="248"/>
        <w:gridCol w:w="998"/>
        <w:gridCol w:w="166"/>
        <w:gridCol w:w="146"/>
        <w:gridCol w:w="211"/>
        <w:gridCol w:w="781"/>
        <w:gridCol w:w="591"/>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794,834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Acquired technologies</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(676,403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800,067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Trademarks—indefinite life</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990,537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intangible assets balance as of December 31, 2023 is reflected below (in thousands): </w:t>
      </w:r>
    </w:p>
    <w:tbl>
      <w:tblPr>
        <w:tblW w:w="9937" w:type="dxa"/>
        <w:jc w:val="left"/>
        <w:tblInd w:w="0" w:type="dxa"/>
        <w:tblLayout w:type="fixed"/>
        <w:tblCellMar>
          <w:top w:w="28" w:type="dxa"/>
          <w:left w:w="28" w:type="dxa"/>
          <w:bottom w:w="28" w:type="dxa"/>
          <w:right w:w="28" w:type="dxa"/>
        </w:tblCellMar>
      </w:tblPr>
      <w:tblGrid>
        <w:gridCol w:w="2571"/>
        <w:gridCol w:w="146"/>
        <w:gridCol w:w="1021"/>
        <w:gridCol w:w="146"/>
        <w:gridCol w:w="246"/>
        <w:gridCol w:w="790"/>
        <w:gridCol w:w="146"/>
        <w:gridCol w:w="146"/>
        <w:gridCol w:w="211"/>
        <w:gridCol w:w="931"/>
        <w:gridCol w:w="146"/>
        <w:gridCol w:w="146"/>
        <w:gridCol w:w="248"/>
        <w:gridCol w:w="998"/>
        <w:gridCol w:w="166"/>
        <w:gridCol w:w="146"/>
        <w:gridCol w:w="211"/>
        <w:gridCol w:w="931"/>
        <w:gridCol w:w="591"/>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16–18</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812,776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Acquired technologies</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824,576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Trademarks—indefinite life</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1,015,046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for intangible assets was $24.5 million and $24.8 million for the three months ended March 31, 2024 and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amortization expense for the remainder of the year ended December 31, 2024 and the following four years ended December 31 and thereafter for intangible assets as of March 31, 2024 is as follows (in thousands): </w:t>
      </w:r>
    </w:p>
    <w:p>
      <w:pPr>
        <w:pStyle w:val="TextBody"/>
        <w:bidi w:val="0"/>
        <w:jc w:val="left"/>
        <w:rPr/>
      </w:pPr>
      <w:r>
        <w:rPr/>
        <w:t> </w:t>
      </w:r>
    </w:p>
    <w:tbl>
      <w:tblPr>
        <w:tblW w:w="3820" w:type="dxa"/>
        <w:jc w:val="left"/>
        <w:tblInd w:w="0" w:type="dxa"/>
        <w:tblLayout w:type="fixed"/>
        <w:tblCellMar>
          <w:top w:w="28" w:type="dxa"/>
          <w:left w:w="28" w:type="dxa"/>
          <w:bottom w:w="28" w:type="dxa"/>
          <w:right w:w="28" w:type="dxa"/>
        </w:tblCellMar>
      </w:tblPr>
      <w:tblGrid>
        <w:gridCol w:w="2491"/>
        <w:gridCol w:w="146"/>
        <w:gridCol w:w="211"/>
        <w:gridCol w:w="78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56,259</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11.</w:t>
      </w:r>
    </w:p>
    <w:p>
      <w:pPr>
        <w:pStyle w:val="TextBody"/>
        <w:bidi w:val="0"/>
        <w:spacing w:before="160" w:after="283"/>
        <w:jc w:val="left"/>
        <w:rPr>
          <w:rFonts w:ascii="Times New Roman" w:hAnsi="Times New Roman"/>
          <w:sz w:val="20"/>
        </w:rPr>
      </w:pPr>
      <w:r>
        <w:rPr>
          <w:rFonts w:ascii="Times New Roman" w:hAnsi="Times New Roman"/>
          <w:b/>
          <w:caps/>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as of March 31, 2024 and December 31, 2023 consists of the following (in thousands): </w:t>
      </w:r>
    </w:p>
    <w:p>
      <w:pPr>
        <w:pStyle w:val="TextBody"/>
        <w:bidi w:val="0"/>
        <w:jc w:val="left"/>
        <w:rPr/>
      </w:pPr>
      <w:r>
        <w:rPr/>
        <w:t> </w:t>
      </w:r>
    </w:p>
    <w:tbl>
      <w:tblPr>
        <w:tblW w:w="5325" w:type="dxa"/>
        <w:jc w:val="left"/>
        <w:tblInd w:w="0" w:type="dxa"/>
        <w:tblLayout w:type="fixed"/>
        <w:tblCellMar>
          <w:top w:w="28" w:type="dxa"/>
          <w:left w:w="28" w:type="dxa"/>
          <w:bottom w:w="28" w:type="dxa"/>
          <w:right w:w="28" w:type="dxa"/>
        </w:tblCellMar>
      </w:tblPr>
      <w:tblGrid>
        <w:gridCol w:w="2461"/>
        <w:gridCol w:w="146"/>
        <w:gridCol w:w="232"/>
        <w:gridCol w:w="743"/>
        <w:gridCol w:w="146"/>
        <w:gridCol w:w="146"/>
        <w:gridCol w:w="299"/>
        <w:gridCol w:w="96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54,593</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and licenses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insurance benefits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 agreement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12.</w:t>
      </w:r>
    </w:p>
    <w:p>
      <w:pPr>
        <w:pStyle w:val="TextBody"/>
        <w:bidi w:val="0"/>
        <w:spacing w:before="160" w:after="283"/>
        <w:jc w:val="left"/>
        <w:rPr>
          <w:rFonts w:ascii="Times New Roman" w:hAnsi="Times New Roman"/>
          <w:sz w:val="20"/>
        </w:rPr>
      </w:pPr>
      <w:r>
        <w:rPr>
          <w:rFonts w:ascii="Times New Roman" w:hAnsi="Times New Roman"/>
          <w:b/>
          <w:caps/>
          <w:color w:val="000000"/>
          <w:sz w:val="20"/>
        </w:rPr>
        <w:t>OTHER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liabilities as of March 31, 2024 and December 31, 2023 consists of the following (in thousands): </w:t>
      </w:r>
    </w:p>
    <w:p>
      <w:pPr>
        <w:pStyle w:val="TextBody"/>
        <w:bidi w:val="0"/>
        <w:jc w:val="left"/>
        <w:rPr/>
      </w:pPr>
      <w:r>
        <w:rPr/>
        <w:t> </w:t>
      </w:r>
    </w:p>
    <w:tbl>
      <w:tblPr>
        <w:tblW w:w="5880" w:type="dxa"/>
        <w:jc w:val="left"/>
        <w:tblInd w:w="0" w:type="dxa"/>
        <w:tblLayout w:type="fixed"/>
        <w:tblCellMar>
          <w:top w:w="28" w:type="dxa"/>
          <w:left w:w="28" w:type="dxa"/>
          <w:bottom w:w="28" w:type="dxa"/>
          <w:right w:w="28" w:type="dxa"/>
        </w:tblCellMar>
      </w:tblPr>
      <w:tblGrid>
        <w:gridCol w:w="3016"/>
        <w:gridCol w:w="146"/>
        <w:gridCol w:w="263"/>
        <w:gridCol w:w="712"/>
        <w:gridCol w:w="146"/>
        <w:gridCol w:w="146"/>
        <w:gridCol w:w="339"/>
        <w:gridCol w:w="92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payable—non-current</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revenue—non-current</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9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 agreement</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liabilities</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13.</w:t>
      </w:r>
    </w:p>
    <w:p>
      <w:pPr>
        <w:pStyle w:val="TextBody"/>
        <w:bidi w:val="0"/>
        <w:spacing w:before="120" w:after="283"/>
        <w:jc w:val="left"/>
        <w:rPr>
          <w:rFonts w:ascii="Times New Roman" w:hAnsi="Times New Roman"/>
          <w:sz w:val="20"/>
        </w:rPr>
      </w:pPr>
      <w:r>
        <w:rPr>
          <w:rFonts w:ascii="Times New Roman" w:hAnsi="Times New Roman"/>
          <w:b/>
          <w:caps/>
          <w:color w:val="000000"/>
          <w:sz w:val="20"/>
        </w:rPr>
        <w:t>LONG-TERM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21, 2021, CCC Intelligent Solutions Inc., an indirect wholly-owned subsidiary of the Company, together with certain of the Company’s subsidiaries acting as guarantors entered into a credit agreement (as amended, the "2021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proceeds of the 2021 Credit Agreement and cash on hand were used to repay all outstanding borrowings under the Company's previous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consists of an $800.0 million term loan ("Term B Loan") and a revolving credit facility for an 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 As of March 31, 2024 and December 31, 2023, the unamortized debt discount was $1.4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incurred $9.8 million in financing costs related to the Term B Loan. These costs were recorded to a contra debt account and are being amortized to interest expense over the term of the Term B Loan using the effective interest method. As of March 31, 2024 and December 31, 2023, the unamortized financing costs were $6.8 million and $7.1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incurred $3.1 million in financing costs related to the 2021 Revolving Credit Facility. These costs were recorded to a deferred financing fees asset account and are being amortized to interest expense over the term of the 2021 Revolving Credit Facility. As of March 31, 2024 and December 31, 2023, the deferred financing fees asset balance was $1.5 million and $1.7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B Loan requires quarterly principal payments of $2.0 million until June 30, 2028, with the remaining outstanding principal amount required to be paid on the maturity date, September 21, 2028. If the Company's leverage ratio, as defined in the 2021 Credit Agreement, is greater than 3.5, the Term B Loan requires a principal prepayment,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2023, the Company's leverage ratio did not exceed the 3.5 threshold and the Company was not subject to the annual excess cash flow calculation and, as such, was not required to make a principal prepayment.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and December 31, 2023, the amount outstanding on the Term B Loan is $ 782.0 million and $784.0 million, respectively, of which $8.0 million is classified as current in the accompanying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2021 Credit Facilities bear interest at rates based on the ratio of CCC Intelligent Solutions Inc. and certain of its subsidiaries’ consolidated first lien net indebtedness to consolidated EBITDA for applicable periods specified in the 2021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May 2023, the Company entered into Amendment No. 1 to the 2021 Credit Agreement (the "Amendment") to establish the Secured Overnight Financing Rate ("SOFR") as the benchmark rate for determining the applicable interest rate, replacing the London Interbank Offer Rate ("LIBOR"). No other terms, including the amount of borrowings, required payments or maturity date, were changed as a result of the Amendment. The Company did not incur significant costs associated with the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the execution of the Amendment, the interest rate per annum applicable to the loans is based on a fluctuating rate of interest equal to the sum of an applicable rate and term SOFR (other than with respect to Euros, the Euro Interbank Offer Rate ("EURIBOR") and with respect to British Pounds Sterling, Sterling Overnight Indexed Average ("SONIA")) with a term, as selected by the Company, of one, three or six months (subject to (x) in the case of term loans, a 0.50% per annum floor and (y) in the case of revolving loans, a 0.00% per annum floor).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execution of the Amendment, the interest rate per annum applicable to the loans was based on a fluctuating rate of interest equal to the sum of an applicable rate and, at the Company’s election from time to time, either: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quarterly commitment fee of up to 0.50% is payable on the unused portion of the 2021 Revolving Credit Facility. The 2021 Revolving Credit Facility matures on September 21,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and 2023, the weighted-average interest rate on the outstanding borrowings under the Term B Loan was 7.8% and 6.9%,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an outstanding standby letter of credit for $0.7 million which reduces the amount available to be borrowed under the 2021 Revolving Credit Facility. As of March 31, 2024 and December 31, 2023, $249.3 million was available to be borrowed.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the 2021 Credit Agreement include a financial covenant which requires that, at the end of each fiscal quarter, if the aggregate amount of borrowings under the 2021 Revolving Credit Facility exceeds 35% of the aggregate commitments of the Company, the leverage ratio of CCC Intelligent Solutions Inc. and certain of its subsidiaries cannot exceed 6.25 to 1.00. Borrowings under the 2021 Revolving Credit Facility did not exceed 35% of the aggregate commitments and the Company was not subject to the leverage test as of March 31, 2024 or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debt as of March 31, 2024 and December 31, 2023 consists of the following (in thousands): </w:t>
      </w:r>
    </w:p>
    <w:p>
      <w:pPr>
        <w:pStyle w:val="TextBody"/>
        <w:bidi w:val="0"/>
        <w:jc w:val="left"/>
        <w:rPr/>
      </w:pPr>
      <w:r>
        <w:rPr/>
        <w:t> </w:t>
      </w:r>
    </w:p>
    <w:tbl>
      <w:tblPr>
        <w:tblW w:w="7072" w:type="dxa"/>
        <w:jc w:val="left"/>
        <w:tblInd w:w="0" w:type="dxa"/>
        <w:tblLayout w:type="fixed"/>
        <w:tblCellMar>
          <w:top w:w="28" w:type="dxa"/>
          <w:left w:w="28" w:type="dxa"/>
          <w:bottom w:w="28" w:type="dxa"/>
          <w:right w:w="28" w:type="dxa"/>
        </w:tblCellMar>
      </w:tblPr>
      <w:tblGrid>
        <w:gridCol w:w="3951"/>
        <w:gridCol w:w="146"/>
        <w:gridCol w:w="211"/>
        <w:gridCol w:w="781"/>
        <w:gridCol w:w="166"/>
        <w:gridCol w:w="146"/>
        <w:gridCol w:w="268"/>
        <w:gridCol w:w="992"/>
        <w:gridCol w:w="411"/>
      </w:tblGrid>
      <w:tr>
        <w:trPr/>
        <w:tc>
          <w:tcPr>
            <w:tcW w:w="3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vAlign w:val="center"/>
          </w:tcPr>
          <w:p>
            <w:pPr>
              <w:pStyle w:val="TableContents"/>
              <w:bidi w:val="0"/>
              <w:spacing w:before="0" w:after="283"/>
              <w:jc w:val="center"/>
              <w:rPr/>
            </w:pPr>
            <w:r>
              <w:rPr/>
              <w:t> </w:t>
            </w:r>
          </w:p>
        </w:tc>
      </w:tr>
      <w:tr>
        <w:trPr/>
        <w:tc>
          <w:tcPr>
            <w:tcW w:w="3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784,000</w:t>
            </w:r>
          </w:p>
        </w:tc>
        <w:tc>
          <w:tcPr>
            <w:tcW w:w="411" w:type="dxa"/>
            <w:tcBorders/>
            <w:shd w:fill="CFF0FC" w:val="clear"/>
            <w:vAlign w:val="center"/>
          </w:tcPr>
          <w:p>
            <w:pPr>
              <w:pStyle w:val="TableContents"/>
              <w:bidi w:val="0"/>
              <w:spacing w:before="0" w:after="283"/>
              <w:jc w:val="left"/>
              <w:rPr/>
            </w:pPr>
            <w:r>
              <w:rPr/>
              <w:t> </w:t>
            </w:r>
          </w:p>
        </w:tc>
      </w:tr>
      <w:tr>
        <w:trPr/>
        <w:tc>
          <w:tcPr>
            <w:tcW w:w="3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Loan—deferred financing fees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B Loan—Net of discount &amp; fees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debt—Net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765,874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767,504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Interest Rate Caps</w:t>
      </w:r>
      <w:r>
        <w:rPr>
          <w:rFonts w:ascii="Times New Roman" w:hAnsi="Times New Roman"/>
          <w:color w:val="000000"/>
          <w:sz w:val="20"/>
        </w:rPr>
        <w:t xml:space="preserve">—In August 2022, the Company entered into two interest rate cap agreements to reduce its exposure to increases in interest rates applicable to its floating rate long-term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May 2023, the Company transitioned the referenced interest rate within the two interest rate cap agreements from LIBOR to SOFR by terminating the original agreements and simultaneously entering into new agreements. The terms of the new agreements were unchanged except for the referenced interest 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interest rate cap agreements have an aggregate notional amount of $600.0 million and a one-month SOFR cap rate of 4.00% through their expiration in July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received related to the interest rate cap agreements was $2.0 million and $0.8 million for the three months ended March 31,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and December 31, 2023, the aggregate fair value of the interest rate cap agreements was $6.9 million and $6.2 million, respectively (see Note 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REDEEMABLE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12, 2020 (the "Close Date"), the Company closed a stock purchase agreement (the "Stock Purchase Agreement") with a third-party investor (the "Investor") for purchase by the Investor of Series A Preferred Stock in CCCIS Cayman Holdings Limited ("CCC Cayman"), the parent of the Company’s China operations. On the Close Date, CCC Cayman, a subsidiary of the Company, issued 1,818 shares of Series A Preferred Stock (the "Preferred Shares") at $7,854 per share to the Investor for net proceeds of $14.2 million. As of March 31, 2024 and December 31, 2023, on an as-converted basis, the Preferred Shares represent an aggregate 10.0% ownership interest of the issued and outstanding capital stock of CCC Cayman, or 8.6% on a fully-diluted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Preferred Shares are redeemable upon an actual or deemed redemption event as defined in the Stock Purchase Agreement or at the option of the Investor beginning on the five-year anniversary of the Close Date, if an actual or deemed redemption event has not yet occurred. The redemption price, as defined by the Stock Purchase Agreement, is equal to the original issue price of the Preferred Shares, plus 10.0% compound interest per annum on the Preferred Share issue price, plus any declared but unpaid dividends on the 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Preferred Shares do not participate in net income or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and December 31, 2023, the Investor’s ownership in CCC Cayman is classified in mezzanine equity as a redeemable non-controlling interest, because it is redeemable on an event that is not solely in the control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May 2023, the Company determined it was probable the non-controlling interest would become redeemable and began to accrete the non-controlling interest to its redemption value. Changes in the carrying value of the non-controlling interest are recorded as adjustments to additional paid-in capital.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activity impacting the redeemable non-controllable interest during the three months ended March 31, 2024 and 2023 is presented below (in thousands):</w:t>
      </w:r>
    </w:p>
    <w:tbl>
      <w:tblPr>
        <w:tblW w:w="7206" w:type="dxa"/>
        <w:jc w:val="left"/>
        <w:tblInd w:w="0" w:type="dxa"/>
        <w:tblLayout w:type="fixed"/>
        <w:tblCellMar>
          <w:top w:w="28" w:type="dxa"/>
          <w:left w:w="28" w:type="dxa"/>
          <w:bottom w:w="28" w:type="dxa"/>
          <w:right w:w="28" w:type="dxa"/>
        </w:tblCellMar>
      </w:tblPr>
      <w:tblGrid>
        <w:gridCol w:w="4281"/>
        <w:gridCol w:w="259"/>
        <w:gridCol w:w="829"/>
        <w:gridCol w:w="179"/>
        <w:gridCol w:w="179"/>
        <w:gridCol w:w="259"/>
        <w:gridCol w:w="829"/>
        <w:gridCol w:w="391"/>
      </w:tblGrid>
      <w:tr>
        <w:trPr/>
        <w:tc>
          <w:tcPr>
            <w:tcW w:w="42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16,584</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redeemable non-controlling interest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17,726</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15.</w:t>
      </w:r>
    </w:p>
    <w:p>
      <w:pPr>
        <w:pStyle w:val="TextBody"/>
        <w:bidi w:val="0"/>
        <w:spacing w:before="360" w:after="283"/>
        <w:jc w:val="left"/>
        <w:rPr>
          <w:rFonts w:ascii="Times New Roman" w:hAnsi="Times New Roman"/>
          <w:sz w:val="20"/>
        </w:rPr>
      </w:pPr>
      <w:r>
        <w:rPr>
          <w:rFonts w:ascii="Times New Roman" w:hAnsi="Times New Roman"/>
          <w:b/>
          <w:caps/>
          <w:color w:val="000000"/>
          <w:sz w:val="20"/>
        </w:rPr>
        <w:t>Capital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—The Company is authorized to issue up to 100,000,000 shares of undesignated preferred stock with a par value of $0.0001 per share with such designations, voting and other rights and preferences as may be determined from time to time by the Company’s board of directors. As of March 31, 2024, there were no shares of preferred stock issued or outstanding.</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—The Company is authorized to issue up to 5,000,000,000 shares of common stock with a par value of $0.0001 per share. Each holder of common stock is entitled to one 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614,257,735 and 603,128,781 shares of common stock issued and outstanding as of March 31, 2024 and December 31, 2023, respectively. </w:t>
      </w:r>
    </w:p>
    <w:p>
      <w:pPr>
        <w:pStyle w:val="TextBody"/>
        <w:bidi w:val="0"/>
        <w:spacing w:before="120" w:after="283"/>
        <w:jc w:val="left"/>
        <w:rPr>
          <w:rFonts w:ascii="Times New Roman" w:hAnsi="Times New Roman"/>
          <w:sz w:val="20"/>
        </w:rPr>
      </w:pPr>
      <w:r>
        <w:rPr>
          <w:rFonts w:ascii="Times New Roman" w:hAnsi="Times New Roman"/>
          <w:i/>
          <w:color w:val="000000"/>
          <w:sz w:val="20"/>
        </w:rPr>
        <w:t>Secondary Offerings</w:t>
      </w:r>
      <w:r>
        <w:rPr>
          <w:rFonts w:ascii="Times New Roman" w:hAnsi="Times New Roman"/>
          <w:color w:val="000000"/>
          <w:sz w:val="20"/>
        </w:rPr>
        <w:t xml:space="preserve">—During January 2024 and February 2024, certain existing stockholders completed secondary offerings where the selling stockholders sold 22,000,000 shares and 49,450,000 shares, respectively, of the Company's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receive any of the proceeds from the sale of the shares by the selling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secondary offerings, the Company incurred costs of $0.7 million during the three months ended March 31, 2024, included within general and administrative expenses on the condensed consolidated statement of operations and comprehensive (loss) income.</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16.</w:t>
      </w:r>
    </w:p>
    <w:p>
      <w:pPr>
        <w:pStyle w:val="TextBody"/>
        <w:bidi w:val="0"/>
        <w:spacing w:before="120" w:after="283"/>
        <w:jc w:val="left"/>
        <w:rPr/>
      </w:pPr>
      <w:r>
        <w:rPr>
          <w:rFonts w:ascii="Times New Roman" w:hAnsi="Times New Roman"/>
          <w:b/>
          <w:caps/>
          <w:color w:val="000000"/>
          <w:sz w:val="20"/>
        </w:rPr>
        <w:t>STOCK INCENTIVE PLANS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the 2021 Equity Incentive Plan (the "2021 Plan") was adopted and approved by the Company's board of directors and stockholders. </w:t>
      </w:r>
    </w:p>
    <w:p>
      <w:pPr>
        <w:pStyle w:val="TextBody"/>
        <w:bidi w:val="0"/>
        <w:spacing w:before="120" w:after="120"/>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—The table below summarizes the restricted stock unit ("RSU") activity for the three months ended March 31, 2024:</w:t>
      </w:r>
    </w:p>
    <w:tbl>
      <w:tblPr>
        <w:tblW w:w="6462" w:type="dxa"/>
        <w:jc w:val="left"/>
        <w:tblInd w:w="0" w:type="dxa"/>
        <w:tblLayout w:type="fixed"/>
        <w:tblCellMar>
          <w:top w:w="28" w:type="dxa"/>
          <w:left w:w="28" w:type="dxa"/>
          <w:bottom w:w="28" w:type="dxa"/>
          <w:right w:w="28" w:type="dxa"/>
        </w:tblCellMar>
      </w:tblPr>
      <w:tblGrid>
        <w:gridCol w:w="3151"/>
        <w:gridCol w:w="346"/>
        <w:gridCol w:w="146"/>
        <w:gridCol w:w="1096"/>
        <w:gridCol w:w="166"/>
        <w:gridCol w:w="146"/>
        <w:gridCol w:w="275"/>
        <w:gridCol w:w="745"/>
        <w:gridCol w:w="391"/>
      </w:tblGrid>
      <w:tr>
        <w:trPr/>
        <w:tc>
          <w:tcPr>
            <w:tcW w:w="3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39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39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RSUs—December 31, 2023</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36,329,881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5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5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(12,113,252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5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39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RSUs—March 31, 2024</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33,962,754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the Company granted 9,979,407 RSUs, of which 7,723,061 have time-based vesting requirements, and 2,256,346 have performance-based vesting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12,113,252 RSUs vested, of which 4,525,204 were withheld for employee tax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the board of directors of CCCIS approved modifications to the performance-based RSUs subject to a market condition. The modifications included: (i) the extension of the performance period by one year, (ii) a change to the performance criteria, (iii) a change to the number of units to be issued depending on performance and (iv) for certain grants, imposing a maximum number of units to be issued depending on performance equal to 100% of the target.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modification to the performance-based RSUs subject to a market condition resulted in incremental stock-based compensation expense of $67.0 million, which is being recognized ratably over the modified performance periods. </w:t>
      </w:r>
    </w:p>
    <w:p>
      <w:pPr>
        <w:pStyle w:val="TextBody"/>
        <w:bidi w:val="0"/>
        <w:spacing w:before="120" w:after="120"/>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—The table below summarizes the stock option activity for the three months ended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44"/>
        <w:gridCol w:w="146"/>
        <w:gridCol w:w="146"/>
        <w:gridCol w:w="1036"/>
        <w:gridCol w:w="166"/>
        <w:gridCol w:w="146"/>
        <w:gridCol w:w="301"/>
        <w:gridCol w:w="668"/>
        <w:gridCol w:w="146"/>
        <w:gridCol w:w="146"/>
        <w:gridCol w:w="322"/>
        <w:gridCol w:w="804"/>
        <w:gridCol w:w="146"/>
        <w:gridCol w:w="146"/>
        <w:gridCol w:w="265"/>
        <w:gridCol w:w="984"/>
        <w:gridCol w:w="393"/>
      </w:tblGrid>
      <w:tr>
        <w:trPr/>
        <w:tc>
          <w:tcPr>
            <w:tcW w:w="4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2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9" w:type="dxa"/>
            <w:gridSpan w:val="2"/>
            <w:tcBorders/>
            <w:shd w:fill="FFFFFF" w:val="clear"/>
            <w:vAlign w:val="center"/>
          </w:tcPr>
          <w:p>
            <w:pPr>
              <w:pStyle w:val="TableContents"/>
              <w:bidi w:val="0"/>
              <w:spacing w:before="0" w:after="283"/>
              <w:jc w:val="center"/>
              <w:rPr/>
            </w:pPr>
            <w:r>
              <w:rPr/>
              <w:t> </w:t>
            </w:r>
          </w:p>
        </w:tc>
        <w:tc>
          <w:tcPr>
            <w:tcW w:w="393" w:type="dxa"/>
            <w:tcBorders/>
            <w:shd w:fill="FFFFFF" w:val="clear"/>
            <w:vAlign w:val="center"/>
          </w:tcPr>
          <w:p>
            <w:pPr>
              <w:pStyle w:val="TableContents"/>
              <w:bidi w:val="0"/>
              <w:spacing w:before="0" w:after="283"/>
              <w:jc w:val="center"/>
              <w:rPr/>
            </w:pPr>
            <w:r>
              <w:rPr/>
              <w:t> </w:t>
            </w:r>
          </w:p>
        </w:tc>
      </w:tr>
      <w:tr>
        <w:trPr/>
        <w:tc>
          <w:tcPr>
            <w:tcW w:w="42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9" w:type="dxa"/>
            <w:gridSpan w:val="2"/>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393" w:type="dxa"/>
            <w:tcBorders/>
            <w:shd w:fill="FFFFFF" w:val="clear"/>
            <w:vAlign w:val="center"/>
          </w:tcPr>
          <w:p>
            <w:pPr>
              <w:pStyle w:val="TableContents"/>
              <w:bidi w:val="0"/>
              <w:spacing w:before="0" w:after="283"/>
              <w:jc w:val="center"/>
              <w:rPr/>
            </w:pPr>
            <w:r>
              <w:rPr/>
              <w:t> </w:t>
            </w:r>
          </w:p>
        </w:tc>
      </w:tr>
      <w:tr>
        <w:trPr/>
        <w:tc>
          <w:tcPr>
            <w:tcW w:w="42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393" w:type="dxa"/>
            <w:tcBorders/>
            <w:shd w:fill="FFFFFF" w:val="clear"/>
            <w:vAlign w:val="center"/>
          </w:tcPr>
          <w:p>
            <w:pPr>
              <w:pStyle w:val="TableContents"/>
              <w:bidi w:val="0"/>
              <w:spacing w:before="0" w:after="283"/>
              <w:jc w:val="center"/>
              <w:rPr/>
            </w:pPr>
            <w:r>
              <w:rPr/>
              <w:t> </w:t>
            </w:r>
          </w:p>
        </w:tc>
      </w:tr>
      <w:tr>
        <w:trPr/>
        <w:tc>
          <w:tcPr>
            <w:tcW w:w="42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393" w:type="dxa"/>
            <w:tcBorders/>
            <w:shd w:fill="FFFFFF" w:val="clear"/>
            <w:vAlign w:val="center"/>
          </w:tcPr>
          <w:p>
            <w:pPr>
              <w:pStyle w:val="TableContents"/>
              <w:bidi w:val="0"/>
              <w:spacing w:before="0" w:after="283"/>
              <w:jc w:val="center"/>
              <w:rPr/>
            </w:pPr>
            <w:r>
              <w:rPr/>
              <w:t> </w:t>
            </w:r>
          </w:p>
        </w:tc>
      </w:tr>
      <w:tr>
        <w:trPr/>
        <w:tc>
          <w:tcPr>
            <w:tcW w:w="42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35,788,469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9"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301,563</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42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(3,346,599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9"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42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 and canceled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9"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jc w:val="right"/>
              <w:rPr/>
            </w:pPr>
            <w:r>
              <w:rPr/>
              <w:t> </w:t>
            </w:r>
          </w:p>
        </w:tc>
      </w:tr>
      <w:tr>
        <w:trPr/>
        <w:tc>
          <w:tcPr>
            <w:tcW w:w="4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32,436,762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290,713</w:t>
            </w:r>
          </w:p>
        </w:tc>
        <w:tc>
          <w:tcPr>
            <w:tcW w:w="393" w:type="dxa"/>
            <w:tcBorders/>
            <w:shd w:fill="FFFFFF" w:val="clear"/>
            <w:vAlign w:val="center"/>
          </w:tcPr>
          <w:p>
            <w:pPr>
              <w:pStyle w:val="TableContents"/>
              <w:bidi w:val="0"/>
              <w:spacing w:before="0" w:after="283"/>
              <w:jc w:val="left"/>
              <w:rPr/>
            </w:pPr>
            <w:r>
              <w:rPr/>
              <w:t> </w:t>
            </w:r>
          </w:p>
        </w:tc>
      </w:tr>
      <w:tr>
        <w:trPr/>
        <w:tc>
          <w:tcPr>
            <w:tcW w:w="4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31,152,178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282,656</w:t>
            </w:r>
          </w:p>
        </w:tc>
        <w:tc>
          <w:tcPr>
            <w:tcW w:w="393"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32,391,014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290,472</w:t>
            </w:r>
          </w:p>
        </w:tc>
        <w:tc>
          <w:tcPr>
            <w:tcW w:w="393"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options which vested during the three months ended March 31, 2024 was $1.3 million.</w:t>
      </w:r>
    </w:p>
    <w:p>
      <w:pPr>
        <w:pStyle w:val="TextBody"/>
        <w:bidi w:val="0"/>
        <w:spacing w:before="120" w:after="283"/>
        <w:jc w:val="left"/>
        <w:rPr>
          <w:rFonts w:ascii="Times New Roman" w:hAnsi="Times New Roman"/>
          <w:sz w:val="20"/>
        </w:rPr>
      </w:pPr>
      <w:r>
        <w:rPr>
          <w:rFonts w:ascii="Times New Roman" w:hAnsi="Times New Roman"/>
          <w:i/>
          <w:color w:val="000000"/>
          <w:sz w:val="20"/>
        </w:rPr>
        <w:t>Cayman Equity Incentive Plan</w:t>
      </w:r>
      <w:r>
        <w:rPr>
          <w:rFonts w:ascii="Times New Roman" w:hAnsi="Times New Roman"/>
          <w:color w:val="000000"/>
          <w:sz w:val="20"/>
        </w:rPr>
        <w:t xml:space="preserve">—In December 2022, the Company adopted the CCCIS Cayman Holdings Employees Equity Incentive Plans ("Cayman Incentive Plans"), which provide for the issuance of stock option awards in CCC Cayman ("Cayman Awards") to eligible employees of the Company's China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Awards under the Cayman Incentive Plans are settled in cash and thus accounted for as liability awards. Awards granted under the Cayman Incentive Plans have time-based vesting and expire on the tenth anniversary of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the Company granted 761,743 stock options under the Cayman Incentive Plans. The exercise price of the options granted is equal to the fair value of the underlying shares at the grant date. As of March 31, 2024 and December 31, 2023, 2,455,715 and 1,735,900, respectively, of stock options under the Cayman Incentive Plans are outstanding. As of March 31, 2024, none of the outstanding stock options are exercisable.</w:t>
      </w:r>
    </w:p>
    <w:p>
      <w:pPr>
        <w:pStyle w:val="TextBody"/>
        <w:bidi w:val="0"/>
        <w:spacing w:before="120" w:after="283"/>
        <w:jc w:val="left"/>
        <w:rPr>
          <w:rFonts w:ascii="Times New Roman" w:hAnsi="Times New Roman"/>
          <w:sz w:val="20"/>
        </w:rPr>
      </w:pPr>
      <w:r>
        <w:rPr>
          <w:rFonts w:ascii="Times New Roman" w:hAnsi="Times New Roman"/>
          <w:i/>
          <w:color w:val="000000"/>
          <w:sz w:val="20"/>
        </w:rPr>
        <w:t>Employee Stock Purchase Plan</w:t>
      </w:r>
      <w:r>
        <w:rPr>
          <w:rFonts w:ascii="Times New Roman" w:hAnsi="Times New Roman"/>
          <w:color w:val="000000"/>
          <w:sz w:val="20"/>
        </w:rPr>
        <w:t xml:space="preserve">—In July 2021, the Company adopted the CCC 2021 Employee Stock Purchase Plan ("ESPP").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194,307 shares were sold under the ESPP.</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the ESPP purchase rights sold during the three months ended March 31, 2024 was estimated using the Black-Scholes option pricing model with the following assumptions:</w:t>
      </w:r>
    </w:p>
    <w:tbl>
      <w:tblPr>
        <w:tblW w:w="2848" w:type="dxa"/>
        <w:jc w:val="left"/>
        <w:tblInd w:w="0" w:type="dxa"/>
        <w:tblLayout w:type="fixed"/>
        <w:tblCellMar>
          <w:top w:w="28" w:type="dxa"/>
          <w:left w:w="28" w:type="dxa"/>
          <w:bottom w:w="28" w:type="dxa"/>
          <w:right w:w="28" w:type="dxa"/>
        </w:tblCellMar>
      </w:tblPr>
      <w:tblGrid>
        <w:gridCol w:w="2131"/>
        <w:gridCol w:w="146"/>
        <w:gridCol w:w="57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Stock-Based Compensation</w:t>
      </w:r>
      <w:r>
        <w:rPr>
          <w:rFonts w:ascii="Times New Roman" w:hAnsi="Times New Roman"/>
          <w:color w:val="000000"/>
          <w:sz w:val="20"/>
        </w:rPr>
        <w:t>—Stock-based compensation expense has been recorded in the accompanying condensed consolidated statements of operations and comprehensive (loss) income as follows for the three months ended March 31, 2024 and 2023 (in thousands):</w:t>
      </w:r>
    </w:p>
    <w:p>
      <w:pPr>
        <w:pStyle w:val="TextBody"/>
        <w:bidi w:val="0"/>
        <w:jc w:val="left"/>
        <w:rPr/>
      </w:pPr>
      <w:r>
        <w:rPr/>
        <w:t> </w:t>
      </w:r>
    </w:p>
    <w:tbl>
      <w:tblPr>
        <w:tblW w:w="6722" w:type="dxa"/>
        <w:jc w:val="left"/>
        <w:tblInd w:w="0" w:type="dxa"/>
        <w:tblLayout w:type="fixed"/>
        <w:tblCellMar>
          <w:top w:w="28" w:type="dxa"/>
          <w:left w:w="28" w:type="dxa"/>
          <w:bottom w:w="28" w:type="dxa"/>
          <w:right w:w="28" w:type="dxa"/>
        </w:tblCellMar>
      </w:tblPr>
      <w:tblGrid>
        <w:gridCol w:w="3651"/>
        <w:gridCol w:w="146"/>
        <w:gridCol w:w="259"/>
        <w:gridCol w:w="829"/>
        <w:gridCol w:w="179"/>
        <w:gridCol w:w="179"/>
        <w:gridCol w:w="259"/>
        <w:gridCol w:w="829"/>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11,071</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44,971</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2024, there was $238.9 million of unrecognized stock compensation expense related to unvested time-based awards which is expected to be recognized over a weighted-average period of 2.9 years. As of March 31, 2024, there was $86.9 million of unrecognized stock-based compensation expense related to unvested performance-based awards which is expected to be recognized over a weighted-average period of 1.5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17.</w:t>
      </w:r>
    </w:p>
    <w:p>
      <w:pPr>
        <w:pStyle w:val="TextBody"/>
        <w:bidi w:val="0"/>
        <w:spacing w:before="360" w:after="283"/>
        <w:jc w:val="left"/>
        <w:rPr>
          <w:rFonts w:ascii="Times New Roman" w:hAnsi="Times New Roman"/>
          <w:sz w:val="20"/>
        </w:rPr>
      </w:pPr>
      <w:r>
        <w:rPr>
          <w:rFonts w:ascii="Times New Roman" w:hAnsi="Times New Roman"/>
          <w:b/>
          <w:caps/>
          <w:color w:val="000000"/>
          <w:sz w:val="20"/>
        </w:rPr>
        <w:t>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consummation of the Business Combination, the Company assumed warrants sold in a private placement ("Private Warrants") issued by Dragoneer.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Private Warrants may only be exercised for a whole number of shares of the Company’s common stock. Each Private Warrant entitles the registered holder to purchase one share of the Company’s common stock. All warrants have an exercise price of $11.50 per share, subject to adjustment, beginning on August 29, 2021, and will expire on July 30, 2026 or earlier upon redemption or liquidation.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exercises or redemptions of the Private Warrants during the three months ended March 31, 2024. As of March 31, 2024 and December 31, 2023, the Company had 17,800,000 Private Warrants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expense of $1.6 million and income of $1.2 million as a change in fair value of warrant liabilities in the condensed consolidated statements of operations and comprehensive (loss) income for the three months ended March 31,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and December 31, 2023, the Company’s warrant liability was $53.1 million and $51.5 million, respectively.</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18.</w:t>
      </w:r>
    </w:p>
    <w:p>
      <w:pPr>
        <w:pStyle w:val="TextBody"/>
        <w:bidi w:val="0"/>
        <w:spacing w:before="360" w:after="283"/>
        <w:jc w:val="left"/>
        <w:rPr>
          <w:rFonts w:ascii="Times New Roman" w:hAnsi="Times New Roman"/>
          <w:sz w:val="20"/>
        </w:rPr>
      </w:pPr>
      <w:r>
        <w:rPr>
          <w:rFonts w:ascii="Times New Roman" w:hAnsi="Times New Roman"/>
          <w:b/>
          <w:caps/>
          <w:color w:val="000000"/>
          <w:sz w:val="20"/>
        </w:rPr>
        <w:t>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Obligations</w:t>
      </w:r>
      <w:r>
        <w:rPr>
          <w:rFonts w:ascii="Times New Roman" w:hAnsi="Times New Roman"/>
          <w:color w:val="000000"/>
          <w:sz w:val="20"/>
        </w:rPr>
        <w:t xml:space="preserve">—The Company has long-term agreements with suppliers and other parties related to licensing data used in its services, outsourced data center, disaster recovery and SaaS that expire at various dates through 2031. As of March 31, 2024, there were no material changes from the amounts disclosed as of December 31, 2023. </w:t>
      </w:r>
    </w:p>
    <w:p>
      <w:pPr>
        <w:pStyle w:val="TextBody"/>
        <w:bidi w:val="0"/>
        <w:spacing w:before="120" w:after="283"/>
        <w:jc w:val="left"/>
        <w:rPr>
          <w:rFonts w:ascii="Times New Roman" w:hAnsi="Times New Roman"/>
          <w:sz w:val="20"/>
        </w:rPr>
      </w:pPr>
      <w:r>
        <w:rPr>
          <w:rFonts w:ascii="Times New Roman" w:hAnsi="Times New Roman"/>
          <w:b/>
          <w:color w:val="000000"/>
          <w:sz w:val="20"/>
        </w:rPr>
        <w:t>Guarantees—</w:t>
      </w:r>
      <w:r>
        <w:rPr>
          <w:rFonts w:ascii="Times New Roman" w:hAnsi="Times New Roman"/>
          <w:color w:val="000000"/>
          <w:sz w:val="20"/>
        </w:rPr>
        <w:t>The Company’s services and solutions are typically warranted to perform in a manner consistent with general industry standards that 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subject to customary limitations, if its services and solutions infringe a third party’s intellectual property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 Company has not incurred any material costs as a result of such indemnifications or commitments and has not accrued any liabilities related to such obligations in the accompanying consolidated financial statements.</w:t>
      </w:r>
    </w:p>
    <w:p>
      <w:pPr>
        <w:pStyle w:val="TextBody"/>
        <w:bidi w:val="0"/>
        <w:spacing w:before="120" w:after="283"/>
        <w:jc w:val="left"/>
        <w:rPr>
          <w:rFonts w:ascii="Times New Roman" w:hAnsi="Times New Roman"/>
          <w:sz w:val="20"/>
        </w:rPr>
      </w:pPr>
      <w:r>
        <w:rPr>
          <w:rFonts w:ascii="Times New Roman" w:hAnsi="Times New Roman"/>
          <w:b/>
          <w:color w:val="000000"/>
          <w:sz w:val="20"/>
        </w:rPr>
        <w:t>Employment Agreements</w:t>
      </w:r>
      <w:r>
        <w:rPr>
          <w:rFonts w:ascii="Times New Roman" w:hAnsi="Times New Roman"/>
          <w:color w:val="000000"/>
          <w:sz w:val="20"/>
        </w:rPr>
        <w:t xml:space="preserve">—The Company is a party to employment agreements with key employees that provide for compensation and certain other benefits. These agreements also provide for severance and bonus payments under certain circumstances.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19.</w:t>
      </w:r>
    </w:p>
    <w:p>
      <w:pPr>
        <w:pStyle w:val="TextBody"/>
        <w:bidi w:val="0"/>
        <w:spacing w:before="360" w:after="283"/>
        <w:jc w:val="left"/>
        <w:rPr>
          <w:rFonts w:ascii="Times New Roman" w:hAnsi="Times New Roman"/>
          <w:sz w:val="20"/>
        </w:rPr>
      </w:pPr>
      <w:r>
        <w:rPr>
          <w:rFonts w:ascii="Times New Roman" w:hAnsi="Times New Roman"/>
          <w:b/>
          <w:caps/>
          <w:color w:val="000000"/>
          <w:sz w:val="20"/>
        </w:rPr>
        <w:t>LEGAL PROCEEDINGS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20.</w:t>
      </w:r>
    </w:p>
    <w:p>
      <w:pPr>
        <w:pStyle w:val="TextBody"/>
        <w:bidi w:val="0"/>
        <w:spacing w:before="360" w:after="283"/>
        <w:jc w:val="left"/>
        <w:rPr>
          <w:rFonts w:ascii="Times New Roman" w:hAnsi="Times New Roman"/>
          <w:sz w:val="20"/>
        </w:rPr>
      </w:pPr>
      <w:r>
        <w:rPr>
          <w:rFonts w:ascii="Times New Roman" w:hAnsi="Times New Roman"/>
          <w:b/>
          <w:caps/>
          <w:color w:val="000000"/>
          <w:sz w:val="20"/>
        </w:rPr>
        <w:t>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engaged in transactions within the ordinary course of business with entities affiliated with its principal equity owners and directors.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revenues recognized and expenses incurred with entities affiliated with one of its principal equity owners and directors for the three months ended March 31, 2024 and 2023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085" w:type="dxa"/>
        <w:jc w:val="left"/>
        <w:tblInd w:w="0" w:type="dxa"/>
        <w:tblLayout w:type="fixed"/>
        <w:tblCellMar>
          <w:top w:w="28" w:type="dxa"/>
          <w:left w:w="28" w:type="dxa"/>
          <w:bottom w:w="28" w:type="dxa"/>
          <w:right w:w="28" w:type="dxa"/>
        </w:tblCellMar>
      </w:tblPr>
      <w:tblGrid>
        <w:gridCol w:w="3116"/>
        <w:gridCol w:w="146"/>
        <w:gridCol w:w="343"/>
        <w:gridCol w:w="686"/>
        <w:gridCol w:w="237"/>
        <w:gridCol w:w="237"/>
        <w:gridCol w:w="343"/>
        <w:gridCol w:w="686"/>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91" w:type="dxa"/>
            <w:tcBorders/>
            <w:shd w:fill="FFFFFF" w:val="clear"/>
            <w:vAlign w:val="center"/>
          </w:tcPr>
          <w:p>
            <w:pPr>
              <w:pStyle w:val="TableContents"/>
              <w:bidi w:val="0"/>
              <w:spacing w:before="0" w:after="283"/>
              <w:jc w:val="center"/>
              <w:rPr/>
            </w:pPr>
            <w:r>
              <w:rPr/>
              <w:t> </w:t>
            </w:r>
          </w:p>
        </w:tc>
      </w:tr>
      <w:tr>
        <w:trPr/>
        <w:tc>
          <w:tcPr>
            <w:tcW w:w="3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shd w:fill="FFFFFF" w:val="cle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vAlign w:val="center"/>
          </w:tcPr>
          <w:p>
            <w:pPr>
              <w:pStyle w:val="TableContents"/>
              <w:bidi w:val="0"/>
              <w:spacing w:before="0" w:after="283"/>
              <w:jc w:val="center"/>
              <w:rPr/>
            </w:pPr>
            <w:r>
              <w:rPr/>
              <w:t> </w:t>
            </w:r>
          </w:p>
        </w:tc>
        <w:tc>
          <w:tcPr>
            <w:tcW w:w="1029" w:type="dxa"/>
            <w:gridSpan w:val="2"/>
            <w:tcBorders/>
            <w:shd w:fill="FFFFFF" w:val="clear"/>
            <w:vAlign w:val="center"/>
          </w:tcPr>
          <w:p>
            <w:pPr>
              <w:pStyle w:val="TableContents"/>
              <w:bidi w:val="0"/>
              <w:spacing w:before="0" w:after="283"/>
              <w:jc w:val="center"/>
              <w:rPr/>
            </w:pPr>
            <w:r>
              <w:rPr/>
              <w:t> </w:t>
            </w:r>
          </w:p>
        </w:tc>
        <w:tc>
          <w:tcPr>
            <w:tcW w:w="237" w:type="dxa"/>
            <w:tcBorders/>
            <w:shd w:fill="FFFFFF" w:val="clear"/>
            <w:vAlign w:val="center"/>
          </w:tcPr>
          <w:p>
            <w:pPr>
              <w:pStyle w:val="TableContents"/>
              <w:bidi w:val="0"/>
              <w:spacing w:before="0" w:after="283"/>
              <w:jc w:val="center"/>
              <w:rPr/>
            </w:pPr>
            <w:r>
              <w:rPr/>
              <w:t> </w:t>
            </w:r>
          </w:p>
        </w:tc>
        <w:tc>
          <w:tcPr>
            <w:tcW w:w="237" w:type="dxa"/>
            <w:tcBorders/>
            <w:shd w:fill="FFFFFF" w:val="clear"/>
            <w:vAlign w:val="center"/>
          </w:tcPr>
          <w:p>
            <w:pPr>
              <w:pStyle w:val="TableContents"/>
              <w:bidi w:val="0"/>
              <w:spacing w:before="0" w:after="283"/>
              <w:jc w:val="center"/>
              <w:rPr/>
            </w:pPr>
            <w:r>
              <w:rPr/>
              <w:t> </w:t>
            </w:r>
          </w:p>
        </w:tc>
        <w:tc>
          <w:tcPr>
            <w:tcW w:w="1029"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center"/>
              <w:rPr/>
            </w:pPr>
            <w:r>
              <w:rPr/>
              <w:t> </w:t>
            </w:r>
          </w:p>
        </w:tc>
      </w:tr>
      <w:tr>
        <w:trPr/>
        <w:tc>
          <w:tcPr>
            <w:tcW w:w="3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Credit card processing</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37"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center"/>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91" w:type="dxa"/>
            <w:tcBorders/>
            <w:shd w:fill="CFF0FC" w:val="clear"/>
            <w:vAlign w:val="center"/>
          </w:tcPr>
          <w:p>
            <w:pPr>
              <w:pStyle w:val="TableContents"/>
              <w:bidi w:val="0"/>
              <w:spacing w:before="0" w:after="283"/>
              <w:jc w:val="left"/>
              <w:rPr/>
            </w:pPr>
            <w:r>
              <w:rPr/>
              <w:t> </w:t>
            </w:r>
          </w:p>
        </w:tc>
      </w:tr>
      <w:tr>
        <w:trPr/>
        <w:tc>
          <w:tcPr>
            <w:tcW w:w="31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vAlign w:val="center"/>
          </w:tcPr>
          <w:p>
            <w:pPr>
              <w:pStyle w:val="TableContents"/>
              <w:bidi w:val="0"/>
              <w:spacing w:before="0" w:after="283"/>
              <w:jc w:val="center"/>
              <w:rPr/>
            </w:pPr>
            <w:r>
              <w:rPr/>
              <w:t> </w:t>
            </w:r>
          </w:p>
        </w:tc>
        <w:tc>
          <w:tcPr>
            <w:tcW w:w="1029" w:type="dxa"/>
            <w:gridSpan w:val="2"/>
            <w:tcBorders/>
            <w:shd w:fill="FFFFFF" w:val="clear"/>
            <w:vAlign w:val="center"/>
          </w:tcPr>
          <w:p>
            <w:pPr>
              <w:pStyle w:val="TableContents"/>
              <w:bidi w:val="0"/>
              <w:spacing w:before="0" w:after="283"/>
              <w:jc w:val="center"/>
              <w:rPr/>
            </w:pPr>
            <w:r>
              <w:rPr/>
              <w:t> </w:t>
            </w:r>
          </w:p>
        </w:tc>
        <w:tc>
          <w:tcPr>
            <w:tcW w:w="237" w:type="dxa"/>
            <w:tcBorders/>
            <w:shd w:fill="FFFFFF" w:val="clear"/>
            <w:vAlign w:val="center"/>
          </w:tcPr>
          <w:p>
            <w:pPr>
              <w:pStyle w:val="TableContents"/>
              <w:bidi w:val="0"/>
              <w:spacing w:before="0" w:after="283"/>
              <w:jc w:val="center"/>
              <w:rPr/>
            </w:pPr>
            <w:r>
              <w:rPr/>
              <w:t> </w:t>
            </w:r>
          </w:p>
        </w:tc>
        <w:tc>
          <w:tcPr>
            <w:tcW w:w="237" w:type="dxa"/>
            <w:tcBorders/>
            <w:shd w:fill="FFFFFF" w:val="clear"/>
            <w:vAlign w:val="center"/>
          </w:tcPr>
          <w:p>
            <w:pPr>
              <w:pStyle w:val="TableContents"/>
              <w:bidi w:val="0"/>
              <w:spacing w:before="0" w:after="283"/>
              <w:jc w:val="center"/>
              <w:rPr/>
            </w:pPr>
            <w:r>
              <w:rPr/>
              <w:t> </w:t>
            </w:r>
          </w:p>
        </w:tc>
        <w:tc>
          <w:tcPr>
            <w:tcW w:w="1029"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center"/>
              <w:rPr/>
            </w:pPr>
            <w:r>
              <w:rPr/>
              <w:t> </w:t>
            </w:r>
          </w:p>
        </w:tc>
      </w:tr>
      <w:tr>
        <w:trPr/>
        <w:tc>
          <w:tcPr>
            <w:tcW w:w="3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Employee health insurance benefits</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237"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right"/>
              <w:rPr/>
            </w:pPr>
            <w:r>
              <w:rPr/>
              <w:t> </w:t>
            </w:r>
          </w:p>
        </w:tc>
        <w:tc>
          <w:tcPr>
            <w:tcW w:w="343"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1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IT security software</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right"/>
              <w:rPr/>
            </w:pPr>
            <w:r>
              <w:rPr/>
              <w:t> </w:t>
            </w:r>
          </w:p>
        </w:tc>
        <w:tc>
          <w:tcPr>
            <w:tcW w:w="343"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Human resources support services</w:t>
            </w:r>
          </w:p>
        </w:tc>
        <w:tc>
          <w:tcPr>
            <w:tcW w:w="146" w:type="dxa"/>
            <w:tcBorders/>
            <w:shd w:fill="CFF0FC" w:val="clear"/>
            <w:vAlign w:val="center"/>
          </w:tcPr>
          <w:p>
            <w:pPr>
              <w:pStyle w:val="TableContents"/>
              <w:bidi w:val="0"/>
              <w:spacing w:before="0" w:after="283"/>
              <w:jc w:val="left"/>
              <w:rPr/>
            </w:pPr>
            <w:r>
              <w:rPr/>
              <w:t> </w:t>
            </w:r>
          </w:p>
        </w:tc>
        <w:tc>
          <w:tcPr>
            <w:tcW w:w="1029"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37"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right"/>
              <w:rPr/>
            </w:pPr>
            <w:r>
              <w:rPr/>
              <w:t> </w:t>
            </w:r>
          </w:p>
        </w:tc>
        <w:tc>
          <w:tcPr>
            <w:tcW w:w="343"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Not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the entity which provides human resources support services is no longer a related party.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31, 2024, all receivables and payables from related parties were de minimis. As of December 31, 2023, the Company had a related party payable due to its employee health insurance benefits vendor for $0.5 million.</w:t>
      </w:r>
    </w:p>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21.</w:t>
      </w:r>
    </w:p>
    <w:p>
      <w:pPr>
        <w:pStyle w:val="TextBody"/>
        <w:bidi w:val="0"/>
        <w:spacing w:before="360" w:after="283"/>
        <w:jc w:val="left"/>
        <w:rPr>
          <w:rFonts w:ascii="Times New Roman" w:hAnsi="Times New Roman"/>
          <w:sz w:val="20"/>
        </w:rPr>
      </w:pPr>
      <w:r>
        <w:rPr>
          <w:rFonts w:ascii="Times New Roman" w:hAnsi="Times New Roman"/>
          <w:b/>
          <w:caps/>
          <w:color w:val="000000"/>
          <w:sz w:val="20"/>
        </w:rPr>
        <w:t>OTHER INCOME (EXPENSE)</w:t>
      </w:r>
      <w:r>
        <w:rPr>
          <w:rFonts w:ascii="Times New Roman" w:hAnsi="Times New Roman"/>
          <w:color w:val="000000"/>
          <w:sz w:val="20"/>
        </w:rPr>
        <w:t>—</w:t>
      </w:r>
      <w:r>
        <w:rPr>
          <w:rFonts w:ascii="Times New Roman" w:hAnsi="Times New Roman"/>
          <w:b/>
          <w:caps/>
          <w:color w:val="000000"/>
          <w:sz w:val="20"/>
        </w:rPr>
        <w:t>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(expense)—Net consists of the following (in thousands):</w:t>
      </w:r>
    </w:p>
    <w:tbl>
      <w:tblPr>
        <w:tblW w:w="8202" w:type="dxa"/>
        <w:jc w:val="left"/>
        <w:tblInd w:w="0" w:type="dxa"/>
        <w:tblLayout w:type="fixed"/>
        <w:tblCellMar>
          <w:top w:w="28" w:type="dxa"/>
          <w:left w:w="28" w:type="dxa"/>
          <w:bottom w:w="28" w:type="dxa"/>
          <w:right w:w="28" w:type="dxa"/>
        </w:tblCellMar>
      </w:tblPr>
      <w:tblGrid>
        <w:gridCol w:w="5131"/>
        <w:gridCol w:w="146"/>
        <w:gridCol w:w="279"/>
        <w:gridCol w:w="755"/>
        <w:gridCol w:w="193"/>
        <w:gridCol w:w="193"/>
        <w:gridCol w:w="279"/>
        <w:gridCol w:w="835"/>
        <w:gridCol w:w="3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5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from change in fair value of derivative instruments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derivative instruments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income—Net</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(expense)—Net</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22.</w:t>
      </w:r>
    </w:p>
    <w:p>
      <w:pPr>
        <w:pStyle w:val="TextBody"/>
        <w:bidi w:val="0"/>
        <w:spacing w:before="360" w:after="283"/>
        <w:jc w:val="left"/>
        <w:rPr>
          <w:rFonts w:ascii="Times New Roman" w:hAnsi="Times New Roman"/>
          <w:sz w:val="20"/>
        </w:rPr>
      </w:pPr>
      <w:r>
        <w:rPr>
          <w:rFonts w:ascii="Times New Roman" w:hAnsi="Times New Roman"/>
          <w:b/>
          <w:caps/>
          <w:color w:val="000000"/>
          <w:sz w:val="20"/>
        </w:rPr>
        <w:t>NET (LOSS) INCOME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calculates basic earnings per share by dividing the net (loss) income attributable to common stockholders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 Company excludes common stock equivalent shares from the calculation if their effect is anti-dilutive. In a period where the Company is in a net loss position, the diluted loss per share is calculated using the basic share 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reconciliation of the numerator and denominator used to compute basic and diluted earnings per share of common stock (in thousands, except for share and per share data). </w:t>
      </w:r>
    </w:p>
    <w:tbl>
      <w:tblPr>
        <w:tblW w:w="8114" w:type="dxa"/>
        <w:jc w:val="left"/>
        <w:tblInd w:w="0" w:type="dxa"/>
        <w:tblLayout w:type="fixed"/>
        <w:tblCellMar>
          <w:top w:w="28" w:type="dxa"/>
          <w:left w:w="28" w:type="dxa"/>
          <w:bottom w:w="28" w:type="dxa"/>
          <w:right w:w="28" w:type="dxa"/>
        </w:tblCellMar>
      </w:tblPr>
      <w:tblGrid>
        <w:gridCol w:w="4561"/>
        <w:gridCol w:w="146"/>
        <w:gridCol w:w="211"/>
        <w:gridCol w:w="1141"/>
        <w:gridCol w:w="166"/>
        <w:gridCol w:w="146"/>
        <w:gridCol w:w="211"/>
        <w:gridCol w:w="1141"/>
        <w:gridCol w:w="3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3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391" w:type="dxa"/>
            <w:tcBorders/>
            <w:shd w:fill="FFFFFF"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598,279,377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616,217,176</w:t>
            </w:r>
          </w:p>
        </w:tc>
        <w:tc>
          <w:tcPr>
            <w:tcW w:w="3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stock-based awards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30,163,785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598,279,377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646,380,961</w:t>
            </w:r>
          </w:p>
        </w:tc>
        <w:tc>
          <w:tcPr>
            <w:tcW w:w="3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Approximately 36,824,894 and 15,957,331 common stock equivalent shares were excluded from the computation of diluted per share amounts for the three months ended March 31, 2024 and 2023, respectively, because their effect was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Business Combination, 8,625,000 shares issued and held by Dragoneer (the "Sponsor Vesting Shares") became non-transferable and subject to forfeiture on the tenth anniversary of the closing of the Business Combination if neither of the defined triggering events has occurred. The Sponsor Vesting Shares are issued and outstanding as of March 31, 2024 and December 31, 2023 and excluded from the weighted average number of shares of common stock outstanding until the vesting requirement is met and the restriction is removed.</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23.</w:t>
      </w:r>
    </w:p>
    <w:p>
      <w:pPr>
        <w:pStyle w:val="TextBody"/>
        <w:bidi w:val="0"/>
        <w:spacing w:before="360" w:after="283"/>
        <w:jc w:val="left"/>
        <w:rPr>
          <w:rFonts w:ascii="Times New Roman" w:hAnsi="Times New Roman"/>
          <w:sz w:val="20"/>
        </w:rPr>
      </w:pPr>
      <w:r>
        <w:rPr>
          <w:rFonts w:ascii="Times New Roman" w:hAnsi="Times New Roman"/>
          <w:b/>
          <w:caps/>
          <w:color w:val="000000"/>
          <w:sz w:val="20"/>
        </w:rPr>
        <w:t>SEGMENT INFORMATION and information about geographic areas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by geographic area, presented based upon the location of the customer are as follows (in thousands): </w:t>
      </w:r>
    </w:p>
    <w:p>
      <w:pPr>
        <w:pStyle w:val="TextBody"/>
        <w:bidi w:val="0"/>
        <w:jc w:val="left"/>
        <w:rPr/>
      </w:pPr>
      <w:r>
        <w:rPr/>
        <w:t> </w:t>
      </w:r>
    </w:p>
    <w:tbl>
      <w:tblPr>
        <w:tblW w:w="4592" w:type="dxa"/>
        <w:jc w:val="left"/>
        <w:tblInd w:w="0" w:type="dxa"/>
        <w:tblLayout w:type="fixed"/>
        <w:tblCellMar>
          <w:top w:w="28" w:type="dxa"/>
          <w:left w:w="28" w:type="dxa"/>
          <w:bottom w:w="28" w:type="dxa"/>
          <w:right w:w="28" w:type="dxa"/>
        </w:tblCellMar>
      </w:tblPr>
      <w:tblGrid>
        <w:gridCol w:w="1521"/>
        <w:gridCol w:w="146"/>
        <w:gridCol w:w="235"/>
        <w:gridCol w:w="870"/>
        <w:gridCol w:w="162"/>
        <w:gridCol w:w="162"/>
        <w:gridCol w:w="235"/>
        <w:gridCol w:w="870"/>
        <w:gridCol w:w="391"/>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225,566</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203,027</w:t>
            </w:r>
          </w:p>
        </w:tc>
        <w:tc>
          <w:tcPr>
            <w:tcW w:w="391" w:type="dxa"/>
            <w:tcBorders/>
            <w:shd w:fill="CFF0FC" w:val="clear"/>
            <w:vAlign w:val="center"/>
          </w:tcPr>
          <w:p>
            <w:pPr>
              <w:pStyle w:val="TableContents"/>
              <w:bidi w:val="0"/>
              <w:spacing w:before="0" w:after="283"/>
              <w:jc w:val="left"/>
              <w:rPr/>
            </w:pPr>
            <w:r>
              <w:rPr/>
              <w:t> </w:t>
            </w:r>
          </w:p>
        </w:tc>
      </w:tr>
      <w:tr>
        <w:trPr/>
        <w:tc>
          <w:tcPr>
            <w:tcW w:w="1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227,237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Software, equipment and property—Net by geographic area are as follows (in thousands): </w:t>
      </w:r>
    </w:p>
    <w:p>
      <w:pPr>
        <w:pStyle w:val="TextBody"/>
        <w:bidi w:val="0"/>
        <w:jc w:val="left"/>
        <w:rPr/>
      </w:pPr>
      <w:r>
        <w:rPr/>
        <w:t> </w:t>
      </w:r>
    </w:p>
    <w:tbl>
      <w:tblPr>
        <w:tblW w:w="7077" w:type="dxa"/>
        <w:jc w:val="left"/>
        <w:tblInd w:w="0" w:type="dxa"/>
        <w:tblLayout w:type="fixed"/>
        <w:tblCellMar>
          <w:top w:w="28" w:type="dxa"/>
          <w:left w:w="28" w:type="dxa"/>
          <w:bottom w:w="28" w:type="dxa"/>
          <w:right w:w="28" w:type="dxa"/>
        </w:tblCellMar>
      </w:tblPr>
      <w:tblGrid>
        <w:gridCol w:w="3996"/>
        <w:gridCol w:w="146"/>
        <w:gridCol w:w="211"/>
        <w:gridCol w:w="781"/>
        <w:gridCol w:w="146"/>
        <w:gridCol w:w="146"/>
        <w:gridCol w:w="268"/>
        <w:gridCol w:w="992"/>
        <w:gridCol w:w="391"/>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160,064</w:t>
            </w:r>
          </w:p>
        </w:tc>
        <w:tc>
          <w:tcPr>
            <w:tcW w:w="391" w:type="dxa"/>
            <w:tcBorders/>
            <w:shd w:fill="CFF0FC"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software, equipment and property—Net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24.</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Subsequent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April 2024, certain existing stockholders completed a secondary offering where the selling stockholders sold 20,000,000 shares of the Company's common stock. The Company did not receive any of the proceeds from the sale of the shares by the selling stockholders. In connection with the offering, the Company did not incur significant costs during the three months ended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d_anal"/>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related notes appearing elsewhere in this Quarterly Report on Form 10-Q.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"Cautionary Note Regarding Forward-Looking Statements" and "Risk Factors" as set forth elsewhere in this Quarterly Report on Form 10-Q.</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Unless otherwise indicated or the context otherwise requires, references to "CCC," the "Company," "we," "us," "our" and other similar terms refer to CCC Intelligent Solutions Holdings Inc. and its consolidated subsidiaries.</w:t>
      </w:r>
    </w:p>
    <w:p>
      <w:pPr>
        <w:pStyle w:val="TextBody"/>
        <w:bidi w:val="0"/>
        <w:spacing w:before="24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1980, CCC is a leading SaaS platform for the multi-trillion-dollar P&amp;C insurance economy powering operations for insurers, repairers, automakers, part suppliers, lenders and more. CCC cloud technology connects more than 35,000 businesses digitizing mission-critical workflows, commerce and customer experiences. A trusted leader in AI, Internet of Things ("IoT"), customer experience, network and workflow management, CCC delivers innovations that keep people's lives moving forward when it matters most.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U.S. beginning in 1992. DRP connects auto insurers and collision repair shops to create business value for both parties, and requires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have become a leading insurance and repair SaaS provider in the U.S. by increasing the depth and breadth of our SaaS offerings over many years. Our insurance solutions help insurance carriers manage mission-critical workflows across the claims lifecycle,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more than 29,500 repair facilities through our multi-tenant cloud platform. We believe our software is the architectural backbone of insurance DRP systems and is a primary driver of material revenue for our collision shop customers and a source of material efficiencies for our insurance carrier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processed more than $1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AI solutions increase automation across existing insurance and repair processes including vehicle damage detection, claim triage, claim handling, repair estimating, intelligent claim review and claim subrogation. We deliver real-world AI with more than 100 U.S. auto insurers and more than 1,000 U.S. collision repairers actively using AI-powered solutions in production environments.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primary obstacles facing the P&amp;C insurance economy is increasing complexity. Complexity in the P&amp;C insurance economy is driven by technological advancements, IoT data, new business models, supply chain disruption and changing consumer expectations. We believe digitization plays a critical role in managing this growing complexity while meeting consumer expectations. Our technology investments are focused on digitizing complex processes and interactions across our ecosystem, and we believe we are well positioned to power the P&amp;C insurance economy of the future with our data, network and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27 of the top 30 automotive insurance carriers in the U.S., based on Direct Written Premiums DWP, and hundreds of regional carriers. We have more than 35,000 total customers, including more than 29,500 automotive collision repair facilities (including repairers and other entities that estimate damaged vehicles), more than 5,000 parts suppliers, 13 of the top 15 automotive manufacturers based on new vehicle sales, and numerous other companies that participate in the P&amp;C insurance economy.</w:t>
      </w:r>
    </w:p>
    <w:p>
      <w:pPr>
        <w:pStyle w:val="TextBody"/>
        <w:bidi w:val="0"/>
        <w:spacing w:before="240" w:after="283"/>
        <w:jc w:val="left"/>
        <w:rPr>
          <w:rFonts w:ascii="Times New Roman" w:hAnsi="Times New Roman"/>
          <w:sz w:val="20"/>
        </w:rPr>
      </w:pPr>
      <w:r>
        <w:rPr>
          <w:rFonts w:ascii="Times New Roman" w:hAnsi="Times New Roman"/>
          <w:b/>
          <w:color w:val="000000"/>
          <w:sz w:val="20"/>
        </w:rPr>
        <w:t>Key Performance Measures and Operating Metrics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GAAP and non-GAAP financial measures, we rely on Software Net Dollar Retention Rate ("Software NDR") and Software Gross Dollar Retention Rate ("Software GDR") to measure and evaluate our business to make strategic decisions. Software NDR and Software GDR may not be comparable to or calculated in the same way as other similarly titled measures used by other companies.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Software NDR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March for a quarter ending March 31, for unique billing accounts that generated revenue during the corresponding month of the prior year by (b) annualized software revenue as of the corresponding month of the prior year. The calculation includes changes for these billing accounts, such as changes in the solutions purchased, changes in pricing and transaction volume, but does not reflect revenue for new customers added.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also excludes CCC casualty solutions which are largely usage and professional service based.</w:t>
      </w:r>
    </w:p>
    <w:tbl>
      <w:tblPr>
        <w:tblW w:w="4587" w:type="dxa"/>
        <w:jc w:val="left"/>
        <w:tblInd w:w="0" w:type="dxa"/>
        <w:tblLayout w:type="fixed"/>
        <w:tblCellMar>
          <w:top w:w="28" w:type="dxa"/>
          <w:left w:w="28" w:type="dxa"/>
          <w:bottom w:w="28" w:type="dxa"/>
          <w:right w:w="28" w:type="dxa"/>
        </w:tblCellMar>
      </w:tblPr>
      <w:tblGrid>
        <w:gridCol w:w="1376"/>
        <w:gridCol w:w="246"/>
        <w:gridCol w:w="1456"/>
        <w:gridCol w:w="146"/>
        <w:gridCol w:w="586"/>
        <w:gridCol w:w="146"/>
        <w:gridCol w:w="631"/>
      </w:tblGrid>
      <w:tr>
        <w:trPr/>
        <w:tc>
          <w:tcPr>
            <w:tcW w:w="13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13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Software NDR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CFF0FC" w:val="clear"/>
            <w:vAlign w:val="center"/>
          </w:tcPr>
          <w:p>
            <w:pPr>
              <w:pStyle w:val="TableContents"/>
              <w:bidi w:val="0"/>
              <w:spacing w:before="0" w:after="283"/>
              <w:jc w:val="center"/>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137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Software GDR</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excludes CCC casualty solutions which are largely usage and professional service based.</w:t>
      </w:r>
    </w:p>
    <w:tbl>
      <w:tblPr>
        <w:tblW w:w="4467" w:type="dxa"/>
        <w:jc w:val="left"/>
        <w:tblInd w:w="0" w:type="dxa"/>
        <w:tblLayout w:type="fixed"/>
        <w:tblCellMar>
          <w:top w:w="28" w:type="dxa"/>
          <w:left w:w="28" w:type="dxa"/>
          <w:bottom w:w="28" w:type="dxa"/>
          <w:right w:w="28" w:type="dxa"/>
        </w:tblCellMar>
      </w:tblPr>
      <w:tblGrid>
        <w:gridCol w:w="1376"/>
        <w:gridCol w:w="246"/>
        <w:gridCol w:w="1456"/>
        <w:gridCol w:w="146"/>
        <w:gridCol w:w="526"/>
        <w:gridCol w:w="146"/>
        <w:gridCol w:w="571"/>
      </w:tblGrid>
      <w:tr>
        <w:trPr/>
        <w:tc>
          <w:tcPr>
            <w:tcW w:w="13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13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Software GDR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c>
          <w:tcPr>
            <w:tcW w:w="146" w:type="dxa"/>
            <w:tcBorders/>
            <w:shd w:fill="CFF0FC" w:val="clear"/>
            <w:vAlign w:val="center"/>
          </w:tcPr>
          <w:p>
            <w:pPr>
              <w:pStyle w:val="TableContents"/>
              <w:bidi w:val="0"/>
              <w:spacing w:before="0" w:after="283"/>
              <w:jc w:val="center"/>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37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bl>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Comparison of the three months ended March 31, 2024 to the three months ended March 31, 2023</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599"/>
        <w:gridCol w:w="646"/>
        <w:gridCol w:w="211"/>
        <w:gridCol w:w="1141"/>
        <w:gridCol w:w="166"/>
        <w:gridCol w:w="146"/>
        <w:gridCol w:w="211"/>
        <w:gridCol w:w="1141"/>
        <w:gridCol w:w="166"/>
        <w:gridCol w:w="146"/>
        <w:gridCol w:w="211"/>
        <w:gridCol w:w="676"/>
        <w:gridCol w:w="166"/>
        <w:gridCol w:w="146"/>
        <w:gridCol w:w="146"/>
        <w:gridCol w:w="571"/>
        <w:gridCol w:w="716"/>
      </w:tblGrid>
      <w:tr>
        <w:trPr/>
        <w:tc>
          <w:tcPr>
            <w:tcW w:w="359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59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16" w:type="dxa"/>
            <w:gridSpan w:val="6"/>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3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 except share and per share data)</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599"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 of revenues, exclusive of amortization of acquired technologies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Cost of revenues</w:t>
            </w:r>
            <w:r>
              <w:rPr>
                <w:rFonts w:ascii="Times New Roman" w:hAnsi="Times New Roman"/>
                <w:color w:val="000000"/>
                <w:sz w:val="13"/>
              </w:rPr>
              <w:t>(1)</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400"/>
              <w:jc w:val="right"/>
              <w:rPr/>
            </w:pPr>
            <w:r>
              <w:rPr/>
              <w:t> </w:t>
            </w:r>
          </w:p>
        </w:tc>
      </w:tr>
      <w:tr>
        <w:trPr/>
        <w:tc>
          <w:tcPr>
            <w:tcW w:w="3599"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FFFFFF"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Selling and marketing</w:t>
            </w:r>
            <w:r>
              <w:rPr>
                <w:rFonts w:ascii="Times New Roman" w:hAnsi="Times New Roman"/>
                <w:color w:val="000000"/>
                <w:sz w:val="13"/>
              </w:rPr>
              <w:t>(1)</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400"/>
              <w:jc w:val="right"/>
              <w:rPr/>
            </w:pPr>
            <w:r>
              <w:rPr/>
              <w:t> </w:t>
            </w:r>
          </w:p>
        </w:tc>
      </w:tr>
      <w:tr>
        <w:trPr/>
        <w:tc>
          <w:tcPr>
            <w:tcW w:w="359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FFFFFF" w:val="clear"/>
            <w:vAlign w:val="center"/>
          </w:tcPr>
          <w:p>
            <w:pPr>
              <w:pStyle w:val="TableContents"/>
              <w:bidi w:val="0"/>
              <w:spacing w:before="0" w:after="283"/>
              <w:ind w:left="0" w:right="0" w:firstLine="400"/>
              <w:jc w:val="right"/>
              <w:rPr/>
            </w:pPr>
            <w:r>
              <w:rPr/>
              <w:t> </w:t>
            </w:r>
          </w:p>
        </w:tc>
      </w:tr>
      <w:tr>
        <w:trPr/>
        <w:tc>
          <w:tcPr>
            <w:tcW w:w="359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(expense)—Net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CFF0FC" w:val="clear"/>
            <w:vAlign w:val="center"/>
          </w:tcPr>
          <w:p>
            <w:pPr>
              <w:pStyle w:val="TableContents"/>
              <w:bidi w:val="0"/>
              <w:spacing w:before="0" w:after="283"/>
              <w:jc w:val="right"/>
              <w:rPr/>
            </w:pPr>
            <w:r>
              <w:rPr/>
              <w:t> </w:t>
            </w:r>
          </w:p>
        </w:tc>
      </w:tr>
      <w:tr>
        <w:trPr/>
        <w:tc>
          <w:tcPr>
            <w:tcW w:w="3599"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(expense) income</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Pretax (loss) income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CFF0FC" w:val="clear"/>
            <w:vAlign w:val="center"/>
          </w:tcPr>
          <w:p>
            <w:pPr>
              <w:pStyle w:val="TableContents"/>
              <w:bidi w:val="0"/>
              <w:spacing w:before="0" w:after="283"/>
              <w:ind w:left="0" w:right="0" w:firstLine="400"/>
              <w:jc w:val="right"/>
              <w:rPr/>
            </w:pPr>
            <w:r>
              <w:rPr/>
              <w:t> </w:t>
            </w:r>
          </w:p>
        </w:tc>
      </w:tr>
      <w:tr>
        <w:trPr/>
        <w:tc>
          <w:tcPr>
            <w:tcW w:w="359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tax benefit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9"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 including non-controlling interest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599"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accretion of redeemable non-controlling interest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FFFFFF" w:val="clear"/>
            <w:vAlign w:val="center"/>
          </w:tcPr>
          <w:p>
            <w:pPr>
              <w:pStyle w:val="TableContents"/>
              <w:bidi w:val="0"/>
              <w:spacing w:before="0" w:after="283"/>
              <w:jc w:val="right"/>
              <w:rPr/>
            </w:pPr>
            <w:r>
              <w:rPr/>
              <w:t> </w:t>
            </w:r>
          </w:p>
        </w:tc>
      </w:tr>
      <w:tr>
        <w:trPr/>
        <w:tc>
          <w:tcPr>
            <w:tcW w:w="3599"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 attributable to CCC Intelligent Solutions Holdings Inc. common stockholders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CFF0FC" w:val="clear"/>
            <w:vAlign w:val="center"/>
          </w:tcPr>
          <w:p>
            <w:pPr>
              <w:pStyle w:val="TableContents"/>
              <w:bidi w:val="0"/>
              <w:spacing w:before="0" w:after="283"/>
              <w:jc w:val="right"/>
              <w:rPr/>
            </w:pPr>
            <w:r>
              <w:rPr/>
              <w:t> </w:t>
            </w:r>
          </w:p>
        </w:tc>
      </w:tr>
      <w:tr>
        <w:trPr/>
        <w:tc>
          <w:tcPr>
            <w:tcW w:w="3599"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 per share attributable to common stockholders: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3599"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599"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right"/>
              <w:rPr/>
            </w:pPr>
            <w:r>
              <w:rPr/>
              <w:t> </w:t>
            </w:r>
          </w:p>
        </w:tc>
      </w:tr>
      <w:tr>
        <w:trPr/>
        <w:tc>
          <w:tcPr>
            <w:tcW w:w="3599"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right"/>
              <w:rPr/>
            </w:pPr>
            <w:r>
              <w:rPr/>
              <w:t> </w:t>
            </w:r>
          </w:p>
        </w:tc>
      </w:tr>
      <w:tr>
        <w:trPr/>
        <w:tc>
          <w:tcPr>
            <w:tcW w:w="3599"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in computing net (loss) income per share attributable to common stockholders: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599"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598,279,377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616,217,176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3599"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598,279,377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646,380,961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100"/>
              <w:jc w:val="right"/>
              <w:rPr/>
            </w:pPr>
            <w:r>
              <w:rPr/>
              <w:t> </w:t>
            </w:r>
          </w:p>
        </w:tc>
      </w:tr>
      <w:tr>
        <w:trPr/>
        <w:tc>
          <w:tcPr>
            <w:tcW w:w="3599" w:type="dxa"/>
            <w:tcBorders/>
            <w:shd w:fill="FFFFFF" w:val="clear"/>
            <w:vAlign w:val="center"/>
          </w:tcPr>
          <w:p>
            <w:pPr>
              <w:pStyle w:val="TableContents"/>
              <w:bidi w:val="0"/>
              <w:spacing w:before="0" w:after="283"/>
              <w:ind w:left="100" w:right="0" w:firstLine="100"/>
              <w:jc w:val="left"/>
              <w:rPr>
                <w:rFonts w:ascii="Times New Roman" w:hAnsi="Times New Roman"/>
                <w:i/>
                <w:color w:val="000000"/>
                <w:sz w:val="20"/>
              </w:rPr>
            </w:pPr>
            <w:r>
              <w:rPr>
                <w:rFonts w:ascii="Times New Roman" w:hAnsi="Times New Roman"/>
                <w:i/>
                <w:color w:val="000000"/>
                <w:sz w:val="20"/>
              </w:rPr>
              <w:t>NM—Not Meaningful</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59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7261" w:type="dxa"/>
            <w:gridSpan w:val="8"/>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Includes stock-based compensation expense as follows (in thousands):</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59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59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5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5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5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5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5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6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increased by $22.3 million to $227.2 million, or 10.9%, for the three months ended March 31, 2024, compared to the three months ended March 31, 2023. The Company's software subscription revenues accounted for $218.1 million and $196.3 million, or 96% of total revenue during the three months ended March 31, 2024 and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revenue was primarily a result of 8% growth from existing customer upgrades and expanding solution offerings to these existing customers as well as 3% growth from new customers.</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increased by $2.2 million to $59.4 million, or 3.9%, for the three months ended March 31, 2024, compared to the three months ended March 31, 2023.</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 exclusive of amortization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exclusive of amortization of acquired technologies, increased by $2.4 million to $52.8 million, or 4.7%, for the three months ended March 31, 2024, compared to the three months ended March 31, 2023. The increase was primarily due to a $1.5 million increase in third party fees and direct costs associated with our revenue growth, and a $1.1 million increase in personnel-related costs, including stock-based compensation.</w:t>
      </w:r>
    </w:p>
    <w:p>
      <w:pPr>
        <w:pStyle w:val="TextBody"/>
        <w:bidi w:val="0"/>
        <w:spacing w:before="120" w:after="283"/>
        <w:jc w:val="left"/>
        <w:rPr>
          <w:rFonts w:ascii="Times New Roman" w:hAnsi="Times New Roman"/>
          <w:sz w:val="20"/>
        </w:rPr>
      </w:pPr>
      <w:r>
        <w:rPr>
          <w:rFonts w:ascii="Times New Roman" w:hAnsi="Times New Roman"/>
          <w:i/>
          <w:color w:val="000000"/>
          <w:sz w:val="20"/>
        </w:rPr>
        <w:t>Amortization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acquired technologies was $6.6 million and $6.7 million for the three months ended March 31, 2024 and 2023,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by $20.1 million to $167.9 million, or 13.6%, for the three months ended March 31, 2024, compared to the three months ended March 31, 2023. Our gross profit margin was 73.9% for the three months ended March 31, 2024, compared to 72.1% for the three months ended March 31, 2023. The increase in gross profit and gross profit margin was due to increased software subscription revenues and economies of scale resulting from fixed cost arrangements.</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increased by $8.5 million to $49.5 million, or 20.7%, for the three months ended March 31, 2024, compared to the three months ended March 31, 2023. The increase was primarily due to a $6.5 million increase in personnel-related costs, including a $5.2 million increase in stock-based compensation, and a $3.3 million increase in IT related costs, partially offset by a $0.8 million increase in the amount of capitalized time on platform and customer solution enhancements and a $0.8 million decrease in consulting costs.</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and marketing expense increased by $2.1 million to $35.6 million, or 6.1%, for the three months ended March 31, 2024, compared to the three months ended March 31, 2023. The increase was primarily due to a $2.3 million increase in personnel-related costs, including sales incentives, a $0.4 million increase in event costs, a $0.3 million increase in travel costs, and a $0.3 million increase in consulting costs, partially offset by a $1.5 million decrease in stock-based compensation.</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increased by $15.2 million to $57.1 million, or 36.3%, for the three months ended March 31, 2024, compared to the three months ended March 31, 2023. The increase was primarily due to a $14.4 million increase in personnel-related costs, including an $11.9 million increase in stock-based compensation, and a $1.1 million increase in IT related costs.</w:t>
      </w:r>
    </w:p>
    <w:p>
      <w:pPr>
        <w:pStyle w:val="TextBody"/>
        <w:bidi w:val="0"/>
        <w:spacing w:before="120" w:after="283"/>
        <w:jc w:val="left"/>
        <w:rPr>
          <w:rFonts w:ascii="Times New Roman" w:hAnsi="Times New Roman"/>
          <w:sz w:val="20"/>
        </w:rPr>
      </w:pPr>
      <w:r>
        <w:rPr>
          <w:rFonts w:ascii="Times New Roman" w:hAnsi="Times New Roman"/>
          <w:b/>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intangible assets was $17.9 million and $18.1 million for the three months ended March 31, 2024 and 2023, respectively.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$2.6 million to $16.5 million, or 18.9%, for the three months ended March 31, 2024, compared to the three months ended March 31, 2023. The increase was primarily due to higher variable interest rates during the three months ended March 31, 2024.</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$0.8 million to $2.5 million, or 24.3%, for the three months ended March 31, 2024, compared to the three months ended March 31, 2023, due to lower average balances on interest earning deposits and money market funds during the three months ended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 in Fair Value of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recognized expense of $1.6 million from a change in fair value of warrant liabilities for the three months ended March 31, 2024, compared to income of $1.2 million for the three months ended March 31, 2023. The change in fair value of warrant liabilities was primarily due to changes in the price of the Company's common stock during each respective period.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w:t>
      </w:r>
      <w:r>
        <w:rPr>
          <w:rFonts w:ascii="Times New Roman" w:hAnsi="Times New Roman"/>
          <w:b/>
          <w:i/>
          <w:color w:val="000000"/>
          <w:sz w:val="20"/>
        </w:rPr>
        <w:t>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recognized other income—net of $2.9 million for the three months ended March 31, 2024 compared to other expense—net of $2.6 million for the three months ended March 31, 2023. The change was primarily due to the change in fair value of the interest rate cap derivative instruments during each period, driven by changes in the forward yield curves and time to maturity, and the income recognized from the interest rate cap derivative instruments during the three months ended March 31, 2024.</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b/>
          <w:i/>
          <w:color w:val="000000"/>
          <w:sz w:val="20"/>
        </w:rPr>
        <w:t>Income Tax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an income tax benefit of $4.2 million and $0.8 million for the three months ended March 31, 2024 and 2023, respectively. The income tax benefit during the three months ended March 31, 2024 was due to the tax benefit related to stock-based compensation.</w:t>
      </w:r>
    </w:p>
    <w:p>
      <w:pPr>
        <w:pStyle w:val="TextBody"/>
        <w:bidi w:val="0"/>
        <w:spacing w:before="24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Adjusted 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Adjusted Gross Profit, as defined below, provides meaningful supplemental information regarding our performance by excluding certain items that may not be indicative of our recurring core business operating results. Adjusted Gross Profit is defined as gross profit, adjusted for amortization of acquired technologies and stock-based compensation and related employer payroll tax, which are not indicative of our recurring core business operating results. Adjusted Gross Profit Margin is defined as Adjusted Gross Profit divided by Revenue.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reconciles Gross Profit to Adjusted Gross Profit for the three months ended March 31, 2024 and 2023: </w:t>
      </w:r>
    </w:p>
    <w:tbl>
      <w:tblPr>
        <w:tblW w:w="8906" w:type="dxa"/>
        <w:jc w:val="left"/>
        <w:tblInd w:w="0" w:type="dxa"/>
        <w:tblLayout w:type="fixed"/>
        <w:tblCellMar>
          <w:top w:w="28" w:type="dxa"/>
          <w:left w:w="28" w:type="dxa"/>
          <w:bottom w:w="28" w:type="dxa"/>
          <w:right w:w="28" w:type="dxa"/>
        </w:tblCellMar>
      </w:tblPr>
      <w:tblGrid>
        <w:gridCol w:w="5381"/>
        <w:gridCol w:w="146"/>
        <w:gridCol w:w="245"/>
        <w:gridCol w:w="907"/>
        <w:gridCol w:w="315"/>
        <w:gridCol w:w="169"/>
        <w:gridCol w:w="245"/>
        <w:gridCol w:w="907"/>
        <w:gridCol w:w="591"/>
      </w:tblGrid>
      <w:tr>
        <w:trPr/>
        <w:tc>
          <w:tcPr>
            <w:tcW w:w="5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3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(amounts 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167,862</w:t>
            </w:r>
          </w:p>
        </w:tc>
        <w:tc>
          <w:tcPr>
            <w:tcW w:w="315"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147,787</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53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acquired technologies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315"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53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and related employer payroll tax</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177,016</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156,588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Margin</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 Margin</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Operating Expenses, as defined below, provides meaningful supplemental information regarding our performance by excluding certain items that may not be indicative of our recurring core business operating results. Adjusted Operating Expenses is defined as operating expenses adjusted for amortization of intangible assets, stock-based compensation expense and related employer payroll tax, litigation costs for matters in which we are the plaintiff and related antitrust matters, costs associated with the acquisition and integration of completed and potential mergers and acquisitions ("M&amp;A") and costs related to equity transactions, including secondary offerings.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operating expenses to Adjusted Operating Expenses for the three months ended March 31, 2024 and 2023:</w:t>
      </w:r>
    </w:p>
    <w:tbl>
      <w:tblPr>
        <w:tblW w:w="10205" w:type="dxa"/>
        <w:jc w:val="left"/>
        <w:tblInd w:w="0" w:type="dxa"/>
        <w:tblLayout w:type="fixed"/>
        <w:tblCellMar>
          <w:top w:w="28" w:type="dxa"/>
          <w:left w:w="28" w:type="dxa"/>
          <w:bottom w:w="28" w:type="dxa"/>
          <w:right w:w="28" w:type="dxa"/>
        </w:tblCellMar>
      </w:tblPr>
      <w:tblGrid>
        <w:gridCol w:w="6162"/>
        <w:gridCol w:w="646"/>
        <w:gridCol w:w="255"/>
        <w:gridCol w:w="948"/>
        <w:gridCol w:w="200"/>
        <w:gridCol w:w="176"/>
        <w:gridCol w:w="255"/>
        <w:gridCol w:w="948"/>
        <w:gridCol w:w="615"/>
      </w:tblGrid>
      <w:tr>
        <w:trPr/>
        <w:tc>
          <w:tcPr>
            <w:tcW w:w="616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162"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160,065</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134,458</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616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2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(18,066</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6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(47,446</w:t>
            </w:r>
          </w:p>
        </w:tc>
        <w:tc>
          <w:tcPr>
            <w:tcW w:w="2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(29,094</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6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2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6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2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616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2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color w:val="000000"/>
              </w:rPr>
            </w:pPr>
            <w:r>
              <w:rPr>
                <w:color w:val="000000"/>
              </w:rPr>
              <w:t>—</w:t>
            </w:r>
          </w:p>
        </w:tc>
        <w:tc>
          <w:tcPr>
            <w:tcW w:w="615" w:type="dxa"/>
            <w:tcBorders/>
            <w:shd w:fill="FFFFFF" w:val="cle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expenses</w:t>
            </w:r>
          </w:p>
        </w:tc>
        <w:tc>
          <w:tcPr>
            <w:tcW w:w="646" w:type="dxa"/>
            <w:tcBorders/>
            <w:shd w:fill="CFF0FC" w:val="clear"/>
            <w:vAlign w:val="center"/>
          </w:tcPr>
          <w:p>
            <w:pPr>
              <w:pStyle w:val="TableContents"/>
              <w:bidi w:val="0"/>
              <w:spacing w:before="0" w:after="283"/>
              <w:jc w:val="left"/>
              <w:rPr/>
            </w:pPr>
            <w:r>
              <w:rPr/>
              <w:t> </w:t>
            </w:r>
          </w:p>
        </w:tc>
        <w:tc>
          <w:tcPr>
            <w:tcW w:w="2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92,933</w:t>
            </w:r>
          </w:p>
        </w:tc>
        <w:tc>
          <w:tcPr>
            <w:tcW w:w="2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86,312</w:t>
            </w:r>
          </w:p>
        </w:tc>
        <w:tc>
          <w:tcPr>
            <w:tcW w:w="6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Operating Income, as defined below, provides meaningful supplemental information regarding our performance by excluding certain items that may not be indicative of our recurring core business operating results. Adjusted Operating Income is defined as operating income adjusted for amortization of intangible assets and acquired technologies, stock-based compensation expense and related employer payroll tax, litigation costs for matters in which we are the plaintiff and related antitrust matters, costs associated with the acquisition and integration of completed and potential M&amp;A and costs related to equity transactions, including secondary offerings.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operating income to Adjusted Operating Income for the three months ended March 31, 2024 and 2023:</w:t>
      </w:r>
    </w:p>
    <w:tbl>
      <w:tblPr>
        <w:tblW w:w="10205" w:type="dxa"/>
        <w:jc w:val="left"/>
        <w:tblInd w:w="0" w:type="dxa"/>
        <w:tblLayout w:type="fixed"/>
        <w:tblCellMar>
          <w:top w:w="28" w:type="dxa"/>
          <w:left w:w="28" w:type="dxa"/>
          <w:bottom w:w="28" w:type="dxa"/>
          <w:right w:w="28" w:type="dxa"/>
        </w:tblCellMar>
      </w:tblPr>
      <w:tblGrid>
        <w:gridCol w:w="6179"/>
        <w:gridCol w:w="646"/>
        <w:gridCol w:w="284"/>
        <w:gridCol w:w="912"/>
        <w:gridCol w:w="196"/>
        <w:gridCol w:w="196"/>
        <w:gridCol w:w="284"/>
        <w:gridCol w:w="912"/>
        <w:gridCol w:w="596"/>
      </w:tblGrid>
      <w:tr>
        <w:trPr/>
        <w:tc>
          <w:tcPr>
            <w:tcW w:w="617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617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7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9"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13,329</w:t>
            </w:r>
          </w:p>
        </w:tc>
        <w:tc>
          <w:tcPr>
            <w:tcW w:w="596" w:type="dxa"/>
            <w:tcBorders/>
            <w:shd w:fill="CFF0FC" w:val="clear"/>
            <w:vAlign w:val="center"/>
          </w:tcPr>
          <w:p>
            <w:pPr>
              <w:pStyle w:val="TableContents"/>
              <w:bidi w:val="0"/>
              <w:spacing w:before="0" w:after="283"/>
              <w:ind w:left="0" w:right="0" w:firstLine="400"/>
              <w:jc w:val="left"/>
              <w:rPr/>
            </w:pPr>
            <w:r>
              <w:rPr/>
              <w:t> </w:t>
            </w:r>
          </w:p>
        </w:tc>
      </w:tr>
      <w:tr>
        <w:trPr/>
        <w:tc>
          <w:tcPr>
            <w:tcW w:w="617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18,066</w:t>
            </w:r>
          </w:p>
        </w:tc>
        <w:tc>
          <w:tcPr>
            <w:tcW w:w="596" w:type="dxa"/>
            <w:tcBorders/>
            <w:shd w:fill="FFFFFF" w:val="clear"/>
            <w:vAlign w:val="center"/>
          </w:tcPr>
          <w:p>
            <w:pPr>
              <w:pStyle w:val="TableContents"/>
              <w:bidi w:val="0"/>
              <w:spacing w:before="0" w:after="283"/>
              <w:ind w:left="0" w:right="0" w:firstLine="400"/>
              <w:jc w:val="left"/>
              <w:rPr/>
            </w:pPr>
            <w:r>
              <w:rPr/>
              <w:t> </w:t>
            </w:r>
          </w:p>
        </w:tc>
      </w:tr>
      <w:tr>
        <w:trPr/>
        <w:tc>
          <w:tcPr>
            <w:tcW w:w="617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28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w:t>
            </w:r>
          </w:p>
        </w:tc>
        <w:tc>
          <w:tcPr>
            <w:tcW w:w="596" w:type="dxa"/>
            <w:tcBorders/>
            <w:shd w:fill="CFF0FC" w:val="clear"/>
            <w:vAlign w:val="center"/>
          </w:tcPr>
          <w:p>
            <w:pPr>
              <w:pStyle w:val="TableContents"/>
              <w:bidi w:val="0"/>
              <w:spacing w:before="0" w:after="283"/>
              <w:ind w:left="0" w:right="0" w:firstLine="400"/>
              <w:jc w:val="left"/>
              <w:rPr/>
            </w:pPr>
            <w:r>
              <w:rPr/>
              <w:t> </w:t>
            </w:r>
          </w:p>
        </w:tc>
      </w:tr>
      <w:tr>
        <w:trPr/>
        <w:tc>
          <w:tcPr>
            <w:tcW w:w="617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50,033</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31,210</w:t>
            </w:r>
          </w:p>
        </w:tc>
        <w:tc>
          <w:tcPr>
            <w:tcW w:w="596" w:type="dxa"/>
            <w:tcBorders/>
            <w:shd w:fill="FFFFFF" w:val="clear"/>
            <w:vAlign w:val="center"/>
          </w:tcPr>
          <w:p>
            <w:pPr>
              <w:pStyle w:val="TableContents"/>
              <w:bidi w:val="0"/>
              <w:spacing w:before="0" w:after="283"/>
              <w:ind w:left="0" w:right="0" w:firstLine="400"/>
              <w:jc w:val="left"/>
              <w:rPr/>
            </w:pPr>
            <w:r>
              <w:rPr/>
              <w:t> </w:t>
            </w:r>
          </w:p>
        </w:tc>
      </w:tr>
      <w:tr>
        <w:trPr/>
        <w:tc>
          <w:tcPr>
            <w:tcW w:w="617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28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596" w:type="dxa"/>
            <w:tcBorders/>
            <w:shd w:fill="CFF0FC" w:val="clear"/>
            <w:vAlign w:val="center"/>
          </w:tcPr>
          <w:p>
            <w:pPr>
              <w:pStyle w:val="TableContents"/>
              <w:bidi w:val="0"/>
              <w:spacing w:before="0" w:after="283"/>
              <w:ind w:left="0" w:right="0" w:firstLine="400"/>
              <w:jc w:val="left"/>
              <w:rPr/>
            </w:pPr>
            <w:r>
              <w:rPr/>
              <w:t> </w:t>
            </w:r>
          </w:p>
        </w:tc>
      </w:tr>
      <w:tr>
        <w:trPr/>
        <w:tc>
          <w:tcPr>
            <w:tcW w:w="617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596" w:type="dxa"/>
            <w:tcBorders/>
            <w:shd w:fill="FFFFFF" w:val="clear"/>
            <w:vAlign w:val="center"/>
          </w:tcPr>
          <w:p>
            <w:pPr>
              <w:pStyle w:val="TableContents"/>
              <w:bidi w:val="0"/>
              <w:spacing w:before="0" w:after="283"/>
              <w:ind w:left="0" w:right="0" w:firstLine="400"/>
              <w:jc w:val="left"/>
              <w:rPr/>
            </w:pPr>
            <w:r>
              <w:rPr/>
              <w:t> </w:t>
            </w:r>
          </w:p>
        </w:tc>
      </w:tr>
      <w:tr>
        <w:trPr/>
        <w:tc>
          <w:tcPr>
            <w:tcW w:w="617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28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596" w:type="dxa"/>
            <w:tcBorders/>
            <w:shd w:fill="CFF0FC" w:val="clear"/>
            <w:vAlign w:val="center"/>
          </w:tcPr>
          <w:p>
            <w:pPr>
              <w:pStyle w:val="TableContents"/>
              <w:bidi w:val="0"/>
              <w:spacing w:before="0" w:after="283"/>
              <w:jc w:val="left"/>
              <w:rPr/>
            </w:pPr>
            <w:r>
              <w:rPr/>
              <w:t> </w:t>
            </w:r>
          </w:p>
        </w:tc>
      </w:tr>
      <w:tr>
        <w:trPr/>
        <w:tc>
          <w:tcPr>
            <w:tcW w:w="61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income</w:t>
            </w:r>
          </w:p>
        </w:tc>
        <w:tc>
          <w:tcPr>
            <w:tcW w:w="646" w:type="dxa"/>
            <w:tcBorders/>
            <w:shd w:fill="FFFFFF" w:val="clear"/>
            <w:vAlign w:val="center"/>
          </w:tcPr>
          <w:p>
            <w:pPr>
              <w:pStyle w:val="TableContents"/>
              <w:bidi w:val="0"/>
              <w:spacing w:before="0" w:after="283"/>
              <w:jc w:val="left"/>
              <w:rPr/>
            </w:pPr>
            <w:r>
              <w:rPr/>
              <w:t> </w:t>
            </w:r>
          </w:p>
        </w:tc>
        <w:tc>
          <w:tcPr>
            <w:tcW w:w="2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84,083</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2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70,276</w:t>
            </w:r>
          </w:p>
        </w:tc>
        <w:tc>
          <w:tcPr>
            <w:tcW w:w="5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EBITDA, as defined below, is useful in evaluating our operational performance distinct and apart from financing costs, certain expenses and non-operational expenses. Adjusted EBITDA is defined as net (loss) income adjusted for interest, taxes, amortization of intangible assets and acquired technologies, depreciation, stock-based compensation expense and related employer payroll tax, change in fair value of warrant liabilities, change in fair value of derivative instruments, income from derivative instruments, litigation costs for matters in which we are the plaintiff and related antitrust matters, costs associated with the acquisition and integration of completed and potential M&amp;A and costs related to equity transactions, including secondary offerings. Adjusted EBITDA Margin is defined as Adjusted EBITDA divided by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reconciles net (loss) income to Adjusted EBITDA for the three months ended March 31, 2024 and 2023: </w:t>
      </w:r>
    </w:p>
    <w:tbl>
      <w:tblPr>
        <w:tblW w:w="10205" w:type="dxa"/>
        <w:jc w:val="left"/>
        <w:tblInd w:w="0" w:type="dxa"/>
        <w:tblLayout w:type="fixed"/>
        <w:tblCellMar>
          <w:top w:w="28" w:type="dxa"/>
          <w:left w:w="28" w:type="dxa"/>
          <w:bottom w:w="28" w:type="dxa"/>
          <w:right w:w="28" w:type="dxa"/>
        </w:tblCellMar>
      </w:tblPr>
      <w:tblGrid>
        <w:gridCol w:w="6291"/>
        <w:gridCol w:w="646"/>
        <w:gridCol w:w="255"/>
        <w:gridCol w:w="820"/>
        <w:gridCol w:w="328"/>
        <w:gridCol w:w="176"/>
        <w:gridCol w:w="255"/>
        <w:gridCol w:w="820"/>
        <w:gridCol w:w="614"/>
      </w:tblGrid>
      <w:tr>
        <w:trPr/>
        <w:tc>
          <w:tcPr>
            <w:tcW w:w="629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29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29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16,452</w:t>
            </w:r>
          </w:p>
        </w:tc>
        <w:tc>
          <w:tcPr>
            <w:tcW w:w="328"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13,832</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29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9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tax benefit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w:t>
            </w:r>
          </w:p>
        </w:tc>
        <w:tc>
          <w:tcPr>
            <w:tcW w:w="3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614"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9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328"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18,066</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29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328"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29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 of software, equipment and property</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328"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29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 of software, equipment and property—Cost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7,578</w:t>
            </w:r>
          </w:p>
        </w:tc>
        <w:tc>
          <w:tcPr>
            <w:tcW w:w="328"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29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50,033</w:t>
            </w:r>
          </w:p>
        </w:tc>
        <w:tc>
          <w:tcPr>
            <w:tcW w:w="328"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31,210</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29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328"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614"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9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29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from derivative instruments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3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29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328"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29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28"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29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328"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jc w:val="left"/>
              <w:rPr/>
            </w:pPr>
            <w:r>
              <w:rPr/>
              <w:t> </w:t>
            </w:r>
          </w:p>
        </w:tc>
      </w:tr>
      <w:tr>
        <w:trPr/>
        <w:tc>
          <w:tcPr>
            <w:tcW w:w="6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646" w:type="dxa"/>
            <w:tcBorders/>
            <w:shd w:fill="FFFFFF" w:val="clear"/>
            <w:vAlign w:val="center"/>
          </w:tcPr>
          <w:p>
            <w:pPr>
              <w:pStyle w:val="TableContents"/>
              <w:bidi w:val="0"/>
              <w:spacing w:before="0" w:after="283"/>
              <w:jc w:val="left"/>
              <w:rPr/>
            </w:pPr>
            <w:r>
              <w:rPr/>
              <w:t> </w:t>
            </w:r>
          </w:p>
        </w:tc>
        <w:tc>
          <w:tcPr>
            <w:tcW w:w="2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93,715</w:t>
            </w:r>
          </w:p>
        </w:tc>
        <w:tc>
          <w:tcPr>
            <w:tcW w:w="3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79,536</w:t>
            </w:r>
          </w:p>
        </w:tc>
        <w:tc>
          <w:tcPr>
            <w:tcW w:w="6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29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Adjusted EBITDA Margin</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6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Net Income and Adjusted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Net Income, as defined below, and Adjusted Earnings Per Share are useful in evaluating our operational performance distinct and apart from financing costs, certain expenses and non-operational expenses. Adjusted Net Income is defined as net (loss) income adjusted for the after-tax effects of amortization, stock-based compensation expense and related employer payroll tax, change in fair value of warrant liabilities, change in fair value of derivative instruments, litigation costs for matters in which we are the plaintiff and related antitrust matters, costs associated with the acquisition and integration of completed and potential M&amp;A and costs related to equity transactions, including secondary offerings.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net (loss) income to Adjusted Net Income and Adjusted Earnings per Share for the three months ended March 31, 2024 and 2023:</w:t>
      </w:r>
    </w:p>
    <w:tbl>
      <w:tblPr>
        <w:tblW w:w="10205" w:type="dxa"/>
        <w:jc w:val="left"/>
        <w:tblInd w:w="0" w:type="dxa"/>
        <w:tblLayout w:type="fixed"/>
        <w:tblCellMar>
          <w:top w:w="28" w:type="dxa"/>
          <w:left w:w="28" w:type="dxa"/>
          <w:bottom w:w="28" w:type="dxa"/>
          <w:right w:w="28" w:type="dxa"/>
        </w:tblCellMar>
      </w:tblPr>
      <w:tblGrid>
        <w:gridCol w:w="5932"/>
        <w:gridCol w:w="646"/>
        <w:gridCol w:w="211"/>
        <w:gridCol w:w="1141"/>
        <w:gridCol w:w="166"/>
        <w:gridCol w:w="146"/>
        <w:gridCol w:w="211"/>
        <w:gridCol w:w="1141"/>
        <w:gridCol w:w="611"/>
      </w:tblGrid>
      <w:tr>
        <w:trPr/>
        <w:tc>
          <w:tcPr>
            <w:tcW w:w="593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32"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93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93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93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93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3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93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93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93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93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Tax effect of adjustments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46,494</w:t>
            </w:r>
          </w:p>
        </w:tc>
        <w:tc>
          <w:tcPr>
            <w:tcW w:w="611" w:type="dxa"/>
            <w:tcBorders/>
            <w:shd w:fill="CFF0FC" w:val="clear"/>
            <w:vAlign w:val="center"/>
          </w:tcPr>
          <w:p>
            <w:pPr>
              <w:pStyle w:val="TableContents"/>
              <w:bidi w:val="0"/>
              <w:spacing w:before="0" w:after="283"/>
              <w:jc w:val="left"/>
              <w:rPr/>
            </w:pPr>
            <w:r>
              <w:rPr/>
              <w:t> </w:t>
            </w:r>
          </w:p>
        </w:tc>
      </w:tr>
      <w:tr>
        <w:trPr/>
        <w:tc>
          <w:tcPr>
            <w:tcW w:w="59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per share attributable to common stockholders:</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611" w:type="dxa"/>
            <w:tcBorders/>
            <w:shd w:fill="FFFFFF" w:val="clear"/>
            <w:vAlign w:val="center"/>
          </w:tcPr>
          <w:p>
            <w:pPr>
              <w:pStyle w:val="TableContents"/>
              <w:bidi w:val="0"/>
              <w:spacing w:before="0" w:after="283"/>
              <w:jc w:val="left"/>
              <w:rPr/>
            </w:pPr>
            <w:r>
              <w:rPr/>
              <w:t> </w:t>
            </w:r>
          </w:p>
        </w:tc>
      </w:tr>
      <w:tr>
        <w:trPr/>
        <w:tc>
          <w:tcPr>
            <w:tcW w:w="59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6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598,279,377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616,217,176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635,104,271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646,380,961</w:t>
            </w:r>
          </w:p>
        </w:tc>
        <w:tc>
          <w:tcPr>
            <w:tcW w:w="61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Free Cash Flow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Free Cash Flow, as defined below, provides meaningful supplemental information regarding our ability to generate cash and fund our operations and capital expenditures. Free Cash Flow is defined as net cash provided by operating activities less cash used for the purchases of software, equipment, and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net cash provided by operating activities to Free Cash Flow for the three months ended March 31, 2024 and 2023:</w:t>
      </w:r>
    </w:p>
    <w:tbl>
      <w:tblPr>
        <w:tblW w:w="7856" w:type="dxa"/>
        <w:jc w:val="left"/>
        <w:tblInd w:w="0" w:type="dxa"/>
        <w:tblLayout w:type="fixed"/>
        <w:tblCellMar>
          <w:top w:w="28" w:type="dxa"/>
          <w:left w:w="28" w:type="dxa"/>
          <w:bottom w:w="28" w:type="dxa"/>
          <w:right w:w="28" w:type="dxa"/>
        </w:tblCellMar>
      </w:tblPr>
      <w:tblGrid>
        <w:gridCol w:w="4331"/>
        <w:gridCol w:w="146"/>
        <w:gridCol w:w="266"/>
        <w:gridCol w:w="931"/>
        <w:gridCol w:w="210"/>
        <w:gridCol w:w="184"/>
        <w:gridCol w:w="266"/>
        <w:gridCol w:w="931"/>
        <w:gridCol w:w="591"/>
      </w:tblGrid>
      <w:tr>
        <w:trPr/>
        <w:tc>
          <w:tcPr>
            <w:tcW w:w="4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55,235</w:t>
            </w:r>
          </w:p>
        </w:tc>
        <w:tc>
          <w:tcPr>
            <w:tcW w:w="210"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33,078</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3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software, equipment, and property</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39,572</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financed our operations with cash flows from operations. The Company generated $55.2 million of cash flows from operating activities during the three months ended March 31, 2024. As of March 31, 2024, the Company had cash and cash equivalents of $191.2 million, a working capital surplus of $207.3 million and an accumulated deficit totaling $1,127.1 million. As of March 31, 2024, the Company had $782.0 million aggregate principal outstanding on its term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are not currently a party to any material definitive agreement regarding potential investments in, or acquisitions of, complementary businesses, applications or technologies, we may enter into these types of arrangements, which could reduce our cash and cash equivalents or require us to seek additional equity or debt financing. Additional funds from financing arrangements may not be available on terms favorable to us or at all. </w:t>
      </w:r>
    </w:p>
    <w:p>
      <w:pPr>
        <w:pStyle w:val="TextBody"/>
        <w:bidi w:val="0"/>
        <w:spacing w:before="24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21, 2021, CCC Intelligent Solutions Inc., an indirect wholly owned subsidiary of the Company, together with certain of the Company’s subsidiaries acting as guarantors entered into a credit agreement (as amended, the "2021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proceeds of the 2021 Credit Agreement and cash on hand were used to repay all outstanding borrowings under the Company's previous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consists of an $800.0 million term loan ("Term B Loan") and a revolving credit facility for an 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B Loan requires quarterly principal payments of $2.0 million until June 30, 2028, with the remaining outstanding principal amount required to be paid on the maturity date, September 21, 2028. If the Company's leverage ratio, as defined in the 2021 Credit Agreement is greater than 3.5, the Term B Loan requires a principal prepayment,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2023, the Company's leverage ratio did not exceed the 3.5 threshold and the Company was not subject to the annual excess cash flow calculation and, as such, was not required to make a principal prepayment.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the amount outstanding on the Term B Loan was $782.0 million, of which, $8.0 million is classified as current.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2021 Credit Facilities bear interest at rates based on the ratio of CCC Intelligent Solutions Inc. and certain of its subsidiaries’ consolidated first lien net indebtedness to consolidated EBITDA for applicable periods specified in the 2021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May 2023, the Company entered into Amendment No. 1 to the 2021 Credit Agreement (the "Amendment") to establish the Secured Overnight Financing Rate ("SOFR") as the benchmark rate for determining the applicable interest rate, replacing the London Interbank Offer Rate ("LIBOR"). No other terms, including the amount of borrowings, required payments or maturity date, were changed as a result of the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Subsequent to the execution of the Amendment, the interest rate per annum applicable to the loans is based on a fluctuating rate of interest equal to the sum of an applicable rate and term SOFR (other than with respect to Euros, the Euro Interbank Offer Rate ("EURIBOR") and with respect to British Pounds Sterling, Sterling Overnight Indexed Average ("SONIA")) with a term, as selected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the Company, of one, three or six months (subject to (x) in the case of term loans, a 0.50% per annum floor and (y) in the case of revolving loans, a 0.00% per annum floor.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execution of the Amendment, the interest rate per annum applicable to the loans was based on a fluctuating rate of interest equal to the sum of an applicable rate and, at the Company’s election from time to time, either: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quarterly commitment fee of up to 0.50% is payable on the unused portion of the 2021 Revolving Credit Facility. The 2021 Revolving Credit Facility matures on September 21,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and 2023, the weighted-average interest rate on the outstanding borrowings under the Term B Loan was 7.8% and 6.9%,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an outstanding standby letter of credit for $0.7 million which reduces the amount available to be borrowed under the 2021 Revolving Credit Facility. As of March 31, 2024, $249.3 million was available to be borrowed under the 2021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the 2021 Credit Agreement include a financial covenant which requires that, at the end of each fiscal quarter, if the aggregate amount of borrowings under the 2021 Revolving Credit Facility exceeds 35% of the aggregate commitments, the leverage ratio of CCC Intelligent Solutions Inc. and certain of its subsidiaries cannot exceed 6.25 to 1.00. Borrowings under the 2021 Revolving Credit Facility did not exceed 35% of the aggregate commitments and the Company was not subject to the leverage test as of March 31, 2024.</w:t>
      </w:r>
    </w:p>
    <w:p>
      <w:pPr>
        <w:pStyle w:val="TextBody"/>
        <w:bidi w:val="0"/>
        <w:spacing w:before="120" w:after="283"/>
        <w:jc w:val="left"/>
        <w:rPr>
          <w:rFonts w:ascii="Times New Roman" w:hAnsi="Times New Roman"/>
          <w:sz w:val="20"/>
        </w:rPr>
      </w:pPr>
      <w:r>
        <w:rPr>
          <w:rFonts w:ascii="Times New Roman" w:hAnsi="Times New Roman"/>
          <w:i/>
          <w:color w:val="000000"/>
          <w:sz w:val="20"/>
        </w:rPr>
        <w:t>Interest Rate Caps</w:t>
      </w:r>
      <w:r>
        <w:rPr>
          <w:rFonts w:ascii="Times New Roman" w:hAnsi="Times New Roman"/>
          <w:color w:val="000000"/>
          <w:sz w:val="20"/>
        </w:rPr>
        <w:t>—In August 2022, the Company entered into two interest rate cap agreements, as amended, to reduce its exposure to increases in interest rates applicable to its floating rate long-term debt. The amended interest rate cap agreements have an aggregate notional amount of $600.0 million and a one-month SOFR cap rate of 4.00% through their expiration in July 2025.</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summary of cash flow data for the three months ended March 31, 2024 and 2023: </w:t>
      </w:r>
    </w:p>
    <w:tbl>
      <w:tblPr>
        <w:tblW w:w="6791" w:type="dxa"/>
        <w:jc w:val="left"/>
        <w:tblInd w:w="0" w:type="dxa"/>
        <w:tblLayout w:type="fixed"/>
        <w:tblCellMar>
          <w:top w:w="28" w:type="dxa"/>
          <w:left w:w="28" w:type="dxa"/>
          <w:bottom w:w="28" w:type="dxa"/>
          <w:right w:w="28" w:type="dxa"/>
        </w:tblCellMar>
      </w:tblPr>
      <w:tblGrid>
        <w:gridCol w:w="3466"/>
        <w:gridCol w:w="146"/>
        <w:gridCol w:w="266"/>
        <w:gridCol w:w="931"/>
        <w:gridCol w:w="210"/>
        <w:gridCol w:w="184"/>
        <w:gridCol w:w="266"/>
        <w:gridCol w:w="93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55,235</w:t>
            </w:r>
          </w:p>
        </w:tc>
        <w:tc>
          <w:tcPr>
            <w:tcW w:w="210"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33,078</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(15,663</w:t>
            </w:r>
          </w:p>
        </w:tc>
        <w:tc>
          <w:tcPr>
            <w:tcW w:w="2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(14,534</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(43,847</w:t>
            </w:r>
          </w:p>
        </w:tc>
        <w:tc>
          <w:tcPr>
            <w:tcW w:w="2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effect of exchange rate change</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cash and cash equivalents</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was $55.2 million for the three months ended March 31, 2024. Net cash provided by operating activities consists of net loss of $0.6 million, adjusted for $68.6 million of non-cash items, ($14.3) million for changes in working capital and $1.5 million for the effect of changes in other operating assets and liabilities. Significant non-cash adjustments include stock-based compensation expense of $45.0 million, depreciation and amortization of $34.0 million, deferred income tax benefits of $12.1 million and a change in fair value of warrant liabilities of $1.6 million. The change in working capital was primarily a result of a decrease in accrued expenses of $31.2 million due to timing of cash disbursements and employee incentive plan payments, partially offset by an increase in accounts payable of $7.4 million due to timing of payments to suppliers, a $7.2 million change in income taxes due to timing of payments and a $1.7 million increase in deferred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was $15.7 million for the three months ended March 31, 2024. Net cash used in investing activities was due to capitalized internally developed software projects and purchases of software, equipment, and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was $43.8 million for the three months ended March 31, 2024. Net cash used in financing activities was due to $52.6 million payment of employee tax liabilities related to the net share settlement of employee equity awards and $2.0 million of principal payments of long-term debt, partially offset by $8.9 million of proceeds from stock option exercises and $1.8 million of proceeds from the issuance of stock under the employee stock purchase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to our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critical accounting estimates as compared to the critical accounting policies and estimates disclosed in our audited consolidated financial statements and notes thereto for the year ended December 31, 2023, included in our Annual Report on Form 10-K. </w:t>
      </w:r>
    </w:p>
    <w:p>
      <w:pPr>
        <w:pStyle w:val="TextBody"/>
        <w:bidi w:val="0"/>
        <w:spacing w:before="240" w:after="283"/>
        <w:jc w:val="left"/>
        <w:rPr>
          <w:rFonts w:ascii="Times New Roman" w:hAnsi="Times New Roman"/>
          <w:sz w:val="20"/>
        </w:rPr>
      </w:pPr>
      <w:bookmarkStart w:id="11" w:name="item_3_quantitative_qualitative_disclo"/>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market risk compared to the disclosures in Part II, Item 7A of our Annual Report on Form 10-K for the year ended December 31, 2023.</w:t>
      </w:r>
    </w:p>
    <w:p>
      <w:pPr>
        <w:pStyle w:val="TextBody"/>
        <w:bidi w:val="0"/>
        <w:spacing w:before="240" w:after="283"/>
        <w:jc w:val="both"/>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officer and principal financial officer have concluded that as of March 31, 2024,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the three months ended March 31, 2024 identified in management’s evaluation pursuant to in Rules 13a-15(d) and 15d-15(d) of the Exchange Act that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part_ii_other_information"/>
      <w:bookmarkEnd w:id="13"/>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is from time to time, involved in various pending or threatened legal actions. The litigation process is inherently uncertain, and it is possible that the resolution of such matters might have a material adverse effect 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risk factors relating to our business, please refer to the section entitled "Risk Factors" in our Annual Report on Form 10-K for the year ended December 31, 2023. Any of these factors could result in a significant or material adverse effect on the results of our operations or financial condition. Additional risk factors not presently known to us or that we currently deem immaterial may also impair our business or results of operations.</w:t>
      </w:r>
    </w:p>
    <w:p>
      <w:pPr>
        <w:pStyle w:val="TextBody"/>
        <w:bidi w:val="0"/>
        <w:spacing w:before="24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Mary Jo Prigge, the Executive Vice President, Chief Service Delivery Officer of the Company, terminated a Rule 10b5-1 trading arrangement on March 19, 2024 intended to satisfy the affirmative defense of Rule 10b5-1(c) previously adopted on November 10, 2023 and, subsequently, entered into a new 10b5-1 trading arrangement on March 20, 2024 which is intended to satisfy the affirmative defense of Rule 10b5-1(c) providing for the sale of up to 200,000 shares of the Common Stock of the Company in the period commencing on June 18, 2024 and ending on the earlier of December 31, 2024 or the execution of all trades contemplated by the plan.</w:t>
      </w:r>
    </w:p>
    <w:p>
      <w:pPr>
        <w:pStyle w:val="TextBody"/>
        <w:bidi w:val="0"/>
        <w:spacing w:before="360" w:after="283"/>
        <w:jc w:val="both"/>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Quarterly Report on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74"/>
        <w:gridCol w:w="146"/>
        <w:gridCol w:w="9185"/>
      </w:tblGrid>
      <w:tr>
        <w:trPr/>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5" w:type="dxa"/>
            <w:tcBorders/>
            <w:vAlign w:val="center"/>
          </w:tcPr>
          <w:p>
            <w:pPr>
              <w:pStyle w:val="TableContents"/>
              <w:bidi w:val="0"/>
              <w:spacing w:before="0" w:after="283"/>
              <w:jc w:val="left"/>
              <w:rPr>
                <w:sz w:val="4"/>
                <w:szCs w:val="4"/>
              </w:rPr>
            </w:pPr>
            <w:r>
              <w:rPr>
                <w:sz w:val="4"/>
                <w:szCs w:val="4"/>
              </w:rPr>
            </w:r>
          </w:p>
        </w:tc>
      </w:tr>
      <w:tr>
        <w:trPr/>
        <w:tc>
          <w:tcPr>
            <w:tcW w:w="874"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12" w:space="0" w:color="000000"/>
            </w:tcBorders>
            <w:tcMar>
              <w:top w:w="0" w:type="dxa"/>
              <w:left w:w="0" w:type="dxa"/>
              <w:bottom w:w="35"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ccs-ex31_1.htm">
              <w:r>
                <w:rPr>
                  <w:rStyle w:val="InternetLink"/>
                  <w:rFonts w:ascii="Times New Roman" w:hAnsi="Times New Roman"/>
                  <w:color w:val="0000FF"/>
                  <w:sz w:val="20"/>
                  <w:u w:val="single"/>
                </w:rPr>
                <w:t>Certification of Chief Executive Officer (Principal Executive Officer) Pursuant to Rules 13a-14(a) and 15d-14(a) under the Securities Exchange Act of 1934, as Adopted Pursuant to Section 302 of the Sarbanes-Oxley Act of 2002.</w:t>
              </w:r>
            </w:hyperlink>
          </w:p>
        </w:tc>
      </w:tr>
      <w:tr>
        <w:trPr/>
        <w:tc>
          <w:tcPr>
            <w:tcW w:w="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pPr>
            <w:hyperlink w:anchor="cccs-ex31_2.htm">
              <w:r>
                <w:rPr>
                  <w:rStyle w:val="InternetLink"/>
                  <w:rFonts w:ascii="Times New Roman" w:hAnsi="Times New Roman"/>
                  <w:color w:val="0000FF"/>
                  <w:sz w:val="20"/>
                  <w:u w:val="single"/>
                </w:rPr>
                <w:t>Certification of Chief Financial Officer (Principal Financial and Accounting Officer) Pursuant to Rules 13a-14(a) and 15d-14(a) under the Securities Exchange Act of 1934, as Adopted Pursuant to Section 302 of the Sarbanes-Oxley Act of 2002.</w:t>
              </w:r>
            </w:hyperlink>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ccs-ex32_1.htm">
              <w:r>
                <w:rPr>
                  <w:rStyle w:val="InternetLink"/>
                  <w:rFonts w:ascii="Times New Roman" w:hAnsi="Times New Roman"/>
                  <w:color w:val="0000FF"/>
                  <w:sz w:val="20"/>
                  <w:u w:val="single"/>
                </w:rPr>
                <w:t>Certification of Chief Executive Officer (Principal Executive Officer) Pursuant to 18 U.S.C. Section 1350, as Adopted Pursuant to Section 906 of the Sarbanes-Oxley Act of 2002.</w:t>
              </w:r>
            </w:hyperlink>
          </w:p>
        </w:tc>
      </w:tr>
      <w:tr>
        <w:trPr/>
        <w:tc>
          <w:tcPr>
            <w:tcW w:w="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pPr>
            <w:hyperlink w:anchor="cccs-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__________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8268" w:type="dxa"/>
        <w:jc w:val="left"/>
        <w:tblInd w:w="0" w:type="dxa"/>
        <w:tblLayout w:type="fixed"/>
        <w:tblCellMar>
          <w:top w:w="28" w:type="dxa"/>
          <w:left w:w="28" w:type="dxa"/>
          <w:bottom w:w="28" w:type="dxa"/>
          <w:right w:w="28" w:type="dxa"/>
        </w:tblCellMar>
      </w:tblPr>
      <w:tblGrid>
        <w:gridCol w:w="1891"/>
        <w:gridCol w:w="631"/>
        <w:gridCol w:w="5746"/>
      </w:tblGrid>
      <w:tr>
        <w:trPr/>
        <w:tc>
          <w:tcPr>
            <w:tcW w:w="18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April 30, 2024</w:t>
            </w:r>
          </w:p>
        </w:tc>
        <w:tc>
          <w:tcPr>
            <w:tcW w:w="63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CCC INTELLIGENT SOLUTIONS HOLDINGS INC.</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74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Githesh Ramamurthy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Githesh Ramamurthy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7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Chairman of the Board of Directors</w:t>
            </w:r>
          </w:p>
          <w:p>
            <w:pPr>
              <w:pStyle w:val="TableContents"/>
              <w:bidi w:val="0"/>
              <w:jc w:val="left"/>
              <w:rPr>
                <w:rFonts w:ascii="Times New Roman" w:hAnsi="Times New Roman"/>
                <w:color w:val="000000"/>
                <w:sz w:val="20"/>
              </w:rPr>
            </w:pPr>
            <w:r>
              <w:rPr>
                <w:rFonts w:ascii="Times New Roman" w:hAnsi="Times New Roman"/>
                <w:color w:val="000000"/>
                <w:sz w:val="20"/>
              </w:rPr>
              <w:t>(Principal Executive Officer)</w:t>
            </w:r>
          </w:p>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April 30, 2024</w:t>
            </w:r>
          </w:p>
        </w:tc>
        <w:tc>
          <w:tcPr>
            <w:tcW w:w="63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74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Herb</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Herb</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7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and Administrative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ccs-ex31_1.htm"/>
      <w:bookmarkStart w:id="22" w:name="kscccsex31_1"/>
      <w:bookmarkEnd w:id="21"/>
      <w:bookmarkEnd w:id="2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Githesh Ramamurthy,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CCC Intelligent Solutions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252525"/>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724" w:type="dxa"/>
        <w:jc w:val="left"/>
        <w:tblInd w:w="0" w:type="dxa"/>
        <w:tblLayout w:type="fixed"/>
        <w:tblCellMar>
          <w:top w:w="28" w:type="dxa"/>
          <w:left w:w="28" w:type="dxa"/>
          <w:bottom w:w="28" w:type="dxa"/>
          <w:right w:w="28" w:type="dxa"/>
        </w:tblCellMar>
      </w:tblPr>
      <w:tblGrid>
        <w:gridCol w:w="1141"/>
        <w:gridCol w:w="1109"/>
        <w:gridCol w:w="605"/>
        <w:gridCol w:w="605"/>
        <w:gridCol w:w="605"/>
        <w:gridCol w:w="659"/>
      </w:tblGrid>
      <w:tr>
        <w:trPr/>
        <w:tc>
          <w:tcPr>
            <w:tcW w:w="1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109"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05"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05"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05"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2250"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Dated: April 30, 2024</w:t>
            </w:r>
          </w:p>
        </w:tc>
        <w:tc>
          <w:tcPr>
            <w:tcW w:w="2474" w:type="dxa"/>
            <w:gridSpan w:val="4"/>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/s/ Githesh Ramamurthy</w:t>
            </w:r>
          </w:p>
        </w:tc>
      </w:tr>
      <w:tr>
        <w:trPr/>
        <w:tc>
          <w:tcPr>
            <w:tcW w:w="2250"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2474"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Githesh Ramamurthy</w:t>
            </w:r>
          </w:p>
        </w:tc>
      </w:tr>
    </w:tbl>
    <w:p>
      <w:pPr>
        <w:pStyle w:val="HorizontalLine"/>
        <w:pBdr>
          <w:bottom w:val="double" w:sz="2" w:space="0" w:color="808080"/>
        </w:pBdr>
        <w:bidi w:val="0"/>
        <w:spacing w:before="0" w:after="283"/>
        <w:jc w:val="left"/>
        <w:rPr/>
      </w:pPr>
      <w:r>
        <w:rPr/>
      </w:r>
    </w:p>
    <w:tbl>
      <w:tblPr>
        <w:tblW w:w="2937" w:type="dxa"/>
        <w:jc w:val="left"/>
        <w:tblInd w:w="0" w:type="dxa"/>
        <w:tblLayout w:type="fixed"/>
        <w:tblCellMar>
          <w:top w:w="28" w:type="dxa"/>
          <w:left w:w="28" w:type="dxa"/>
          <w:bottom w:w="28" w:type="dxa"/>
          <w:right w:w="28" w:type="dxa"/>
        </w:tblCellMar>
      </w:tblPr>
      <w:tblGrid>
        <w:gridCol w:w="521"/>
        <w:gridCol w:w="2416"/>
      </w:tblGrid>
      <w:tr>
        <w:trPr/>
        <w:tc>
          <w:tcPr>
            <w:tcW w:w="52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52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i/>
                <w:color w:val="000000"/>
                <w:sz w:val="20"/>
              </w:rPr>
            </w:pPr>
            <w:r>
              <w:rPr>
                <w:rFonts w:ascii="Times New Roman" w:hAnsi="Times New Roman"/>
                <w:i/>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cccs-ex31_2.htm"/>
      <w:bookmarkStart w:id="24" w:name="kscccs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Brian Herb,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CCC Intelligent Solutions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252525"/>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525" w:type="dxa"/>
        <w:jc w:val="left"/>
        <w:tblInd w:w="0" w:type="dxa"/>
        <w:tblLayout w:type="fixed"/>
        <w:tblCellMar>
          <w:top w:w="28" w:type="dxa"/>
          <w:left w:w="28" w:type="dxa"/>
          <w:bottom w:w="28" w:type="dxa"/>
          <w:right w:w="28" w:type="dxa"/>
        </w:tblCellMar>
      </w:tblPr>
      <w:tblGrid>
        <w:gridCol w:w="1179"/>
        <w:gridCol w:w="1071"/>
        <w:gridCol w:w="296"/>
        <w:gridCol w:w="296"/>
        <w:gridCol w:w="296"/>
        <w:gridCol w:w="387"/>
      </w:tblGrid>
      <w:tr>
        <w:trPr/>
        <w:tc>
          <w:tcPr>
            <w:tcW w:w="117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179"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50"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Dated: April 30, 2024</w:t>
            </w:r>
          </w:p>
        </w:tc>
        <w:tc>
          <w:tcPr>
            <w:tcW w:w="1275"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Herb</w:t>
            </w:r>
          </w:p>
        </w:tc>
      </w:tr>
      <w:tr>
        <w:trPr/>
        <w:tc>
          <w:tcPr>
            <w:tcW w:w="225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Herb</w:t>
            </w:r>
          </w:p>
        </w:tc>
      </w:tr>
    </w:tbl>
    <w:p>
      <w:pPr>
        <w:pStyle w:val="HorizontalLine"/>
        <w:pBdr>
          <w:bottom w:val="double" w:sz="2" w:space="0" w:color="808080"/>
        </w:pBdr>
        <w:bidi w:val="0"/>
        <w:spacing w:before="0" w:after="283"/>
        <w:jc w:val="left"/>
        <w:rPr/>
      </w:pPr>
      <w:r>
        <w:rPr/>
      </w:r>
    </w:p>
    <w:tbl>
      <w:tblPr>
        <w:tblW w:w="5952" w:type="dxa"/>
        <w:jc w:val="left"/>
        <w:tblInd w:w="0" w:type="dxa"/>
        <w:tblLayout w:type="fixed"/>
        <w:tblCellMar>
          <w:top w:w="28" w:type="dxa"/>
          <w:left w:w="28" w:type="dxa"/>
          <w:bottom w:w="28" w:type="dxa"/>
          <w:right w:w="28" w:type="dxa"/>
        </w:tblCellMar>
      </w:tblPr>
      <w:tblGrid>
        <w:gridCol w:w="161"/>
        <w:gridCol w:w="5791"/>
      </w:tblGrid>
      <w:tr>
        <w:trPr/>
        <w:tc>
          <w:tcPr>
            <w:tcW w:w="161"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Chief Financial and Administrative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ccs-ex32_1.htm"/>
      <w:bookmarkStart w:id="26" w:name="kscccs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18 U.S.C. Section 1350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CCC Intelligent Solutions Holdings Inc. (the “Company”) for the period ended March 31, 2024, as filed with the U.S. Securities and Exchange Commission (the “Report”), I, Githesh Ramamurthy, Chief Executive Officer and Chairman of the Board of Directors of the Company, hereby certify, pursuant to 18 U.S.C. Section 1350, as adopted pursuant to Section 906 of the Sarbanes-Oxley Act of 2002, that, to my knowledge: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989"/>
        <w:gridCol w:w="901"/>
        <w:gridCol w:w="489"/>
        <w:gridCol w:w="489"/>
        <w:gridCol w:w="489"/>
        <w:gridCol w:w="646"/>
      </w:tblGrid>
      <w:tr>
        <w:trPr/>
        <w:tc>
          <w:tcPr>
            <w:tcW w:w="98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989"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April 30, 2024</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Githesh Ramamurthy</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Githesh Ramamurthy</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cccs-ex32_2.htm"/>
      <w:bookmarkStart w:id="28" w:name="kscccsex32_2"/>
      <w:bookmarkEnd w:id="27"/>
      <w:bookmarkEnd w:id="28"/>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18 U.S.C. Section 1350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CCC Intelligent Solutions Holdings Inc. (the “Company”) for the period ended March 31, 2024, as filed with the U.S. Securities and Exchange Commission (the “Report”), I, Brian Herb, Executive Vice President, Chief Financial and Administrative Officer of the Company, hereby certify, pursuant to 18 U.S.C. Section 1350, as adopted pursuant to Section 906 of the Sarbanes-Oxley Act of 2002, that, to my knowledge: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7679" w:type="dxa"/>
        <w:jc w:val="left"/>
        <w:tblInd w:w="0" w:type="dxa"/>
        <w:tblLayout w:type="fixed"/>
        <w:tblCellMar>
          <w:top w:w="28" w:type="dxa"/>
          <w:left w:w="28" w:type="dxa"/>
          <w:bottom w:w="28" w:type="dxa"/>
          <w:right w:w="28" w:type="dxa"/>
        </w:tblCellMar>
      </w:tblPr>
      <w:tblGrid>
        <w:gridCol w:w="989"/>
        <w:gridCol w:w="901"/>
        <w:gridCol w:w="1341"/>
        <w:gridCol w:w="1341"/>
        <w:gridCol w:w="1341"/>
        <w:gridCol w:w="1766"/>
      </w:tblGrid>
      <w:tr>
        <w:trPr/>
        <w:tc>
          <w:tcPr>
            <w:tcW w:w="98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r>
      <w:tr>
        <w:trPr/>
        <w:tc>
          <w:tcPr>
            <w:tcW w:w="989"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April 30, 2024</w:t>
            </w:r>
          </w:p>
        </w:tc>
        <w:tc>
          <w:tcPr>
            <w:tcW w:w="578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Herb</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89"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Herb</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8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Chief Financial and Administrative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18799</Words>
  <Characters>104342</Characters>
  <CharactersWithSpaces>124548</CharactersWithSpaces>
  <Paragraphs>6511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