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0"/>
          <w:szCs w:val="30"/>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60325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73660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4" w:lineRule="exact"/>
        <w:rPr>
          <w:sz w:val="24"/>
          <w:szCs w:val="24"/>
          <w:color w:val="auto"/>
        </w:rPr>
      </w:pPr>
    </w:p>
    <w:p>
      <w:pPr>
        <w:ind w:left="480" w:right="1560" w:hanging="459"/>
        <w:spacing w:after="0" w:line="311" w:lineRule="auto"/>
        <w:tabs>
          <w:tab w:leader="none" w:pos="48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ANNUAL REPORT PURSUANT TO SECTION 13 OR 15(d) OF THE SECURITIES EXCHANGE ACT OF 1934 FOR THE FISCAL YEAR ENDED December 31, 2023</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or</w:t>
      </w:r>
    </w:p>
    <w:p>
      <w:pPr>
        <w:spacing w:after="0" w:line="118"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TRANSITION REPORT PURSUANT TO SECTION 13 OR 15(d) OF THE SECURITIES EXCHANGE ACT OF 1934</w:t>
      </w:r>
    </w:p>
    <w:p>
      <w:pPr>
        <w:spacing w:after="0" w:line="122"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3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60" w:type="dxa"/>
            <w:vAlign w:val="bottom"/>
            <w:gridSpan w:val="7"/>
          </w:tcPr>
          <w:p>
            <w:pPr>
              <w:ind w:left="160"/>
              <w:spacing w:after="0"/>
              <w:rPr>
                <w:sz w:val="20"/>
                <w:szCs w:val="20"/>
                <w:color w:val="auto"/>
              </w:rPr>
            </w:pPr>
            <w:r>
              <w:rPr>
                <w:rFonts w:ascii="Times New Roman" w:cs="Times New Roman" w:eastAsia="Times New Roman" w:hAnsi="Times New Roman"/>
                <w:sz w:val="16"/>
                <w:szCs w:val="16"/>
                <w:color w:val="auto"/>
              </w:rPr>
              <w:t>FOR THE TRANSITION PERIOD FROM  TO</w:t>
            </w: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80" w:type="dxa"/>
            <w:vAlign w:val="bottom"/>
            <w:tcBorders>
              <w:right w:val="single" w:sz="8" w:color="auto"/>
            </w:tcBorders>
            <w:gridSpan w:val="3"/>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3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60" w:type="dxa"/>
            <w:vAlign w:val="bottom"/>
            <w:gridSpan w:val="7"/>
          </w:tcPr>
          <w:p>
            <w:pPr>
              <w:jc w:val="center"/>
              <w:ind w:right="480"/>
              <w:spacing w:after="0"/>
              <w:rPr>
                <w:sz w:val="20"/>
                <w:szCs w:val="20"/>
                <w:color w:val="auto"/>
              </w:rPr>
            </w:pPr>
            <w:r>
              <w:rPr>
                <w:rFonts w:ascii="Times New Roman" w:cs="Times New Roman" w:eastAsia="Times New Roman" w:hAnsi="Times New Roman"/>
                <w:sz w:val="16"/>
                <w:szCs w:val="16"/>
                <w:color w:val="auto"/>
              </w:rPr>
              <w:t>COMMISSION FILE NUMBER 001-03551</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362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506"/>
        </w:trPr>
        <w:tc>
          <w:tcPr>
            <w:tcW w:w="11240" w:type="dxa"/>
            <w:vAlign w:val="bottom"/>
            <w:gridSpan w:val="11"/>
          </w:tcPr>
          <w:p>
            <w:pPr>
              <w:jc w:val="center"/>
              <w:spacing w:after="0"/>
              <w:rPr>
                <w:sz w:val="20"/>
                <w:szCs w:val="20"/>
                <w:color w:val="auto"/>
              </w:rPr>
            </w:pPr>
            <w:r>
              <w:rPr>
                <w:rFonts w:ascii="Times New Roman" w:cs="Times New Roman" w:eastAsia="Times New Roman" w:hAnsi="Times New Roman"/>
                <w:sz w:val="36"/>
                <w:szCs w:val="36"/>
                <w:color w:val="auto"/>
                <w:w w:val="99"/>
              </w:rPr>
              <w:t>CCC Intelligent Solutions Holdings Inc.</w:t>
            </w: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60" w:type="dxa"/>
            <w:vAlign w:val="bottom"/>
            <w:gridSpan w:val="7"/>
          </w:tcPr>
          <w:p>
            <w:pPr>
              <w:jc w:val="center"/>
              <w:ind w:right="48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3540" w:type="dxa"/>
            <w:vAlign w:val="bottom"/>
            <w:vMerge w:val="restart"/>
          </w:tcPr>
          <w:p>
            <w:pPr>
              <w:jc w:val="center"/>
              <w:ind w:left="1917"/>
              <w:spacing w:after="0"/>
              <w:rPr>
                <w:sz w:val="20"/>
                <w:szCs w:val="20"/>
                <w:color w:val="auto"/>
              </w:rPr>
            </w:pPr>
            <w:r>
              <w:rPr>
                <w:rFonts w:ascii="Times New Roman" w:cs="Times New Roman" w:eastAsia="Times New Roman" w:hAnsi="Times New Roman"/>
                <w:sz w:val="16"/>
                <w:szCs w:val="16"/>
                <w:color w:val="auto"/>
              </w:rPr>
              <w:t>Delaware</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340" w:type="dxa"/>
            <w:vAlign w:val="bottom"/>
            <w:vMerge w:val="restart"/>
          </w:tcPr>
          <w:p>
            <w:pPr>
              <w:jc w:val="right"/>
              <w:ind w:right="2289"/>
              <w:spacing w:after="0"/>
              <w:rPr>
                <w:sz w:val="20"/>
                <w:szCs w:val="20"/>
                <w:color w:val="auto"/>
              </w:rPr>
            </w:pPr>
            <w:r>
              <w:rPr>
                <w:rFonts w:ascii="Times New Roman" w:cs="Times New Roman" w:eastAsia="Times New Roman" w:hAnsi="Times New Roman"/>
                <w:sz w:val="16"/>
                <w:szCs w:val="16"/>
                <w:color w:val="auto"/>
              </w:rPr>
              <w:t>98-1546280</w:t>
            </w:r>
          </w:p>
        </w:tc>
        <w:tc>
          <w:tcPr>
            <w:tcW w:w="0" w:type="dxa"/>
            <w:vAlign w:val="bottom"/>
          </w:tcPr>
          <w:p>
            <w:pPr>
              <w:spacing w:after="0"/>
              <w:rPr>
                <w:sz w:val="1"/>
                <w:szCs w:val="1"/>
                <w:color w:val="auto"/>
              </w:rPr>
            </w:pPr>
          </w:p>
        </w:tc>
      </w:tr>
      <w:tr>
        <w:trPr>
          <w:trHeight w:val="245"/>
        </w:trPr>
        <w:tc>
          <w:tcPr>
            <w:tcW w:w="35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3540" w:type="dxa"/>
            <w:vAlign w:val="bottom"/>
          </w:tcPr>
          <w:p>
            <w:pPr>
              <w:jc w:val="center"/>
              <w:ind w:left="1877"/>
              <w:spacing w:after="0" w:line="135" w:lineRule="exact"/>
              <w:rPr>
                <w:sz w:val="20"/>
                <w:szCs w:val="20"/>
                <w:color w:val="auto"/>
              </w:rPr>
            </w:pPr>
            <w:r>
              <w:rPr>
                <w:rFonts w:ascii="Times New Roman" w:cs="Times New Roman" w:eastAsia="Times New Roman" w:hAnsi="Times New Roman"/>
                <w:sz w:val="13"/>
                <w:szCs w:val="13"/>
                <w:color w:val="auto"/>
                <w:w w:val="96"/>
              </w:rPr>
              <w:t>(State or other jurisdiction 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340" w:type="dxa"/>
            <w:vAlign w:val="bottom"/>
          </w:tcPr>
          <w:p>
            <w:pPr>
              <w:jc w:val="center"/>
              <w:ind w:right="2089"/>
              <w:spacing w:after="0" w:line="135" w:lineRule="exact"/>
              <w:rPr>
                <w:sz w:val="20"/>
                <w:szCs w:val="20"/>
                <w:color w:val="auto"/>
              </w:rPr>
            </w:pPr>
            <w:r>
              <w:rPr>
                <w:rFonts w:ascii="Times New Roman" w:cs="Times New Roman" w:eastAsia="Times New Roman" w:hAnsi="Times New Roman"/>
                <w:sz w:val="13"/>
                <w:szCs w:val="13"/>
                <w:color w:val="auto"/>
                <w:w w:val="98"/>
              </w:rPr>
              <w:t>(IRS Employer</w:t>
            </w:r>
          </w:p>
        </w:tc>
        <w:tc>
          <w:tcPr>
            <w:tcW w:w="0" w:type="dxa"/>
            <w:vAlign w:val="bottom"/>
          </w:tcPr>
          <w:p>
            <w:pPr>
              <w:spacing w:after="0"/>
              <w:rPr>
                <w:sz w:val="1"/>
                <w:szCs w:val="1"/>
                <w:color w:val="auto"/>
              </w:rPr>
            </w:pPr>
          </w:p>
        </w:tc>
      </w:tr>
      <w:tr>
        <w:trPr>
          <w:trHeight w:val="164"/>
        </w:trPr>
        <w:tc>
          <w:tcPr>
            <w:tcW w:w="3540" w:type="dxa"/>
            <w:vAlign w:val="bottom"/>
          </w:tcPr>
          <w:p>
            <w:pPr>
              <w:jc w:val="center"/>
              <w:ind w:left="1897"/>
              <w:spacing w:after="0"/>
              <w:rPr>
                <w:sz w:val="20"/>
                <w:szCs w:val="20"/>
                <w:color w:val="auto"/>
              </w:rPr>
            </w:pPr>
            <w:r>
              <w:rPr>
                <w:rFonts w:ascii="Times New Roman" w:cs="Times New Roman" w:eastAsia="Times New Roman" w:hAnsi="Times New Roman"/>
                <w:sz w:val="13"/>
                <w:szCs w:val="13"/>
                <w:color w:val="auto"/>
                <w:w w:val="96"/>
              </w:rPr>
              <w:t>incorporation or organization)</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40" w:type="dxa"/>
            <w:vAlign w:val="bottom"/>
          </w:tcPr>
          <w:p>
            <w:pPr>
              <w:jc w:val="center"/>
              <w:ind w:right="2089"/>
              <w:spacing w:after="0"/>
              <w:rPr>
                <w:sz w:val="20"/>
                <w:szCs w:val="20"/>
                <w:color w:val="auto"/>
              </w:rPr>
            </w:pPr>
            <w:r>
              <w:rPr>
                <w:rFonts w:ascii="Times New Roman" w:cs="Times New Roman" w:eastAsia="Times New Roman" w:hAnsi="Times New Roman"/>
                <w:sz w:val="13"/>
                <w:szCs w:val="13"/>
                <w:color w:val="auto"/>
                <w:w w:val="97"/>
              </w:rPr>
              <w:t>Identification No.)</w:t>
            </w:r>
          </w:p>
        </w:tc>
        <w:tc>
          <w:tcPr>
            <w:tcW w:w="0" w:type="dxa"/>
            <w:vAlign w:val="bottom"/>
          </w:tcPr>
          <w:p>
            <w:pPr>
              <w:spacing w:after="0"/>
              <w:rPr>
                <w:sz w:val="1"/>
                <w:szCs w:val="1"/>
                <w:color w:val="auto"/>
              </w:rPr>
            </w:pPr>
          </w:p>
        </w:tc>
      </w:tr>
      <w:tr>
        <w:trPr>
          <w:trHeight w:val="313"/>
        </w:trPr>
        <w:tc>
          <w:tcPr>
            <w:tcW w:w="7900" w:type="dxa"/>
            <w:vAlign w:val="bottom"/>
            <w:gridSpan w:val="10"/>
          </w:tcPr>
          <w:p>
            <w:pPr>
              <w:jc w:val="center"/>
              <w:ind w:right="2380"/>
              <w:spacing w:after="0"/>
              <w:rPr>
                <w:sz w:val="20"/>
                <w:szCs w:val="20"/>
                <w:color w:val="auto"/>
              </w:rPr>
            </w:pPr>
            <w:r>
              <w:rPr>
                <w:rFonts w:ascii="Times New Roman" w:cs="Times New Roman" w:eastAsia="Times New Roman" w:hAnsi="Times New Roman"/>
                <w:sz w:val="16"/>
                <w:szCs w:val="16"/>
                <w:color w:val="auto"/>
              </w:rPr>
              <w:t>167 N. Green Street, 9th Floor</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540" w:type="dxa"/>
            <w:vAlign w:val="bottom"/>
          </w:tcPr>
          <w:p>
            <w:pPr>
              <w:jc w:val="center"/>
              <w:ind w:left="1897"/>
              <w:spacing w:after="0"/>
              <w:rPr>
                <w:sz w:val="20"/>
                <w:szCs w:val="20"/>
                <w:color w:val="auto"/>
              </w:rPr>
            </w:pPr>
            <w:r>
              <w:rPr>
                <w:rFonts w:ascii="Times New Roman" w:cs="Times New Roman" w:eastAsia="Times New Roman" w:hAnsi="Times New Roman"/>
                <w:sz w:val="16"/>
                <w:szCs w:val="16"/>
                <w:color w:val="auto"/>
                <w:w w:val="99"/>
              </w:rPr>
              <w:t>Chicago, IL</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40" w:type="dxa"/>
            <w:vAlign w:val="bottom"/>
          </w:tcPr>
          <w:p>
            <w:pPr>
              <w:jc w:val="right"/>
              <w:ind w:right="2469"/>
              <w:spacing w:after="0"/>
              <w:rPr>
                <w:sz w:val="20"/>
                <w:szCs w:val="20"/>
                <w:color w:val="auto"/>
              </w:rPr>
            </w:pPr>
            <w:r>
              <w:rPr>
                <w:rFonts w:ascii="Times New Roman" w:cs="Times New Roman" w:eastAsia="Times New Roman" w:hAnsi="Times New Roman"/>
                <w:sz w:val="16"/>
                <w:szCs w:val="16"/>
                <w:color w:val="auto"/>
              </w:rPr>
              <w:t>60607</w:t>
            </w:r>
          </w:p>
        </w:tc>
        <w:tc>
          <w:tcPr>
            <w:tcW w:w="0" w:type="dxa"/>
            <w:vAlign w:val="bottom"/>
          </w:tcPr>
          <w:p>
            <w:pPr>
              <w:spacing w:after="0"/>
              <w:rPr>
                <w:sz w:val="1"/>
                <w:szCs w:val="1"/>
                <w:color w:val="auto"/>
              </w:rPr>
            </w:pPr>
          </w:p>
        </w:tc>
      </w:tr>
      <w:tr>
        <w:trPr>
          <w:trHeight w:val="164"/>
        </w:trPr>
        <w:tc>
          <w:tcPr>
            <w:tcW w:w="7900" w:type="dxa"/>
            <w:vAlign w:val="bottom"/>
            <w:gridSpan w:val="10"/>
          </w:tcPr>
          <w:p>
            <w:pPr>
              <w:jc w:val="center"/>
              <w:ind w:right="2380"/>
              <w:spacing w:after="0"/>
              <w:rPr>
                <w:sz w:val="20"/>
                <w:szCs w:val="20"/>
                <w:color w:val="auto"/>
              </w:rPr>
            </w:pPr>
            <w:r>
              <w:rPr>
                <w:rFonts w:ascii="Times New Roman" w:cs="Times New Roman" w:eastAsia="Times New Roman" w:hAnsi="Times New Roman"/>
                <w:sz w:val="13"/>
                <w:szCs w:val="13"/>
                <w:color w:val="auto"/>
                <w:w w:val="96"/>
              </w:rPr>
              <w:t>(Address of principal executive offices)</w:t>
            </w:r>
          </w:p>
        </w:tc>
        <w:tc>
          <w:tcPr>
            <w:tcW w:w="3340" w:type="dxa"/>
            <w:vAlign w:val="bottom"/>
          </w:tcPr>
          <w:p>
            <w:pPr>
              <w:jc w:val="center"/>
              <w:ind w:right="2069"/>
              <w:spacing w:after="0"/>
              <w:rPr>
                <w:sz w:val="20"/>
                <w:szCs w:val="20"/>
                <w:color w:val="auto"/>
              </w:rPr>
            </w:pPr>
            <w:r>
              <w:rPr>
                <w:rFonts w:ascii="Times New Roman" w:cs="Times New Roman" w:eastAsia="Times New Roman" w:hAnsi="Times New Roman"/>
                <w:sz w:val="13"/>
                <w:szCs w:val="13"/>
                <w:color w:val="auto"/>
                <w:w w:val="97"/>
              </w:rPr>
              <w:t>(Zip Code)</w:t>
            </w:r>
          </w:p>
        </w:tc>
        <w:tc>
          <w:tcPr>
            <w:tcW w:w="0" w:type="dxa"/>
            <w:vAlign w:val="bottom"/>
          </w:tcPr>
          <w:p>
            <w:pPr>
              <w:spacing w:after="0"/>
              <w:rPr>
                <w:sz w:val="1"/>
                <w:szCs w:val="1"/>
                <w:color w:val="auto"/>
              </w:rPr>
            </w:pPr>
          </w:p>
        </w:tc>
      </w:tr>
      <w:tr>
        <w:trPr>
          <w:trHeight w:val="254"/>
        </w:trPr>
        <w:tc>
          <w:tcPr>
            <w:tcW w:w="3540" w:type="dxa"/>
            <w:vAlign w:val="bottom"/>
          </w:tcPr>
          <w:p>
            <w:pPr>
              <w:spacing w:after="0"/>
              <w:rPr>
                <w:sz w:val="22"/>
                <w:szCs w:val="22"/>
                <w:color w:val="auto"/>
              </w:rPr>
            </w:pPr>
          </w:p>
        </w:tc>
        <w:tc>
          <w:tcPr>
            <w:tcW w:w="3200" w:type="dxa"/>
            <w:vAlign w:val="bottom"/>
            <w:gridSpan w:val="4"/>
          </w:tcPr>
          <w:p>
            <w:pPr>
              <w:jc w:val="center"/>
              <w:ind w:left="899"/>
              <w:spacing w:after="0"/>
              <w:rPr>
                <w:sz w:val="20"/>
                <w:szCs w:val="20"/>
                <w:color w:val="auto"/>
              </w:rPr>
            </w:pPr>
            <w:r>
              <w:rPr>
                <w:rFonts w:ascii="Times New Roman" w:cs="Times New Roman" w:eastAsia="Times New Roman" w:hAnsi="Times New Roman"/>
                <w:sz w:val="16"/>
                <w:szCs w:val="16"/>
                <w:color w:val="auto"/>
              </w:rPr>
              <w:t>(800) 621-8070</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9"/>
        </w:trPr>
        <w:tc>
          <w:tcPr>
            <w:tcW w:w="3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60" w:type="dxa"/>
            <w:vAlign w:val="bottom"/>
            <w:gridSpan w:val="7"/>
          </w:tcPr>
          <w:p>
            <w:pPr>
              <w:jc w:val="center"/>
              <w:ind w:right="480"/>
              <w:spacing w:after="0" w:line="139" w:lineRule="exact"/>
              <w:rPr>
                <w:sz w:val="20"/>
                <w:szCs w:val="20"/>
                <w:color w:val="auto"/>
              </w:rPr>
            </w:pPr>
            <w:r>
              <w:rPr>
                <w:rFonts w:ascii="Times New Roman" w:cs="Times New Roman" w:eastAsia="Times New Roman" w:hAnsi="Times New Roman"/>
                <w:sz w:val="13"/>
                <w:szCs w:val="13"/>
                <w:color w:val="auto"/>
                <w:w w:val="96"/>
              </w:rPr>
              <w:t>(Registrant’s telephone number, including area code)</w:t>
            </w:r>
          </w:p>
        </w:tc>
        <w:tc>
          <w:tcPr>
            <w:tcW w:w="3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80" w:type="dxa"/>
            <w:vAlign w:val="bottom"/>
            <w:gridSpan w:val="8"/>
          </w:tcPr>
          <w:p>
            <w:pPr>
              <w:jc w:val="center"/>
              <w:ind w:right="26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40" w:type="dxa"/>
            <w:vAlign w:val="bottom"/>
          </w:tcPr>
          <w:p>
            <w:pPr>
              <w:ind w:left="1360"/>
              <w:spacing w:after="0"/>
              <w:rPr>
                <w:sz w:val="20"/>
                <w:szCs w:val="20"/>
                <w:color w:val="auto"/>
              </w:rPr>
            </w:pPr>
            <w:r>
              <w:rPr>
                <w:rFonts w:ascii="Times New Roman" w:cs="Times New Roman" w:eastAsia="Times New Roman" w:hAnsi="Times New Roman"/>
                <w:sz w:val="13"/>
                <w:szCs w:val="13"/>
                <w:color w:val="auto"/>
              </w:rPr>
              <w:t>Title of each class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0" w:type="dxa"/>
            <w:vAlign w:val="bottom"/>
            <w:gridSpan w:val="6"/>
          </w:tcPr>
          <w:p>
            <w:pPr>
              <w:ind w:left="700"/>
              <w:spacing w:after="0"/>
              <w:rPr>
                <w:sz w:val="20"/>
                <w:szCs w:val="20"/>
                <w:color w:val="auto"/>
              </w:rPr>
            </w:pPr>
            <w:r>
              <w:rPr>
                <w:rFonts w:ascii="Times New Roman" w:cs="Times New Roman" w:eastAsia="Times New Roman" w:hAnsi="Times New Roman"/>
                <w:sz w:val="13"/>
                <w:szCs w:val="13"/>
                <w:color w:val="auto"/>
              </w:rPr>
              <w:t>Trading symbol(s)</w:t>
            </w:r>
          </w:p>
        </w:tc>
        <w:tc>
          <w:tcPr>
            <w:tcW w:w="334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Name of each exchange on which registered</w:t>
            </w:r>
          </w:p>
        </w:tc>
        <w:tc>
          <w:tcPr>
            <w:tcW w:w="0" w:type="dxa"/>
            <w:vAlign w:val="bottom"/>
          </w:tcPr>
          <w:p>
            <w:pPr>
              <w:spacing w:after="0"/>
              <w:rPr>
                <w:sz w:val="1"/>
                <w:szCs w:val="1"/>
                <w:color w:val="auto"/>
              </w:rPr>
            </w:pPr>
          </w:p>
        </w:tc>
      </w:tr>
      <w:tr>
        <w:trPr>
          <w:trHeight w:val="205"/>
        </w:trPr>
        <w:tc>
          <w:tcPr>
            <w:tcW w:w="3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940" w:type="dxa"/>
            <w:vAlign w:val="bottom"/>
            <w:tcBorders>
              <w:top w:val="single" w:sz="8" w:color="auto"/>
            </w:tcBorders>
            <w:gridSpan w:val="4"/>
          </w:tcPr>
          <w:p>
            <w:pPr>
              <w:jc w:val="center"/>
              <w:ind w:right="660"/>
              <w:spacing w:after="0"/>
              <w:rPr>
                <w:sz w:val="20"/>
                <w:szCs w:val="20"/>
                <w:color w:val="auto"/>
              </w:rPr>
            </w:pPr>
            <w:r>
              <w:rPr>
                <w:rFonts w:ascii="Times New Roman" w:cs="Times New Roman" w:eastAsia="Times New Roman" w:hAnsi="Times New Roman"/>
                <w:sz w:val="16"/>
                <w:szCs w:val="16"/>
                <w:color w:val="auto"/>
                <w:w w:val="97"/>
              </w:rPr>
              <w:t>CCCS</w:t>
            </w:r>
          </w:p>
        </w:tc>
        <w:tc>
          <w:tcPr>
            <w:tcW w:w="2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34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283"/>
        </w:trPr>
        <w:tc>
          <w:tcPr>
            <w:tcW w:w="3540" w:type="dxa"/>
            <w:vAlign w:val="bottom"/>
          </w:tcPr>
          <w:p>
            <w:pPr>
              <w:spacing w:after="0"/>
              <w:rPr>
                <w:sz w:val="24"/>
                <w:szCs w:val="24"/>
                <w:color w:val="auto"/>
              </w:rPr>
            </w:pPr>
          </w:p>
        </w:tc>
        <w:tc>
          <w:tcPr>
            <w:tcW w:w="4360" w:type="dxa"/>
            <w:vAlign w:val="bottom"/>
            <w:gridSpan w:val="9"/>
          </w:tcPr>
          <w:p>
            <w:pPr>
              <w:jc w:val="center"/>
              <w:ind w:right="200"/>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500" w:type="dxa"/>
            <w:vAlign w:val="bottom"/>
            <w:gridSpan w:val="4"/>
          </w:tcPr>
          <w:p>
            <w:pPr>
              <w:spacing w:after="0"/>
              <w:rPr>
                <w:sz w:val="13"/>
                <w:szCs w:val="13"/>
                <w:color w:val="auto"/>
              </w:rPr>
            </w:pPr>
          </w:p>
        </w:tc>
        <w:tc>
          <w:tcPr>
            <w:tcW w:w="22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gridSpan w:val="3"/>
          </w:tcPr>
          <w:p>
            <w:pPr>
              <w:spacing w:after="0"/>
              <w:rPr>
                <w:sz w:val="13"/>
                <w:szCs w:val="13"/>
                <w:color w:val="auto"/>
              </w:rPr>
            </w:pPr>
          </w:p>
        </w:tc>
        <w:tc>
          <w:tcPr>
            <w:tcW w:w="3340" w:type="dxa"/>
            <w:vAlign w:val="bottom"/>
            <w:vMerge w:val="restart"/>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48"/>
        </w:trPr>
        <w:tc>
          <w:tcPr>
            <w:tcW w:w="7900" w:type="dxa"/>
            <w:vAlign w:val="bottom"/>
            <w:gridSpan w:val="10"/>
          </w:tcPr>
          <w:p>
            <w:pPr>
              <w:ind w:left="42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tc>
        <w:tc>
          <w:tcPr>
            <w:tcW w:w="3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ind w:left="42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ind w:right="180" w:firstLine="404"/>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160" w:firstLine="404"/>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firstLine="404"/>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1"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19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32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4600" w:type="dxa"/>
            <w:vAlign w:val="bottom"/>
          </w:tcPr>
          <w:p>
            <w:pPr>
              <w:ind w:left="2500"/>
              <w:spacing w:after="0"/>
              <w:rPr>
                <w:sz w:val="20"/>
                <w:szCs w:val="20"/>
                <w:color w:val="auto"/>
              </w:rPr>
            </w:pPr>
            <w:r>
              <w:rPr>
                <w:rFonts w:ascii="Times New Roman" w:cs="Times New Roman" w:eastAsia="Times New Roman" w:hAnsi="Times New Roman"/>
                <w:sz w:val="14"/>
                <w:szCs w:val="14"/>
                <w:color w:val="auto"/>
              </w:rPr>
              <w:t>Accelerated filer</w:t>
            </w:r>
          </w:p>
        </w:tc>
        <w:tc>
          <w:tcPr>
            <w:tcW w:w="6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19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32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4600" w:type="dxa"/>
            <w:vAlign w:val="bottom"/>
          </w:tcPr>
          <w:p>
            <w:pPr>
              <w:ind w:left="25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98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4600" w:type="dxa"/>
            <w:vAlign w:val="bottom"/>
          </w:tcPr>
          <w:p>
            <w:pPr>
              <w:ind w:left="2500"/>
              <w:spacing w:after="0"/>
              <w:rPr>
                <w:sz w:val="20"/>
                <w:szCs w:val="20"/>
                <w:color w:val="auto"/>
              </w:rPr>
            </w:pPr>
            <w:r>
              <w:rPr>
                <w:rFonts w:ascii="Times New Roman" w:cs="Times New Roman" w:eastAsia="Times New Roman" w:hAnsi="Times New Roman"/>
                <w:sz w:val="14"/>
                <w:szCs w:val="14"/>
                <w:color w:val="auto"/>
              </w:rPr>
              <w:t>Emerging growth company</w:t>
            </w:r>
          </w:p>
        </w:tc>
        <w:tc>
          <w:tcPr>
            <w:tcW w:w="6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9" w:lineRule="exact"/>
        <w:rPr>
          <w:sz w:val="24"/>
          <w:szCs w:val="24"/>
          <w:color w:val="auto"/>
        </w:rPr>
      </w:pPr>
    </w:p>
    <w:p>
      <w:pPr>
        <w:ind w:right="160" w:firstLine="404"/>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 w:lineRule="exact"/>
        <w:rPr>
          <w:sz w:val="24"/>
          <w:szCs w:val="24"/>
          <w:color w:val="auto"/>
        </w:rPr>
      </w:pPr>
    </w:p>
    <w:p>
      <w:pPr>
        <w:ind w:right="120" w:firstLine="404"/>
        <w:spacing w:after="0" w:line="19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3" w:lineRule="exact"/>
        <w:rPr>
          <w:sz w:val="24"/>
          <w:szCs w:val="24"/>
          <w:color w:val="auto"/>
        </w:rPr>
      </w:pPr>
    </w:p>
    <w:p>
      <w:pPr>
        <w:ind w:right="180" w:firstLine="404"/>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6" w:lineRule="exact"/>
        <w:rPr>
          <w:sz w:val="24"/>
          <w:szCs w:val="24"/>
          <w:color w:val="auto"/>
        </w:rPr>
      </w:pPr>
    </w:p>
    <w:p>
      <w:pPr>
        <w:ind w:right="460" w:firstLine="404"/>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ind w:left="42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7" w:right="339" w:bottom="1440" w:gutter="0" w:footer="0" w:header="0"/>
        </w:sectPr>
      </w:pPr>
    </w:p>
    <w:bookmarkStart w:id="1" w:name="page2"/>
    <w:bookmarkEnd w:id="1"/>
    <w:p>
      <w:pPr>
        <w:ind w:left="420" w:right="1780"/>
        <w:spacing w:after="0" w:line="301" w:lineRule="auto"/>
        <w:rPr>
          <w:sz w:val="20"/>
          <w:szCs w:val="20"/>
          <w:color w:val="auto"/>
        </w:rPr>
      </w:pPr>
      <w:r>
        <w:rPr>
          <w:rFonts w:ascii="Times New Roman" w:cs="Times New Roman" w:eastAsia="Times New Roman" w:hAnsi="Times New Roman"/>
          <w:sz w:val="14"/>
          <w:szCs w:val="14"/>
          <w:color w:val="auto"/>
        </w:rPr>
        <w:t>The aggregate market value of the common shares of CCC Intelligent Solutions Holdings Inc. held by non-affiliates as of June 30, 2023, was approximately $1,847 million.</w:t>
      </w:r>
    </w:p>
    <w:p>
      <w:pPr>
        <w:spacing w:after="0" w:line="1" w:lineRule="exact"/>
        <w:rPr>
          <w:sz w:val="20"/>
          <w:szCs w:val="20"/>
          <w:color w:val="auto"/>
        </w:rPr>
      </w:pPr>
    </w:p>
    <w:p>
      <w:pPr>
        <w:jc w:val="right"/>
        <w:ind w:left="420" w:right="3980"/>
        <w:spacing w:after="0" w:line="342" w:lineRule="auto"/>
        <w:rPr>
          <w:sz w:val="20"/>
          <w:szCs w:val="20"/>
          <w:color w:val="auto"/>
        </w:rPr>
      </w:pPr>
      <w:r>
        <w:rPr>
          <w:rFonts w:ascii="Times New Roman" w:cs="Times New Roman" w:eastAsia="Times New Roman" w:hAnsi="Times New Roman"/>
          <w:sz w:val="14"/>
          <w:szCs w:val="14"/>
          <w:color w:val="auto"/>
        </w:rPr>
        <w:t>As of February 21, 2024, 604,651,284 shares of common stock, $0.0001 par value, of the registrant were outstanding. DOCUMENTS INCORPORATED BY REFERENCE</w:t>
      </w:r>
    </w:p>
    <w:p>
      <w:pPr>
        <w:ind w:firstLine="404"/>
        <w:spacing w:after="0" w:line="261" w:lineRule="auto"/>
        <w:rPr>
          <w:sz w:val="20"/>
          <w:szCs w:val="20"/>
          <w:color w:val="auto"/>
        </w:rPr>
      </w:pPr>
      <w:r>
        <w:rPr>
          <w:rFonts w:ascii="Times New Roman" w:cs="Times New Roman" w:eastAsia="Times New Roman" w:hAnsi="Times New Roman"/>
          <w:sz w:val="14"/>
          <w:szCs w:val="14"/>
          <w:color w:val="auto"/>
        </w:rPr>
        <w:t>Our definitive proxy statement relating to our 2024 annual meeting of shareholders will be filed with the Securities and Exchange Commission within 120 days after the close of our fiscal year ended December 31, 2023 and is incorporated by reference in Part III to the extent described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35" w:right="399" w:bottom="1440" w:gutter="0" w:footer="0" w:header="0"/>
        </w:sectPr>
      </w:pPr>
    </w:p>
    <w:bookmarkStart w:id="2" w:name="page3"/>
    <w:bookmarkEnd w:id="2"/>
    <w:tbl>
      <w:tblPr>
        <w:tblLayout w:type="fixed"/>
        <w:tblInd w:w="20" w:type="dxa"/>
        <w:tblCellMar>
          <w:top w:w="0" w:type="dxa"/>
          <w:left w:w="0" w:type="dxa"/>
          <w:bottom w:w="0" w:type="dxa"/>
          <w:right w:w="0" w:type="dxa"/>
        </w:tblCellMar>
      </w:tblPr>
      <w:tr>
        <w:trPr>
          <w:trHeight w:val="210"/>
        </w:trPr>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60" w:type="dxa"/>
            <w:vAlign w:val="bottom"/>
            <w:gridSpan w:val="7"/>
          </w:tcPr>
          <w:p>
            <w:pPr>
              <w:ind w:left="40"/>
              <w:spacing w:after="0"/>
              <w:rPr>
                <w:sz w:val="20"/>
                <w:szCs w:val="20"/>
                <w:color w:val="auto"/>
              </w:rPr>
            </w:pPr>
            <w:r>
              <w:rPr>
                <w:rFonts w:ascii="Times New Roman" w:cs="Times New Roman" w:eastAsia="Times New Roman" w:hAnsi="Times New Roman"/>
                <w:sz w:val="16"/>
                <w:szCs w:val="16"/>
                <w:color w:val="auto"/>
              </w:rPr>
              <w:t>Table of Contents</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6"/>
                <w:szCs w:val="16"/>
                <w:color w:val="auto"/>
              </w:rPr>
              <w:t>Page</w:t>
            </w:r>
          </w:p>
        </w:tc>
        <w:tc>
          <w:tcPr>
            <w:tcW w:w="0" w:type="dxa"/>
            <w:vAlign w:val="bottom"/>
          </w:tcPr>
          <w:p>
            <w:pPr>
              <w:spacing w:after="0"/>
              <w:rPr>
                <w:sz w:val="1"/>
                <w:szCs w:val="1"/>
                <w:color w:val="auto"/>
              </w:rPr>
            </w:pPr>
          </w:p>
        </w:tc>
      </w:tr>
      <w:tr>
        <w:trPr>
          <w:trHeight w:val="162"/>
        </w:trPr>
        <w:tc>
          <w:tcPr>
            <w:tcW w:w="10640" w:type="dxa"/>
            <w:vAlign w:val="bottom"/>
            <w:gridSpan w:val="35"/>
          </w:tcPr>
          <w:p>
            <w:pPr>
              <w:spacing w:after="0" w:line="142" w:lineRule="exact"/>
              <w:rPr>
                <w:sz w:val="20"/>
                <w:szCs w:val="20"/>
                <w:color w:val="auto"/>
              </w:rPr>
            </w:pPr>
            <w:r>
              <w:rPr>
                <w:rFonts w:ascii="Times New Roman" w:cs="Times New Roman" w:eastAsia="Times New Roman" w:hAnsi="Times New Roman"/>
                <w:sz w:val="16"/>
                <w:szCs w:val="16"/>
                <w:color w:val="0000FF"/>
              </w:rPr>
              <w:t>Special Note Regarding Forward Looking Statements and Risk Factors</w:t>
            </w: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9"/>
        </w:trPr>
        <w:tc>
          <w:tcPr>
            <w:tcW w:w="126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6"/>
                <w:szCs w:val="16"/>
                <w:color w:val="0000FF"/>
              </w:rPr>
              <w:t>PA RT I</w:t>
            </w:r>
          </w:p>
        </w:tc>
        <w:tc>
          <w:tcPr>
            <w:tcW w:w="5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line="20" w:lineRule="exact"/>
              <w:rPr>
                <w:sz w:val="1"/>
                <w:szCs w:val="1"/>
                <w:color w:val="auto"/>
              </w:rPr>
            </w:pPr>
          </w:p>
        </w:tc>
      </w:tr>
      <w:tr>
        <w:trPr>
          <w:trHeight w:val="210"/>
        </w:trPr>
        <w:tc>
          <w:tcPr>
            <w:tcW w:w="1260" w:type="dxa"/>
            <w:vAlign w:val="bottom"/>
            <w:gridSpan w:val="6"/>
          </w:tcPr>
          <w:p>
            <w:pPr>
              <w:ind w:left="360"/>
              <w:spacing w:after="0"/>
              <w:rPr>
                <w:sz w:val="20"/>
                <w:szCs w:val="20"/>
                <w:color w:val="auto"/>
              </w:rPr>
            </w:pPr>
            <w:r>
              <w:rPr>
                <w:rFonts w:ascii="Times New Roman" w:cs="Times New Roman" w:eastAsia="Times New Roman" w:hAnsi="Times New Roman"/>
                <w:sz w:val="16"/>
                <w:szCs w:val="16"/>
                <w:color w:val="auto"/>
              </w:rPr>
              <w:t>Item 1.</w:t>
            </w:r>
          </w:p>
        </w:tc>
        <w:tc>
          <w:tcPr>
            <w:tcW w:w="5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8"/>
              </w:rPr>
              <w:t>Business</w:t>
            </w:r>
          </w:p>
        </w:tc>
        <w:tc>
          <w:tcPr>
            <w:tcW w:w="8800" w:type="dxa"/>
            <w:vAlign w:val="bottom"/>
            <w:gridSpan w:val="28"/>
          </w:tcPr>
          <w:p>
            <w:pPr>
              <w:spacing w:after="0"/>
              <w:rPr>
                <w:sz w:val="18"/>
                <w:szCs w:val="18"/>
                <w:color w:val="auto"/>
              </w:rPr>
            </w:pPr>
          </w:p>
        </w:tc>
        <w:tc>
          <w:tcPr>
            <w:tcW w:w="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60" w:type="dxa"/>
            <w:vAlign w:val="bottom"/>
            <w:gridSpan w:val="6"/>
          </w:tcPr>
          <w:p>
            <w:pPr>
              <w:ind w:left="360"/>
              <w:spacing w:after="0"/>
              <w:rPr>
                <w:sz w:val="20"/>
                <w:szCs w:val="20"/>
                <w:color w:val="auto"/>
              </w:rPr>
            </w:pPr>
            <w:r>
              <w:rPr>
                <w:rFonts w:ascii="Times New Roman" w:cs="Times New Roman" w:eastAsia="Times New Roman" w:hAnsi="Times New Roman"/>
                <w:sz w:val="16"/>
                <w:szCs w:val="16"/>
                <w:color w:val="auto"/>
              </w:rPr>
              <w:t>Item 1A.</w:t>
            </w:r>
          </w:p>
        </w:tc>
        <w:tc>
          <w:tcPr>
            <w:tcW w:w="8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w w:val="99"/>
              </w:rPr>
              <w:t>Risk Factors</w:t>
            </w:r>
          </w:p>
        </w:tc>
        <w:tc>
          <w:tcPr>
            <w:tcW w:w="20" w:type="dxa"/>
            <w:vAlign w:val="bottom"/>
            <w:tcBorders>
              <w:bottom w:val="single" w:sz="8" w:color="0000EE"/>
            </w:tcBorders>
          </w:tcPr>
          <w:p>
            <w:pPr>
              <w:spacing w:after="0"/>
              <w:rPr>
                <w:sz w:val="18"/>
                <w:szCs w:val="18"/>
                <w:color w:val="auto"/>
              </w:rPr>
            </w:pPr>
          </w:p>
        </w:tc>
        <w:tc>
          <w:tcPr>
            <w:tcW w:w="8540" w:type="dxa"/>
            <w:vAlign w:val="bottom"/>
            <w:gridSpan w:val="22"/>
          </w:tcPr>
          <w:p>
            <w:pPr>
              <w:spacing w:after="0"/>
              <w:rPr>
                <w:sz w:val="18"/>
                <w:szCs w:val="18"/>
                <w:color w:val="auto"/>
              </w:rPr>
            </w:pPr>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9"/>
        </w:trPr>
        <w:tc>
          <w:tcPr>
            <w:tcW w:w="1260" w:type="dxa"/>
            <w:vAlign w:val="bottom"/>
            <w:gridSpan w:val="6"/>
          </w:tcPr>
          <w:p>
            <w:pPr>
              <w:ind w:left="360"/>
              <w:spacing w:after="0"/>
              <w:rPr>
                <w:sz w:val="20"/>
                <w:szCs w:val="20"/>
                <w:color w:val="auto"/>
              </w:rPr>
            </w:pPr>
            <w:r>
              <w:rPr>
                <w:rFonts w:ascii="Times New Roman" w:cs="Times New Roman" w:eastAsia="Times New Roman" w:hAnsi="Times New Roman"/>
                <w:sz w:val="16"/>
                <w:szCs w:val="16"/>
                <w:color w:val="auto"/>
              </w:rPr>
              <w:t>Item 1B.</w:t>
            </w:r>
          </w:p>
        </w:tc>
        <w:tc>
          <w:tcPr>
            <w:tcW w:w="18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6"/>
                <w:szCs w:val="16"/>
                <w:color w:val="0000FF"/>
                <w:w w:val="99"/>
              </w:rPr>
              <w:t>Unresolved Staff Comments</w:t>
            </w:r>
          </w:p>
        </w:tc>
        <w:tc>
          <w:tcPr>
            <w:tcW w:w="7540" w:type="dxa"/>
            <w:vAlign w:val="bottom"/>
            <w:gridSpan w:val="12"/>
          </w:tcPr>
          <w:p>
            <w:pPr>
              <w:spacing w:after="0"/>
              <w:rPr>
                <w:sz w:val="18"/>
                <w:szCs w:val="18"/>
                <w:color w:val="auto"/>
              </w:rPr>
            </w:pPr>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0"/>
        </w:trPr>
        <w:tc>
          <w:tcPr>
            <w:tcW w:w="1260" w:type="dxa"/>
            <w:vAlign w:val="bottom"/>
            <w:gridSpan w:val="6"/>
          </w:tcPr>
          <w:p>
            <w:pPr>
              <w:ind w:left="360"/>
              <w:spacing w:after="0"/>
              <w:rPr>
                <w:sz w:val="20"/>
                <w:szCs w:val="20"/>
                <w:color w:val="auto"/>
              </w:rPr>
            </w:pPr>
            <w:r>
              <w:rPr>
                <w:rFonts w:ascii="Times New Roman" w:cs="Times New Roman" w:eastAsia="Times New Roman" w:hAnsi="Times New Roman"/>
                <w:sz w:val="16"/>
                <w:szCs w:val="16"/>
                <w:color w:val="auto"/>
              </w:rPr>
              <w:t>Item 1C.</w:t>
            </w:r>
          </w:p>
        </w:tc>
        <w:tc>
          <w:tcPr>
            <w:tcW w:w="938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Cybersecurity Disclosures</w:t>
            </w:r>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9"/>
        </w:trPr>
        <w:tc>
          <w:tcPr>
            <w:tcW w:w="1260" w:type="dxa"/>
            <w:vAlign w:val="bottom"/>
            <w:gridSpan w:val="6"/>
          </w:tcPr>
          <w:p>
            <w:pPr>
              <w:ind w:left="360"/>
              <w:spacing w:after="0"/>
              <w:rPr>
                <w:sz w:val="20"/>
                <w:szCs w:val="20"/>
                <w:color w:val="auto"/>
              </w:rPr>
            </w:pPr>
            <w:r>
              <w:rPr>
                <w:rFonts w:ascii="Times New Roman" w:cs="Times New Roman" w:eastAsia="Times New Roman" w:hAnsi="Times New Roman"/>
                <w:sz w:val="16"/>
                <w:szCs w:val="16"/>
                <w:color w:val="auto"/>
              </w:rPr>
              <w:t>Item 2.</w:t>
            </w:r>
          </w:p>
        </w:tc>
        <w:tc>
          <w:tcPr>
            <w:tcW w:w="6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8"/>
              </w:rPr>
              <w:t>Properties</w:t>
            </w:r>
          </w:p>
        </w:tc>
        <w:tc>
          <w:tcPr>
            <w:tcW w:w="20" w:type="dxa"/>
            <w:vAlign w:val="bottom"/>
            <w:tcBorders>
              <w:top w:val="single" w:sz="8" w:color="0000FF"/>
              <w:bottom w:val="single" w:sz="8" w:color="0000EE"/>
            </w:tcBorders>
          </w:tcPr>
          <w:p>
            <w:pPr>
              <w:spacing w:after="0"/>
              <w:rPr>
                <w:sz w:val="18"/>
                <w:szCs w:val="18"/>
                <w:color w:val="auto"/>
              </w:rPr>
            </w:pPr>
          </w:p>
        </w:tc>
        <w:tc>
          <w:tcPr>
            <w:tcW w:w="1020" w:type="dxa"/>
            <w:vAlign w:val="bottom"/>
            <w:tcBorders>
              <w:top w:val="single" w:sz="8" w:color="0000FF"/>
            </w:tcBorders>
            <w:gridSpan w:val="11"/>
          </w:tcPr>
          <w:p>
            <w:pPr>
              <w:spacing w:after="0"/>
              <w:rPr>
                <w:sz w:val="18"/>
                <w:szCs w:val="18"/>
                <w:color w:val="auto"/>
              </w:rPr>
            </w:pPr>
          </w:p>
        </w:tc>
        <w:tc>
          <w:tcPr>
            <w:tcW w:w="7680" w:type="dxa"/>
            <w:vAlign w:val="bottom"/>
            <w:gridSpan w:val="13"/>
          </w:tcPr>
          <w:p>
            <w:pPr>
              <w:spacing w:after="0"/>
              <w:rPr>
                <w:sz w:val="18"/>
                <w:szCs w:val="18"/>
                <w:color w:val="auto"/>
              </w:rPr>
            </w:pPr>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0"/>
        </w:trPr>
        <w:tc>
          <w:tcPr>
            <w:tcW w:w="1260" w:type="dxa"/>
            <w:vAlign w:val="bottom"/>
            <w:gridSpan w:val="6"/>
          </w:tcPr>
          <w:p>
            <w:pPr>
              <w:ind w:left="360"/>
              <w:spacing w:after="0"/>
              <w:rPr>
                <w:sz w:val="20"/>
                <w:szCs w:val="20"/>
                <w:color w:val="auto"/>
              </w:rPr>
            </w:pPr>
            <w:r>
              <w:rPr>
                <w:rFonts w:ascii="Times New Roman" w:cs="Times New Roman" w:eastAsia="Times New Roman" w:hAnsi="Times New Roman"/>
                <w:sz w:val="16"/>
                <w:szCs w:val="16"/>
                <w:color w:val="auto"/>
              </w:rPr>
              <w:t>Item 3.</w:t>
            </w:r>
          </w:p>
        </w:tc>
        <w:tc>
          <w:tcPr>
            <w:tcW w:w="12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w w:val="99"/>
              </w:rPr>
              <w:t>Legal Proceedings</w:t>
            </w:r>
          </w:p>
        </w:tc>
        <w:tc>
          <w:tcPr>
            <w:tcW w:w="20" w:type="dxa"/>
            <w:vAlign w:val="bottom"/>
            <w:tcBorders>
              <w:bottom w:val="single" w:sz="8" w:color="0000EE"/>
            </w:tcBorders>
          </w:tcPr>
          <w:p>
            <w:pPr>
              <w:spacing w:after="0"/>
              <w:rPr>
                <w:sz w:val="18"/>
                <w:szCs w:val="18"/>
                <w:color w:val="auto"/>
              </w:rPr>
            </w:pPr>
          </w:p>
        </w:tc>
        <w:tc>
          <w:tcPr>
            <w:tcW w:w="8160" w:type="dxa"/>
            <w:vAlign w:val="bottom"/>
            <w:gridSpan w:val="19"/>
          </w:tcPr>
          <w:p>
            <w:pPr>
              <w:spacing w:after="0"/>
              <w:rPr>
                <w:sz w:val="18"/>
                <w:szCs w:val="18"/>
                <w:color w:val="auto"/>
              </w:rPr>
            </w:pPr>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9"/>
        </w:trPr>
        <w:tc>
          <w:tcPr>
            <w:tcW w:w="1260" w:type="dxa"/>
            <w:vAlign w:val="bottom"/>
            <w:gridSpan w:val="6"/>
          </w:tcPr>
          <w:p>
            <w:pPr>
              <w:ind w:left="360"/>
              <w:spacing w:after="0"/>
              <w:rPr>
                <w:sz w:val="20"/>
                <w:szCs w:val="20"/>
                <w:color w:val="auto"/>
              </w:rPr>
            </w:pPr>
            <w:r>
              <w:rPr>
                <w:rFonts w:ascii="Times New Roman" w:cs="Times New Roman" w:eastAsia="Times New Roman" w:hAnsi="Times New Roman"/>
                <w:sz w:val="16"/>
                <w:szCs w:val="16"/>
                <w:color w:val="auto"/>
              </w:rPr>
              <w:t>Item 4.</w:t>
            </w:r>
          </w:p>
        </w:tc>
        <w:tc>
          <w:tcPr>
            <w:tcW w:w="938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Mine Safety Disclosures</w:t>
            </w:r>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439"/>
        </w:trPr>
        <w:tc>
          <w:tcPr>
            <w:tcW w:w="5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89"/>
              </w:rPr>
              <w:t>PART II</w:t>
            </w:r>
          </w:p>
        </w:tc>
        <w:tc>
          <w:tcPr>
            <w:tcW w:w="20" w:type="dxa"/>
            <w:vAlign w:val="bottom"/>
            <w:tcBorders>
              <w:bottom w:val="single" w:sz="8" w:color="0000EE"/>
            </w:tcBorders>
          </w:tcPr>
          <w:p>
            <w:pPr>
              <w:spacing w:after="0"/>
              <w:rPr>
                <w:sz w:val="24"/>
                <w:szCs w:val="24"/>
                <w:color w:val="auto"/>
              </w:rPr>
            </w:pPr>
          </w:p>
        </w:tc>
        <w:tc>
          <w:tcPr>
            <w:tcW w:w="700" w:type="dxa"/>
            <w:vAlign w:val="bottom"/>
            <w:gridSpan w:val="4"/>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260" w:type="dxa"/>
            <w:vAlign w:val="bottom"/>
            <w:gridSpan w:val="6"/>
          </w:tcPr>
          <w:p>
            <w:pPr>
              <w:ind w:left="360"/>
              <w:spacing w:after="0"/>
              <w:rPr>
                <w:sz w:val="20"/>
                <w:szCs w:val="20"/>
                <w:color w:val="auto"/>
              </w:rPr>
            </w:pPr>
            <w:r>
              <w:rPr>
                <w:rFonts w:ascii="Times New Roman" w:cs="Times New Roman" w:eastAsia="Times New Roman" w:hAnsi="Times New Roman"/>
                <w:sz w:val="16"/>
                <w:szCs w:val="16"/>
                <w:color w:val="auto"/>
              </w:rPr>
              <w:t>Item 5.</w:t>
            </w:r>
          </w:p>
        </w:tc>
        <w:tc>
          <w:tcPr>
            <w:tcW w:w="730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16"/>
                <w:szCs w:val="16"/>
                <w:color w:val="0000FF"/>
              </w:rPr>
              <w:t>Market for Registrant’s Common Equity, Related Stockholder Matters and Issuer Purchases of Equity Securities</w:t>
            </w:r>
          </w:p>
        </w:tc>
        <w:tc>
          <w:tcPr>
            <w:tcW w:w="2080" w:type="dxa"/>
            <w:vAlign w:val="bottom"/>
          </w:tcPr>
          <w:p>
            <w:pPr>
              <w:spacing w:after="0"/>
              <w:rPr>
                <w:sz w:val="18"/>
                <w:szCs w:val="18"/>
                <w:color w:val="auto"/>
              </w:rPr>
            </w:pPr>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9"/>
        </w:trPr>
        <w:tc>
          <w:tcPr>
            <w:tcW w:w="1260" w:type="dxa"/>
            <w:vAlign w:val="bottom"/>
            <w:gridSpan w:val="6"/>
          </w:tcPr>
          <w:p>
            <w:pPr>
              <w:ind w:left="360"/>
              <w:spacing w:after="0"/>
              <w:rPr>
                <w:sz w:val="20"/>
                <w:szCs w:val="20"/>
                <w:color w:val="auto"/>
              </w:rPr>
            </w:pPr>
            <w:r>
              <w:rPr>
                <w:rFonts w:ascii="Times New Roman" w:cs="Times New Roman" w:eastAsia="Times New Roman" w:hAnsi="Times New Roman"/>
                <w:sz w:val="16"/>
                <w:szCs w:val="16"/>
                <w:color w:val="auto"/>
              </w:rPr>
              <w:t>Item 6.</w:t>
            </w:r>
          </w:p>
        </w:tc>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w w:val="97"/>
              </w:rPr>
              <w:t>Reserved</w:t>
            </w:r>
          </w:p>
        </w:tc>
        <w:tc>
          <w:tcPr>
            <w:tcW w:w="20" w:type="dxa"/>
            <w:vAlign w:val="bottom"/>
            <w:tcBorders>
              <w:bottom w:val="single" w:sz="8" w:color="0000EE"/>
            </w:tcBorders>
          </w:tcPr>
          <w:p>
            <w:pPr>
              <w:spacing w:after="0"/>
              <w:rPr>
                <w:sz w:val="18"/>
                <w:szCs w:val="18"/>
                <w:color w:val="auto"/>
              </w:rPr>
            </w:pPr>
          </w:p>
        </w:tc>
        <w:tc>
          <w:tcPr>
            <w:tcW w:w="8760" w:type="dxa"/>
            <w:vAlign w:val="bottom"/>
            <w:gridSpan w:val="26"/>
          </w:tcPr>
          <w:p>
            <w:pPr>
              <w:spacing w:after="0"/>
              <w:rPr>
                <w:sz w:val="18"/>
                <w:szCs w:val="18"/>
                <w:color w:val="auto"/>
              </w:rPr>
            </w:pPr>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0"/>
        </w:trPr>
        <w:tc>
          <w:tcPr>
            <w:tcW w:w="1260" w:type="dxa"/>
            <w:vAlign w:val="bottom"/>
            <w:gridSpan w:val="6"/>
          </w:tcPr>
          <w:p>
            <w:pPr>
              <w:ind w:left="360"/>
              <w:spacing w:after="0"/>
              <w:rPr>
                <w:sz w:val="20"/>
                <w:szCs w:val="20"/>
                <w:color w:val="auto"/>
              </w:rPr>
            </w:pPr>
            <w:r>
              <w:rPr>
                <w:rFonts w:ascii="Times New Roman" w:cs="Times New Roman" w:eastAsia="Times New Roman" w:hAnsi="Times New Roman"/>
                <w:sz w:val="16"/>
                <w:szCs w:val="16"/>
                <w:color w:val="auto"/>
              </w:rPr>
              <w:t>Item 7.</w:t>
            </w:r>
          </w:p>
        </w:tc>
        <w:tc>
          <w:tcPr>
            <w:tcW w:w="586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3520" w:type="dxa"/>
            <w:vAlign w:val="bottom"/>
            <w:gridSpan w:val="3"/>
          </w:tcPr>
          <w:p>
            <w:pPr>
              <w:spacing w:after="0"/>
              <w:rPr>
                <w:sz w:val="18"/>
                <w:szCs w:val="18"/>
                <w:color w:val="auto"/>
              </w:rPr>
            </w:pPr>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9"/>
        </w:trPr>
        <w:tc>
          <w:tcPr>
            <w:tcW w:w="1260" w:type="dxa"/>
            <w:vAlign w:val="bottom"/>
            <w:gridSpan w:val="6"/>
          </w:tcPr>
          <w:p>
            <w:pPr>
              <w:ind w:left="360"/>
              <w:spacing w:after="0"/>
              <w:rPr>
                <w:sz w:val="20"/>
                <w:szCs w:val="20"/>
                <w:color w:val="auto"/>
              </w:rPr>
            </w:pPr>
            <w:r>
              <w:rPr>
                <w:rFonts w:ascii="Times New Roman" w:cs="Times New Roman" w:eastAsia="Times New Roman" w:hAnsi="Times New Roman"/>
                <w:sz w:val="16"/>
                <w:szCs w:val="16"/>
                <w:color w:val="auto"/>
              </w:rPr>
              <w:t>Item 7A.</w:t>
            </w:r>
          </w:p>
        </w:tc>
        <w:tc>
          <w:tcPr>
            <w:tcW w:w="938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0"/>
        </w:trPr>
        <w:tc>
          <w:tcPr>
            <w:tcW w:w="1260" w:type="dxa"/>
            <w:vAlign w:val="bottom"/>
            <w:gridSpan w:val="6"/>
          </w:tcPr>
          <w:p>
            <w:pPr>
              <w:ind w:left="360"/>
              <w:spacing w:after="0"/>
              <w:rPr>
                <w:sz w:val="20"/>
                <w:szCs w:val="20"/>
                <w:color w:val="auto"/>
              </w:rPr>
            </w:pPr>
            <w:r>
              <w:rPr>
                <w:rFonts w:ascii="Times New Roman" w:cs="Times New Roman" w:eastAsia="Times New Roman" w:hAnsi="Times New Roman"/>
                <w:sz w:val="16"/>
                <w:szCs w:val="16"/>
                <w:color w:val="auto"/>
              </w:rPr>
              <w:t>Item 8.</w:t>
            </w:r>
          </w:p>
        </w:tc>
        <w:tc>
          <w:tcPr>
            <w:tcW w:w="3040" w:type="dxa"/>
            <w:vAlign w:val="bottom"/>
            <w:tcBorders>
              <w:top w:val="single" w:sz="8" w:color="0000FF"/>
              <w:bottom w:val="single" w:sz="8" w:color="0000EE"/>
            </w:tcBorders>
            <w:gridSpan w:val="20"/>
          </w:tcPr>
          <w:p>
            <w:pPr>
              <w:spacing w:after="0"/>
              <w:rPr>
                <w:sz w:val="20"/>
                <w:szCs w:val="20"/>
                <w:color w:val="auto"/>
              </w:rPr>
            </w:pPr>
            <w:r>
              <w:rPr>
                <w:rFonts w:ascii="Times New Roman" w:cs="Times New Roman" w:eastAsia="Times New Roman" w:hAnsi="Times New Roman"/>
                <w:sz w:val="16"/>
                <w:szCs w:val="16"/>
                <w:color w:val="0000FF"/>
              </w:rPr>
              <w:t>Financial Statements and Supplementary Data</w:t>
            </w:r>
          </w:p>
        </w:tc>
        <w:tc>
          <w:tcPr>
            <w:tcW w:w="880" w:type="dxa"/>
            <w:vAlign w:val="bottom"/>
            <w:tcBorders>
              <w:top w:val="single" w:sz="8" w:color="0000FF"/>
            </w:tcBorders>
            <w:gridSpan w:val="3"/>
          </w:tcPr>
          <w:p>
            <w:pPr>
              <w:spacing w:after="0"/>
              <w:rPr>
                <w:sz w:val="18"/>
                <w:szCs w:val="18"/>
                <w:color w:val="auto"/>
              </w:rPr>
            </w:pPr>
          </w:p>
        </w:tc>
        <w:tc>
          <w:tcPr>
            <w:tcW w:w="5460" w:type="dxa"/>
            <w:vAlign w:val="bottom"/>
            <w:gridSpan w:val="6"/>
          </w:tcPr>
          <w:p>
            <w:pPr>
              <w:spacing w:after="0"/>
              <w:rPr>
                <w:sz w:val="18"/>
                <w:szCs w:val="18"/>
                <w:color w:val="auto"/>
              </w:rPr>
            </w:pPr>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9"/>
        </w:trPr>
        <w:tc>
          <w:tcPr>
            <w:tcW w:w="1260" w:type="dxa"/>
            <w:vAlign w:val="bottom"/>
            <w:gridSpan w:val="6"/>
          </w:tcPr>
          <w:p>
            <w:pPr>
              <w:ind w:left="360"/>
              <w:spacing w:after="0"/>
              <w:rPr>
                <w:sz w:val="20"/>
                <w:szCs w:val="20"/>
                <w:color w:val="auto"/>
              </w:rPr>
            </w:pPr>
            <w:r>
              <w:rPr>
                <w:rFonts w:ascii="Times New Roman" w:cs="Times New Roman" w:eastAsia="Times New Roman" w:hAnsi="Times New Roman"/>
                <w:sz w:val="16"/>
                <w:szCs w:val="16"/>
                <w:color w:val="auto"/>
              </w:rPr>
              <w:t>Item 9.</w:t>
            </w:r>
          </w:p>
        </w:tc>
        <w:tc>
          <w:tcPr>
            <w:tcW w:w="586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6"/>
                <w:szCs w:val="16"/>
                <w:color w:val="0000FF"/>
              </w:rPr>
              <w:t>Changes in and Disagreements with Accountants on Accounting and Financial Disclosure</w:t>
            </w:r>
          </w:p>
        </w:tc>
        <w:tc>
          <w:tcPr>
            <w:tcW w:w="3520" w:type="dxa"/>
            <w:vAlign w:val="bottom"/>
            <w:gridSpan w:val="3"/>
          </w:tcPr>
          <w:p>
            <w:pPr>
              <w:spacing w:after="0"/>
              <w:rPr>
                <w:sz w:val="18"/>
                <w:szCs w:val="18"/>
                <w:color w:val="auto"/>
              </w:rPr>
            </w:pPr>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9"/>
        </w:trPr>
        <w:tc>
          <w:tcPr>
            <w:tcW w:w="1260" w:type="dxa"/>
            <w:vAlign w:val="bottom"/>
            <w:gridSpan w:val="6"/>
          </w:tcPr>
          <w:p>
            <w:pPr>
              <w:ind w:left="360"/>
              <w:spacing w:after="0"/>
              <w:rPr>
                <w:sz w:val="20"/>
                <w:szCs w:val="20"/>
                <w:color w:val="auto"/>
              </w:rPr>
            </w:pPr>
            <w:r>
              <w:rPr>
                <w:rFonts w:ascii="Times New Roman" w:cs="Times New Roman" w:eastAsia="Times New Roman" w:hAnsi="Times New Roman"/>
                <w:sz w:val="16"/>
                <w:szCs w:val="16"/>
                <w:color w:val="auto"/>
              </w:rPr>
              <w:t>Item 9A.</w:t>
            </w:r>
          </w:p>
        </w:tc>
        <w:tc>
          <w:tcPr>
            <w:tcW w:w="938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0"/>
        </w:trPr>
        <w:tc>
          <w:tcPr>
            <w:tcW w:w="1260" w:type="dxa"/>
            <w:vAlign w:val="bottom"/>
            <w:gridSpan w:val="6"/>
          </w:tcPr>
          <w:p>
            <w:pPr>
              <w:ind w:left="360"/>
              <w:spacing w:after="0"/>
              <w:rPr>
                <w:sz w:val="20"/>
                <w:szCs w:val="20"/>
                <w:color w:val="auto"/>
              </w:rPr>
            </w:pPr>
            <w:r>
              <w:rPr>
                <w:rFonts w:ascii="Times New Roman" w:cs="Times New Roman" w:eastAsia="Times New Roman" w:hAnsi="Times New Roman"/>
                <w:sz w:val="16"/>
                <w:szCs w:val="16"/>
                <w:color w:val="auto"/>
              </w:rPr>
              <w:t>Item 9B.</w:t>
            </w:r>
          </w:p>
        </w:tc>
        <w:tc>
          <w:tcPr>
            <w:tcW w:w="158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60" w:type="dxa"/>
            <w:vAlign w:val="bottom"/>
            <w:tcBorders>
              <w:top w:val="single" w:sz="8" w:color="0000EE"/>
            </w:tcBorders>
          </w:tcPr>
          <w:p>
            <w:pPr>
              <w:spacing w:after="0"/>
              <w:rPr>
                <w:sz w:val="18"/>
                <w:szCs w:val="18"/>
                <w:color w:val="auto"/>
              </w:rPr>
            </w:pPr>
          </w:p>
        </w:tc>
        <w:tc>
          <w:tcPr>
            <w:tcW w:w="7740" w:type="dxa"/>
            <w:vAlign w:val="bottom"/>
            <w:gridSpan w:val="15"/>
          </w:tcPr>
          <w:p>
            <w:pPr>
              <w:spacing w:after="0"/>
              <w:rPr>
                <w:sz w:val="18"/>
                <w:szCs w:val="18"/>
                <w:color w:val="auto"/>
              </w:rPr>
            </w:pPr>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0"/>
        </w:trPr>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gridSpan w:val="8"/>
            <w:shd w:val="clear" w:color="auto" w:fill="0000FF"/>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line="20" w:lineRule="exact"/>
              <w:rPr>
                <w:sz w:val="1"/>
                <w:szCs w:val="1"/>
                <w:color w:val="auto"/>
              </w:rPr>
            </w:pPr>
          </w:p>
        </w:tc>
      </w:tr>
      <w:tr>
        <w:trPr>
          <w:trHeight w:val="209"/>
        </w:trPr>
        <w:tc>
          <w:tcPr>
            <w:tcW w:w="1260" w:type="dxa"/>
            <w:vAlign w:val="bottom"/>
            <w:gridSpan w:val="6"/>
          </w:tcPr>
          <w:p>
            <w:pPr>
              <w:ind w:left="360"/>
              <w:spacing w:after="0"/>
              <w:rPr>
                <w:sz w:val="20"/>
                <w:szCs w:val="20"/>
                <w:color w:val="auto"/>
              </w:rPr>
            </w:pPr>
            <w:r>
              <w:rPr>
                <w:rFonts w:ascii="Times New Roman" w:cs="Times New Roman" w:eastAsia="Times New Roman" w:hAnsi="Times New Roman"/>
                <w:sz w:val="16"/>
                <w:szCs w:val="16"/>
                <w:color w:val="auto"/>
              </w:rPr>
              <w:t>Item 9C.</w:t>
            </w:r>
          </w:p>
        </w:tc>
        <w:tc>
          <w:tcPr>
            <w:tcW w:w="938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Disclosures Regarding Foreign Jurisdictions that Prevent Inspection Item 9C.</w:t>
            </w:r>
          </w:p>
        </w:tc>
        <w:tc>
          <w:tcPr>
            <w:tcW w:w="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5"/>
              </w:rPr>
              <w:t>PART III</w:t>
            </w:r>
          </w:p>
        </w:tc>
        <w:tc>
          <w:tcPr>
            <w:tcW w:w="20" w:type="dxa"/>
            <w:vAlign w:val="bottom"/>
            <w:tcBorders>
              <w:bottom w:val="single" w:sz="8" w:color="0000EE"/>
            </w:tcBorders>
          </w:tcPr>
          <w:p>
            <w:pPr>
              <w:spacing w:after="0"/>
              <w:rPr>
                <w:sz w:val="24"/>
                <w:szCs w:val="24"/>
                <w:color w:val="auto"/>
              </w:rPr>
            </w:pPr>
          </w:p>
        </w:tc>
        <w:tc>
          <w:tcPr>
            <w:tcW w:w="640" w:type="dxa"/>
            <w:vAlign w:val="bottom"/>
            <w:gridSpan w:val="2"/>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260" w:type="dxa"/>
            <w:vAlign w:val="bottom"/>
            <w:gridSpan w:val="6"/>
          </w:tcPr>
          <w:p>
            <w:pPr>
              <w:ind w:left="360"/>
              <w:spacing w:after="0"/>
              <w:rPr>
                <w:sz w:val="20"/>
                <w:szCs w:val="20"/>
                <w:color w:val="auto"/>
              </w:rPr>
            </w:pPr>
            <w:r>
              <w:rPr>
                <w:rFonts w:ascii="Times New Roman" w:cs="Times New Roman" w:eastAsia="Times New Roman" w:hAnsi="Times New Roman"/>
                <w:sz w:val="16"/>
                <w:szCs w:val="16"/>
                <w:color w:val="auto"/>
              </w:rPr>
              <w:t>Item 10.</w:t>
            </w:r>
          </w:p>
        </w:tc>
        <w:tc>
          <w:tcPr>
            <w:tcW w:w="372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6"/>
                <w:szCs w:val="16"/>
                <w:color w:val="0000FF"/>
              </w:rPr>
              <w:t>Directors, Executive Officers and Corporate Governance</w:t>
            </w:r>
          </w:p>
        </w:tc>
        <w:tc>
          <w:tcPr>
            <w:tcW w:w="5660" w:type="dxa"/>
            <w:vAlign w:val="bottom"/>
            <w:gridSpan w:val="7"/>
          </w:tcPr>
          <w:p>
            <w:pPr>
              <w:spacing w:after="0"/>
              <w:rPr>
                <w:sz w:val="18"/>
                <w:szCs w:val="18"/>
                <w:color w:val="auto"/>
              </w:rPr>
            </w:pPr>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0"/>
        </w:trPr>
        <w:tc>
          <w:tcPr>
            <w:tcW w:w="1260" w:type="dxa"/>
            <w:vAlign w:val="bottom"/>
            <w:gridSpan w:val="6"/>
          </w:tcPr>
          <w:p>
            <w:pPr>
              <w:ind w:left="360"/>
              <w:spacing w:after="0"/>
              <w:rPr>
                <w:sz w:val="20"/>
                <w:szCs w:val="20"/>
                <w:color w:val="auto"/>
              </w:rPr>
            </w:pPr>
            <w:r>
              <w:rPr>
                <w:rFonts w:ascii="Times New Roman" w:cs="Times New Roman" w:eastAsia="Times New Roman" w:hAnsi="Times New Roman"/>
                <w:sz w:val="16"/>
                <w:szCs w:val="16"/>
                <w:color w:val="auto"/>
              </w:rPr>
              <w:t>Item 11.</w:t>
            </w:r>
          </w:p>
        </w:tc>
        <w:tc>
          <w:tcPr>
            <w:tcW w:w="16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6"/>
                <w:szCs w:val="16"/>
                <w:color w:val="0000FF"/>
              </w:rPr>
              <w:t>Executive Compensation</w:t>
            </w:r>
          </w:p>
        </w:tc>
        <w:tc>
          <w:tcPr>
            <w:tcW w:w="7720" w:type="dxa"/>
            <w:vAlign w:val="bottom"/>
            <w:gridSpan w:val="14"/>
          </w:tcPr>
          <w:p>
            <w:pPr>
              <w:spacing w:after="0"/>
              <w:rPr>
                <w:sz w:val="18"/>
                <w:szCs w:val="18"/>
                <w:color w:val="auto"/>
              </w:rPr>
            </w:pPr>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0"/>
        </w:trPr>
        <w:tc>
          <w:tcPr>
            <w:tcW w:w="1260" w:type="dxa"/>
            <w:vAlign w:val="bottom"/>
            <w:gridSpan w:val="6"/>
          </w:tcPr>
          <w:p>
            <w:pPr>
              <w:ind w:left="360"/>
              <w:spacing w:after="0"/>
              <w:rPr>
                <w:sz w:val="20"/>
                <w:szCs w:val="20"/>
                <w:color w:val="auto"/>
              </w:rPr>
            </w:pPr>
            <w:r>
              <w:rPr>
                <w:rFonts w:ascii="Times New Roman" w:cs="Times New Roman" w:eastAsia="Times New Roman" w:hAnsi="Times New Roman"/>
                <w:sz w:val="16"/>
                <w:szCs w:val="16"/>
                <w:color w:val="auto"/>
              </w:rPr>
              <w:t>Item 12.</w:t>
            </w:r>
          </w:p>
        </w:tc>
        <w:tc>
          <w:tcPr>
            <w:tcW w:w="660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6"/>
                <w:szCs w:val="16"/>
                <w:color w:val="0000FF"/>
              </w:rPr>
              <w:t>Security Ownership of Certain Beneficial Owners and Management and Related Stockholder Matters</w:t>
            </w:r>
          </w:p>
        </w:tc>
        <w:tc>
          <w:tcPr>
            <w:tcW w:w="2780" w:type="dxa"/>
            <w:vAlign w:val="bottom"/>
            <w:gridSpan w:val="2"/>
          </w:tcPr>
          <w:p>
            <w:pPr>
              <w:spacing w:after="0"/>
              <w:rPr>
                <w:sz w:val="18"/>
                <w:szCs w:val="18"/>
                <w:color w:val="auto"/>
              </w:rPr>
            </w:pPr>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0"/>
        </w:trPr>
        <w:tc>
          <w:tcPr>
            <w:tcW w:w="1260" w:type="dxa"/>
            <w:vAlign w:val="bottom"/>
            <w:gridSpan w:val="6"/>
          </w:tcPr>
          <w:p>
            <w:pPr>
              <w:ind w:left="360"/>
              <w:spacing w:after="0"/>
              <w:rPr>
                <w:sz w:val="20"/>
                <w:szCs w:val="20"/>
                <w:color w:val="auto"/>
              </w:rPr>
            </w:pPr>
            <w:r>
              <w:rPr>
                <w:rFonts w:ascii="Times New Roman" w:cs="Times New Roman" w:eastAsia="Times New Roman" w:hAnsi="Times New Roman"/>
                <w:sz w:val="16"/>
                <w:szCs w:val="16"/>
                <w:color w:val="auto"/>
              </w:rPr>
              <w:t>Item 13.</w:t>
            </w:r>
          </w:p>
        </w:tc>
        <w:tc>
          <w:tcPr>
            <w:tcW w:w="494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6"/>
                <w:szCs w:val="16"/>
                <w:color w:val="0000FF"/>
              </w:rPr>
              <w:t>Certain Relationships and Related Transactions, and Director Independence</w:t>
            </w:r>
          </w:p>
        </w:tc>
        <w:tc>
          <w:tcPr>
            <w:tcW w:w="4440" w:type="dxa"/>
            <w:vAlign w:val="bottom"/>
            <w:gridSpan w:val="5"/>
          </w:tcPr>
          <w:p>
            <w:pPr>
              <w:spacing w:after="0"/>
              <w:rPr>
                <w:sz w:val="18"/>
                <w:szCs w:val="18"/>
                <w:color w:val="auto"/>
              </w:rPr>
            </w:pPr>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9"/>
        </w:trPr>
        <w:tc>
          <w:tcPr>
            <w:tcW w:w="1260" w:type="dxa"/>
            <w:vAlign w:val="bottom"/>
            <w:gridSpan w:val="6"/>
          </w:tcPr>
          <w:p>
            <w:pPr>
              <w:ind w:left="360"/>
              <w:spacing w:after="0"/>
              <w:rPr>
                <w:sz w:val="20"/>
                <w:szCs w:val="20"/>
                <w:color w:val="auto"/>
              </w:rPr>
            </w:pPr>
            <w:r>
              <w:rPr>
                <w:rFonts w:ascii="Times New Roman" w:cs="Times New Roman" w:eastAsia="Times New Roman" w:hAnsi="Times New Roman"/>
                <w:sz w:val="16"/>
                <w:szCs w:val="16"/>
                <w:color w:val="auto"/>
              </w:rPr>
              <w:t>Item 14.</w:t>
            </w:r>
          </w:p>
        </w:tc>
        <w:tc>
          <w:tcPr>
            <w:tcW w:w="938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Principal Accounting Fees and Services</w:t>
            </w:r>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439"/>
        </w:trPr>
        <w:tc>
          <w:tcPr>
            <w:tcW w:w="6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7"/>
              </w:rPr>
              <w:t>PART IV</w:t>
            </w:r>
          </w:p>
        </w:tc>
        <w:tc>
          <w:tcPr>
            <w:tcW w:w="20" w:type="dxa"/>
            <w:vAlign w:val="bottom"/>
            <w:tcBorders>
              <w:bottom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60" w:type="dxa"/>
            <w:vAlign w:val="bottom"/>
            <w:gridSpan w:val="6"/>
          </w:tcPr>
          <w:p>
            <w:pPr>
              <w:ind w:left="360"/>
              <w:spacing w:after="0"/>
              <w:rPr>
                <w:sz w:val="20"/>
                <w:szCs w:val="20"/>
                <w:color w:val="auto"/>
              </w:rPr>
            </w:pPr>
            <w:r>
              <w:rPr>
                <w:rFonts w:ascii="Times New Roman" w:cs="Times New Roman" w:eastAsia="Times New Roman" w:hAnsi="Times New Roman"/>
                <w:sz w:val="16"/>
                <w:szCs w:val="16"/>
                <w:color w:val="auto"/>
              </w:rPr>
              <w:t>Item 15.</w:t>
            </w:r>
          </w:p>
        </w:tc>
        <w:tc>
          <w:tcPr>
            <w:tcW w:w="938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Exhibits, Financial Statement Schedules</w:t>
            </w:r>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09"/>
        </w:trPr>
        <w:tc>
          <w:tcPr>
            <w:tcW w:w="1260" w:type="dxa"/>
            <w:vAlign w:val="bottom"/>
            <w:gridSpan w:val="6"/>
          </w:tcPr>
          <w:p>
            <w:pPr>
              <w:ind w:left="360"/>
              <w:spacing w:after="0"/>
              <w:rPr>
                <w:sz w:val="20"/>
                <w:szCs w:val="20"/>
                <w:color w:val="auto"/>
              </w:rPr>
            </w:pPr>
            <w:r>
              <w:rPr>
                <w:rFonts w:ascii="Times New Roman" w:cs="Times New Roman" w:eastAsia="Times New Roman" w:hAnsi="Times New Roman"/>
                <w:sz w:val="16"/>
                <w:szCs w:val="16"/>
                <w:color w:val="auto"/>
              </w:rPr>
              <w:t>Item 16.</w:t>
            </w:r>
          </w:p>
        </w:tc>
        <w:tc>
          <w:tcPr>
            <w:tcW w:w="140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color w:val="0000FF"/>
              </w:rPr>
              <w:t>Form 10-K Summary</w:t>
            </w:r>
          </w:p>
        </w:tc>
        <w:tc>
          <w:tcPr>
            <w:tcW w:w="20" w:type="dxa"/>
            <w:vAlign w:val="bottom"/>
            <w:tcBorders>
              <w:top w:val="single" w:sz="8" w:color="0000FF"/>
              <w:bottom w:val="single" w:sz="8" w:color="0000EE"/>
            </w:tcBorders>
          </w:tcPr>
          <w:p>
            <w:pPr>
              <w:spacing w:after="0"/>
              <w:rPr>
                <w:sz w:val="18"/>
                <w:szCs w:val="18"/>
                <w:color w:val="auto"/>
              </w:rPr>
            </w:pPr>
          </w:p>
        </w:tc>
        <w:tc>
          <w:tcPr>
            <w:tcW w:w="1180" w:type="dxa"/>
            <w:vAlign w:val="bottom"/>
            <w:tcBorders>
              <w:top w:val="single" w:sz="8" w:color="0000FF"/>
            </w:tcBorders>
            <w:gridSpan w:val="7"/>
          </w:tcPr>
          <w:p>
            <w:pPr>
              <w:spacing w:after="0"/>
              <w:rPr>
                <w:sz w:val="18"/>
                <w:szCs w:val="18"/>
                <w:color w:val="auto"/>
              </w:rPr>
            </w:pPr>
          </w:p>
        </w:tc>
        <w:tc>
          <w:tcPr>
            <w:tcW w:w="6780" w:type="dxa"/>
            <w:vAlign w:val="bottom"/>
            <w:gridSpan w:val="10"/>
          </w:tcPr>
          <w:p>
            <w:pPr>
              <w:spacing w:after="0"/>
              <w:rPr>
                <w:sz w:val="18"/>
                <w:szCs w:val="18"/>
                <w:color w:val="auto"/>
              </w:rPr>
            </w:pPr>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bl>
    <w:p>
      <w:pPr>
        <w:spacing w:after="0" w:line="243" w:lineRule="exact"/>
        <w:rPr>
          <w:sz w:val="20"/>
          <w:szCs w:val="20"/>
          <w:color w:val="auto"/>
        </w:rPr>
      </w:pPr>
    </w:p>
    <w:p>
      <w:pPr>
        <w:ind w:right="20" w:firstLine="1033"/>
        <w:spacing w:after="0" w:line="265" w:lineRule="auto"/>
        <w:rPr>
          <w:sz w:val="20"/>
          <w:szCs w:val="20"/>
          <w:color w:val="auto"/>
        </w:rPr>
      </w:pPr>
      <w:r>
        <w:rPr>
          <w:rFonts w:ascii="Times New Roman" w:cs="Times New Roman" w:eastAsia="Times New Roman" w:hAnsi="Times New Roman"/>
          <w:sz w:val="16"/>
          <w:szCs w:val="16"/>
          <w:color w:val="auto"/>
        </w:rPr>
        <w:t>In this Annual Report on Form 10-K, the terms “we,” “us,” “our,” the “Company” and “CCC” mean CCC Intelligent Solutions Holdings Inc. (formerly Dragoneer Growth Opportunities Corp.) and our subsidiaries. On July 30, 2021, Dragoneer Growth Opportunities Corp., a Cayman Islands exempted company (“Dragoneer”), consummated a business combination (the “Business Combination”) pursuant to the terms of the Business Combination Agreement, dated as of February 2, 2021 (the “Business Combination Agreement”), as amended, by and among Dragoneer and Cypress Holdings Inc., a Delaware corporation (“CCCIS”). Immediately upon the consummation of the Business Combination and the other transactions contemplated by the Business Combination Agreement (collectively, the “Transactions”, and such completion the “Closing”), CCCIS merged with and into Chariot Merger Sub, a wholly-owned direct subsidiary of Dragoneer, with CCCIS surviving the Business Combination as a wholly-owned direct subsidiary of Dragoneer (the “Merger”). In connection with the Transactions, Dragoneer changed its name to “CCC Intelligent Solutions Holdings Inc.”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6"/>
          <w:szCs w:val="16"/>
          <w:color w:val="auto"/>
        </w:rPr>
        <w:t>SPECIAL NOTE REGARDING FORWARD-LOOKING STATEMENTS AND RISK FACTORS</w:t>
      </w:r>
    </w:p>
    <w:p>
      <w:pPr>
        <w:spacing w:after="0" w:line="140" w:lineRule="exact"/>
        <w:rPr>
          <w:sz w:val="20"/>
          <w:szCs w:val="20"/>
          <w:color w:val="auto"/>
        </w:rPr>
      </w:pPr>
    </w:p>
    <w:p>
      <w:pPr>
        <w:ind w:firstLine="1033"/>
        <w:spacing w:after="0" w:line="269" w:lineRule="auto"/>
        <w:rPr>
          <w:sz w:val="20"/>
          <w:szCs w:val="20"/>
          <w:color w:val="auto"/>
        </w:rPr>
      </w:pPr>
      <w:r>
        <w:rPr>
          <w:rFonts w:ascii="Times New Roman" w:cs="Times New Roman" w:eastAsia="Times New Roman" w:hAnsi="Times New Roman"/>
          <w:sz w:val="16"/>
          <w:szCs w:val="16"/>
          <w:color w:val="auto"/>
        </w:rPr>
        <w:t>This Annual Report on Form 10-K contains “forward-looking statements” for purposes of the federal securities laws. Our forward-looking statements include, but are not limited to, statements regarding our or our management team’s expectations, hopes, beliefs, intentions or strategies regarding the future, including those relating to the future financial performance and business strategies and expectations for our business.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may include information concerning our possible or assumed future results of operations, client demand, business strategies, technology developments, financing and investment plans, competitive position, our industry and regulatory environment, potential growth opportunities and the effects of competition.</w:t>
      </w:r>
    </w:p>
    <w:p>
      <w:pPr>
        <w:spacing w:after="0" w:line="9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Important factors that could cause actual results to differ materially from our expectations include:</w:t>
      </w:r>
    </w:p>
    <w:p>
      <w:pPr>
        <w:spacing w:after="0" w:line="127" w:lineRule="exact"/>
        <w:rPr>
          <w:sz w:val="20"/>
          <w:szCs w:val="20"/>
          <w:color w:val="auto"/>
        </w:rPr>
      </w:pPr>
    </w:p>
    <w:p>
      <w:pPr>
        <w:ind w:left="1560" w:hanging="519"/>
        <w:spacing w:after="0"/>
        <w:tabs>
          <w:tab w:leader="none" w:pos="1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revenues, the concentration of our customers and the ability to retain our current customers;</w:t>
      </w:r>
    </w:p>
    <w:p>
      <w:pPr>
        <w:spacing w:after="0" w:line="126" w:lineRule="exact"/>
        <w:rPr>
          <w:rFonts w:ascii="Times New Roman" w:cs="Times New Roman" w:eastAsia="Times New Roman" w:hAnsi="Times New Roman"/>
          <w:sz w:val="16"/>
          <w:szCs w:val="16"/>
          <w:color w:val="auto"/>
        </w:rPr>
      </w:pPr>
    </w:p>
    <w:p>
      <w:pPr>
        <w:ind w:left="1560" w:hanging="519"/>
        <w:spacing w:after="0"/>
        <w:tabs>
          <w:tab w:leader="none" w:pos="1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negotiate with our customers on favorable terms;</w:t>
      </w:r>
    </w:p>
    <w:p>
      <w:pPr>
        <w:spacing w:after="0" w:line="126" w:lineRule="exact"/>
        <w:rPr>
          <w:rFonts w:ascii="Times New Roman" w:cs="Times New Roman" w:eastAsia="Times New Roman" w:hAnsi="Times New Roman"/>
          <w:sz w:val="16"/>
          <w:szCs w:val="16"/>
          <w:color w:val="auto"/>
        </w:rPr>
      </w:pPr>
    </w:p>
    <w:p>
      <w:pPr>
        <w:ind w:left="1560" w:hanging="519"/>
        <w:spacing w:after="0"/>
        <w:tabs>
          <w:tab w:leader="none" w:pos="1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maintain and grow our brand and reputation cost-effectively;</w:t>
      </w:r>
    </w:p>
    <w:p>
      <w:pPr>
        <w:spacing w:after="0" w:line="126" w:lineRule="exact"/>
        <w:rPr>
          <w:rFonts w:ascii="Times New Roman" w:cs="Times New Roman" w:eastAsia="Times New Roman" w:hAnsi="Times New Roman"/>
          <w:sz w:val="16"/>
          <w:szCs w:val="16"/>
          <w:color w:val="auto"/>
        </w:rPr>
      </w:pPr>
    </w:p>
    <w:p>
      <w:pPr>
        <w:ind w:left="1560" w:hanging="519"/>
        <w:spacing w:after="0"/>
        <w:tabs>
          <w:tab w:leader="none" w:pos="1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execution of our growth strategy;</w:t>
      </w:r>
    </w:p>
    <w:p>
      <w:pPr>
        <w:spacing w:after="0" w:line="126" w:lineRule="exact"/>
        <w:rPr>
          <w:rFonts w:ascii="Times New Roman" w:cs="Times New Roman" w:eastAsia="Times New Roman" w:hAnsi="Times New Roman"/>
          <w:sz w:val="16"/>
          <w:szCs w:val="16"/>
          <w:color w:val="auto"/>
        </w:rPr>
      </w:pPr>
    </w:p>
    <w:p>
      <w:pPr>
        <w:ind w:left="1560" w:hanging="519"/>
        <w:spacing w:after="0"/>
        <w:tabs>
          <w:tab w:leader="none" w:pos="1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public health outbreaks, epidemics or pandemics on our business and results of operations;</w:t>
      </w:r>
    </w:p>
    <w:p>
      <w:pPr>
        <w:spacing w:after="0" w:line="126" w:lineRule="exact"/>
        <w:rPr>
          <w:rFonts w:ascii="Times New Roman" w:cs="Times New Roman" w:eastAsia="Times New Roman" w:hAnsi="Times New Roman"/>
          <w:sz w:val="16"/>
          <w:szCs w:val="16"/>
          <w:color w:val="auto"/>
        </w:rPr>
      </w:pPr>
    </w:p>
    <w:p>
      <w:pPr>
        <w:ind w:left="1560" w:hanging="519"/>
        <w:spacing w:after="0"/>
        <w:tabs>
          <w:tab w:leader="none" w:pos="1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projected financial information, growth rate and market opportunity;</w:t>
      </w:r>
    </w:p>
    <w:p>
      <w:pPr>
        <w:spacing w:after="0" w:line="126" w:lineRule="exact"/>
        <w:rPr>
          <w:rFonts w:ascii="Times New Roman" w:cs="Times New Roman" w:eastAsia="Times New Roman" w:hAnsi="Times New Roman"/>
          <w:sz w:val="16"/>
          <w:szCs w:val="16"/>
          <w:color w:val="auto"/>
        </w:rPr>
      </w:pPr>
    </w:p>
    <w:p>
      <w:pPr>
        <w:ind w:left="1560" w:hanging="519"/>
        <w:spacing w:after="0"/>
        <w:tabs>
          <w:tab w:leader="none" w:pos="1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health of our industry, claim volumes, and market conditions;</w:t>
      </w:r>
    </w:p>
    <w:p>
      <w:pPr>
        <w:spacing w:after="0" w:line="126" w:lineRule="exact"/>
        <w:rPr>
          <w:rFonts w:ascii="Times New Roman" w:cs="Times New Roman" w:eastAsia="Times New Roman" w:hAnsi="Times New Roman"/>
          <w:sz w:val="16"/>
          <w:szCs w:val="16"/>
          <w:color w:val="auto"/>
        </w:rPr>
      </w:pPr>
    </w:p>
    <w:p>
      <w:pPr>
        <w:ind w:left="1560" w:hanging="519"/>
        <w:spacing w:after="0"/>
        <w:tabs>
          <w:tab w:leader="none" w:pos="1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insurance and automotive collision industries, including the adoption of new technologies;</w:t>
      </w:r>
    </w:p>
    <w:p>
      <w:pPr>
        <w:spacing w:after="0" w:line="126" w:lineRule="exact"/>
        <w:rPr>
          <w:rFonts w:ascii="Times New Roman" w:cs="Times New Roman" w:eastAsia="Times New Roman" w:hAnsi="Times New Roman"/>
          <w:sz w:val="16"/>
          <w:szCs w:val="16"/>
          <w:color w:val="auto"/>
        </w:rPr>
      </w:pPr>
    </w:p>
    <w:p>
      <w:pPr>
        <w:ind w:left="1560" w:hanging="519"/>
        <w:spacing w:after="0"/>
        <w:tabs>
          <w:tab w:leader="none" w:pos="1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global economic conditions and geopolitical events;</w:t>
      </w:r>
    </w:p>
    <w:p>
      <w:pPr>
        <w:spacing w:after="0" w:line="126" w:lineRule="exact"/>
        <w:rPr>
          <w:rFonts w:ascii="Times New Roman" w:cs="Times New Roman" w:eastAsia="Times New Roman" w:hAnsi="Times New Roman"/>
          <w:sz w:val="16"/>
          <w:szCs w:val="16"/>
          <w:color w:val="auto"/>
        </w:rPr>
      </w:pPr>
    </w:p>
    <w:p>
      <w:pPr>
        <w:ind w:left="1560" w:hanging="519"/>
        <w:spacing w:after="0"/>
        <w:tabs>
          <w:tab w:leader="none" w:pos="1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competition in our market and our ability to retain and grow market share;</w:t>
      </w:r>
    </w:p>
    <w:p>
      <w:pPr>
        <w:spacing w:after="0" w:line="126" w:lineRule="exact"/>
        <w:rPr>
          <w:rFonts w:ascii="Times New Roman" w:cs="Times New Roman" w:eastAsia="Times New Roman" w:hAnsi="Times New Roman"/>
          <w:sz w:val="16"/>
          <w:szCs w:val="16"/>
          <w:color w:val="auto"/>
        </w:rPr>
      </w:pPr>
    </w:p>
    <w:p>
      <w:pPr>
        <w:ind w:left="1560" w:hanging="519"/>
        <w:spacing w:after="0"/>
        <w:tabs>
          <w:tab w:leader="none" w:pos="1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develop, introduce and market new enhanced versions of our solutions;</w:t>
      </w:r>
    </w:p>
    <w:p>
      <w:pPr>
        <w:spacing w:after="0" w:line="126" w:lineRule="exact"/>
        <w:rPr>
          <w:rFonts w:ascii="Times New Roman" w:cs="Times New Roman" w:eastAsia="Times New Roman" w:hAnsi="Times New Roman"/>
          <w:sz w:val="16"/>
          <w:szCs w:val="16"/>
          <w:color w:val="auto"/>
        </w:rPr>
      </w:pPr>
    </w:p>
    <w:p>
      <w:pPr>
        <w:ind w:left="1560" w:hanging="519"/>
        <w:spacing w:after="0"/>
        <w:tabs>
          <w:tab w:leader="none" w:pos="1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sales and implementation cycles;</w:t>
      </w:r>
    </w:p>
    <w:p>
      <w:pPr>
        <w:spacing w:after="0" w:line="126" w:lineRule="exact"/>
        <w:rPr>
          <w:rFonts w:ascii="Times New Roman" w:cs="Times New Roman" w:eastAsia="Times New Roman" w:hAnsi="Times New Roman"/>
          <w:sz w:val="16"/>
          <w:szCs w:val="16"/>
          <w:color w:val="auto"/>
        </w:rPr>
      </w:pPr>
    </w:p>
    <w:p>
      <w:pPr>
        <w:ind w:left="1560" w:hanging="519"/>
        <w:spacing w:after="0"/>
        <w:tabs>
          <w:tab w:leader="none" w:pos="1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of our research and development efforts to create significant new revenue streams;</w:t>
      </w:r>
    </w:p>
    <w:p>
      <w:pPr>
        <w:spacing w:after="0" w:line="126" w:lineRule="exact"/>
        <w:rPr>
          <w:rFonts w:ascii="Times New Roman" w:cs="Times New Roman" w:eastAsia="Times New Roman" w:hAnsi="Times New Roman"/>
          <w:sz w:val="16"/>
          <w:szCs w:val="16"/>
          <w:color w:val="auto"/>
        </w:rPr>
      </w:pPr>
    </w:p>
    <w:p>
      <w:pPr>
        <w:ind w:left="1560" w:hanging="519"/>
        <w:spacing w:after="0"/>
        <w:tabs>
          <w:tab w:leader="none" w:pos="1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applicable laws or regulations;</w:t>
      </w:r>
    </w:p>
    <w:p>
      <w:pPr>
        <w:spacing w:after="0" w:line="126" w:lineRule="exact"/>
        <w:rPr>
          <w:rFonts w:ascii="Times New Roman" w:cs="Times New Roman" w:eastAsia="Times New Roman" w:hAnsi="Times New Roman"/>
          <w:sz w:val="16"/>
          <w:szCs w:val="16"/>
          <w:color w:val="auto"/>
        </w:rPr>
      </w:pPr>
    </w:p>
    <w:p>
      <w:pPr>
        <w:ind w:left="1560" w:right="600" w:hanging="519"/>
        <w:spacing w:after="0" w:line="298" w:lineRule="auto"/>
        <w:tabs>
          <w:tab w:leader="none" w:pos="1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international economic, political, social and governmental conditions and policies, including corruption risks in China and other countries;</w:t>
      </w:r>
    </w:p>
    <w:p>
      <w:pPr>
        <w:spacing w:after="0" w:line="56" w:lineRule="exact"/>
        <w:rPr>
          <w:rFonts w:ascii="Times New Roman" w:cs="Times New Roman" w:eastAsia="Times New Roman" w:hAnsi="Times New Roman"/>
          <w:sz w:val="16"/>
          <w:szCs w:val="16"/>
          <w:color w:val="auto"/>
        </w:rPr>
      </w:pPr>
    </w:p>
    <w:p>
      <w:pPr>
        <w:ind w:left="1560" w:hanging="519"/>
        <w:spacing w:after="0"/>
        <w:tabs>
          <w:tab w:leader="none" w:pos="1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reliance on third-party data, technology and intellectual property;</w:t>
      </w:r>
    </w:p>
    <w:p>
      <w:pPr>
        <w:spacing w:after="0" w:line="126" w:lineRule="exact"/>
        <w:rPr>
          <w:rFonts w:ascii="Times New Roman" w:cs="Times New Roman" w:eastAsia="Times New Roman" w:hAnsi="Times New Roman"/>
          <w:sz w:val="16"/>
          <w:szCs w:val="16"/>
          <w:color w:val="auto"/>
        </w:rPr>
      </w:pPr>
    </w:p>
    <w:p>
      <w:pPr>
        <w:ind w:left="1560" w:hanging="519"/>
        <w:spacing w:after="0"/>
        <w:tabs>
          <w:tab w:leader="none" w:pos="1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our customers' or the public's perceptions regarding the use of artificial intelligence ("AI");</w:t>
      </w:r>
    </w:p>
    <w:p>
      <w:pPr>
        <w:spacing w:after="0" w:line="126" w:lineRule="exact"/>
        <w:rPr>
          <w:rFonts w:ascii="Times New Roman" w:cs="Times New Roman" w:eastAsia="Times New Roman" w:hAnsi="Times New Roman"/>
          <w:sz w:val="16"/>
          <w:szCs w:val="16"/>
          <w:color w:val="auto"/>
        </w:rPr>
      </w:pPr>
    </w:p>
    <w:p>
      <w:pPr>
        <w:ind w:left="1560" w:hanging="519"/>
        <w:spacing w:after="0"/>
        <w:tabs>
          <w:tab w:leader="none" w:pos="1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protect our intellectual property;</w:t>
      </w:r>
    </w:p>
    <w:p>
      <w:pPr>
        <w:spacing w:after="0" w:line="126" w:lineRule="exact"/>
        <w:rPr>
          <w:rFonts w:ascii="Times New Roman" w:cs="Times New Roman" w:eastAsia="Times New Roman" w:hAnsi="Times New Roman"/>
          <w:sz w:val="16"/>
          <w:szCs w:val="16"/>
          <w:color w:val="auto"/>
        </w:rPr>
      </w:pPr>
    </w:p>
    <w:p>
      <w:pPr>
        <w:ind w:left="1560" w:hanging="519"/>
        <w:spacing w:after="0"/>
        <w:tabs>
          <w:tab w:leader="none" w:pos="1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keep our data and information systems secure from data security breaches;</w:t>
      </w:r>
    </w:p>
    <w:p>
      <w:pPr>
        <w:spacing w:after="0" w:line="126" w:lineRule="exact"/>
        <w:rPr>
          <w:rFonts w:ascii="Times New Roman" w:cs="Times New Roman" w:eastAsia="Times New Roman" w:hAnsi="Times New Roman"/>
          <w:sz w:val="16"/>
          <w:szCs w:val="16"/>
          <w:color w:val="auto"/>
        </w:rPr>
      </w:pPr>
    </w:p>
    <w:p>
      <w:pPr>
        <w:ind w:left="1560" w:hanging="519"/>
        <w:spacing w:after="0"/>
        <w:tabs>
          <w:tab w:leader="none" w:pos="1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acquire or invest in companies or pursue business partnerships;</w:t>
      </w:r>
    </w:p>
    <w:p>
      <w:pPr>
        <w:spacing w:after="0" w:line="126" w:lineRule="exact"/>
        <w:rPr>
          <w:rFonts w:ascii="Times New Roman" w:cs="Times New Roman" w:eastAsia="Times New Roman" w:hAnsi="Times New Roman"/>
          <w:sz w:val="16"/>
          <w:szCs w:val="16"/>
          <w:color w:val="auto"/>
        </w:rPr>
      </w:pPr>
    </w:p>
    <w:p>
      <w:pPr>
        <w:ind w:left="1560" w:hanging="519"/>
        <w:spacing w:after="0"/>
        <w:tabs>
          <w:tab w:leader="none" w:pos="1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raise financing in the future and improve our capital structure;</w:t>
      </w:r>
    </w:p>
    <w:p>
      <w:pPr>
        <w:spacing w:after="0" w:line="126" w:lineRule="exact"/>
        <w:rPr>
          <w:rFonts w:ascii="Times New Roman" w:cs="Times New Roman" w:eastAsia="Times New Roman" w:hAnsi="Times New Roman"/>
          <w:sz w:val="16"/>
          <w:szCs w:val="16"/>
          <w:color w:val="auto"/>
        </w:rPr>
      </w:pPr>
    </w:p>
    <w:p>
      <w:pPr>
        <w:ind w:left="1560" w:hanging="519"/>
        <w:spacing w:after="0"/>
        <w:tabs>
          <w:tab w:leader="none" w:pos="1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success in retaining or recruiting, or changes required in, our officers, key employees or directors;</w:t>
      </w:r>
    </w:p>
    <w:p>
      <w:pPr>
        <w:spacing w:after="0" w:line="126" w:lineRule="exact"/>
        <w:rPr>
          <w:rFonts w:ascii="Times New Roman" w:cs="Times New Roman" w:eastAsia="Times New Roman" w:hAnsi="Times New Roman"/>
          <w:sz w:val="16"/>
          <w:szCs w:val="16"/>
          <w:color w:val="auto"/>
        </w:rPr>
      </w:pPr>
    </w:p>
    <w:p>
      <w:pPr>
        <w:ind w:left="1560" w:hanging="519"/>
        <w:spacing w:after="0"/>
        <w:tabs>
          <w:tab w:leader="none" w:pos="1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estimates regarding expenses, future revenue, capital requirements and needs for additional financing;</w:t>
      </w:r>
    </w:p>
    <w:p>
      <w:pPr>
        <w:spacing w:after="0" w:line="126" w:lineRule="exact"/>
        <w:rPr>
          <w:rFonts w:ascii="Times New Roman" w:cs="Times New Roman" w:eastAsia="Times New Roman" w:hAnsi="Times New Roman"/>
          <w:sz w:val="16"/>
          <w:szCs w:val="16"/>
          <w:color w:val="auto"/>
        </w:rPr>
      </w:pPr>
    </w:p>
    <w:p>
      <w:pPr>
        <w:ind w:left="1560" w:hanging="519"/>
        <w:spacing w:after="0"/>
        <w:tabs>
          <w:tab w:leader="none" w:pos="1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expand or maintain our existing customer base; and</w:t>
      </w:r>
    </w:p>
    <w:p>
      <w:pPr>
        <w:spacing w:after="0" w:line="126" w:lineRule="exact"/>
        <w:rPr>
          <w:rFonts w:ascii="Times New Roman" w:cs="Times New Roman" w:eastAsia="Times New Roman" w:hAnsi="Times New Roman"/>
          <w:sz w:val="16"/>
          <w:szCs w:val="16"/>
          <w:color w:val="auto"/>
        </w:rPr>
      </w:pPr>
    </w:p>
    <w:p>
      <w:pPr>
        <w:ind w:left="1560" w:hanging="519"/>
        <w:spacing w:after="0"/>
        <w:tabs>
          <w:tab w:leader="none" w:pos="1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service our indebtedness.</w:t>
      </w:r>
    </w:p>
    <w:p>
      <w:pPr>
        <w:spacing w:after="0" w:line="140" w:lineRule="exact"/>
        <w:rPr>
          <w:sz w:val="20"/>
          <w:szCs w:val="20"/>
          <w:color w:val="auto"/>
        </w:rPr>
      </w:pPr>
    </w:p>
    <w:p>
      <w:pPr>
        <w:ind w:right="60" w:firstLine="1033"/>
        <w:spacing w:after="0" w:line="265" w:lineRule="auto"/>
        <w:rPr>
          <w:sz w:val="20"/>
          <w:szCs w:val="20"/>
          <w:color w:val="auto"/>
        </w:rPr>
      </w:pPr>
      <w:r>
        <w:rPr>
          <w:rFonts w:ascii="Times New Roman" w:cs="Times New Roman" w:eastAsia="Times New Roman" w:hAnsi="Times New Roman"/>
          <w:sz w:val="16"/>
          <w:szCs w:val="16"/>
          <w:color w:val="auto"/>
        </w:rPr>
        <w:t>The forward-looking statements contained in this Annual Report on Form 10-K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above and under the heading "Risk Factors". Should one or more of these risks or uncertainties materialize, or should any of our assumptions prove incorrect, actual results may vary in material respects from those projected in these forward-looking statements. There may be additional risks that we consider immaterial or which are unknown. It is not possible to predict or identify all such risks. We do not undertake any obligation to update or revise any forward-looking statements, whether as a result of new information, future events or otherwise.</w:t>
      </w:r>
    </w:p>
    <w:p>
      <w:pPr>
        <w:spacing w:after="0" w:line="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90" w:right="39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Business.</w:t>
      </w:r>
    </w:p>
    <w:p>
      <w:pPr>
        <w:spacing w:after="0" w:line="129" w:lineRule="exact"/>
        <w:rPr>
          <w:sz w:val="20"/>
          <w:szCs w:val="20"/>
          <w:color w:val="auto"/>
        </w:rPr>
      </w:pPr>
    </w:p>
    <w:p>
      <w:pPr>
        <w:ind w:right="60" w:firstLine="1033"/>
        <w:spacing w:after="0" w:line="275" w:lineRule="auto"/>
        <w:rPr>
          <w:sz w:val="20"/>
          <w:szCs w:val="20"/>
          <w:color w:val="auto"/>
        </w:rPr>
      </w:pPr>
      <w:r>
        <w:rPr>
          <w:rFonts w:ascii="Times New Roman" w:cs="Times New Roman" w:eastAsia="Times New Roman" w:hAnsi="Times New Roman"/>
          <w:sz w:val="16"/>
          <w:szCs w:val="16"/>
          <w:color w:val="auto"/>
        </w:rPr>
        <w:t>Founded in 1980, CCC is a leading SaaS platform for the multi-trillion-dollar P&amp;C insurance economy powering operations for insurers, repairers, automakers, part suppliers, lenders, and more. CCC cloud technology connects more than 35,000 businesses digitizing mission-critical workflows, commerce, and customer experiences. A trusted leader in AI, internet of things ("IoT"), customer experience, network and workflow management, CCC delivers innovations that keep people's lives moving forward when it matters most.</w:t>
      </w:r>
    </w:p>
    <w:p>
      <w:pPr>
        <w:spacing w:after="0" w:line="75" w:lineRule="exact"/>
        <w:rPr>
          <w:sz w:val="20"/>
          <w:szCs w:val="20"/>
          <w:color w:val="auto"/>
        </w:rPr>
      </w:pPr>
    </w:p>
    <w:p>
      <w:pPr>
        <w:ind w:firstLine="1033"/>
        <w:spacing w:after="0" w:line="272" w:lineRule="auto"/>
        <w:rPr>
          <w:sz w:val="20"/>
          <w:szCs w:val="20"/>
          <w:color w:val="auto"/>
        </w:rPr>
      </w:pPr>
      <w:r>
        <w:rPr>
          <w:rFonts w:ascii="Times New Roman" w:cs="Times New Roman" w:eastAsia="Times New Roman" w:hAnsi="Times New Roman"/>
          <w:sz w:val="16"/>
          <w:szCs w:val="16"/>
          <w:color w:val="auto"/>
        </w:rPr>
        <w:t>Our business has been built upon two foundational pillars: automotive insurance claims and automotive collision repair. For decades we have delivered leading software solutions to both the insurance and repair industries, including pioneering Direct Repair Programs (“DRP”) in the United States (“U.S.”) beginning in 1992. DRP connects auto insurers and collision repair shops to create business value for both parties, and requires digital tools to facilitate interactions and manage partner programs. Insurer-to-shop DRP connections have created a strong network effect for CCC’s platform, as insurers and repairers both benefit by joining the largest network to maximize opportunities. This has led to a virtuous cycle in which more insurers on the platform drives more value for the collision shops on the platform, and vice versa.</w:t>
      </w:r>
    </w:p>
    <w:p>
      <w:pPr>
        <w:spacing w:after="0" w:line="78" w:lineRule="exact"/>
        <w:rPr>
          <w:sz w:val="20"/>
          <w:szCs w:val="20"/>
          <w:color w:val="auto"/>
        </w:rPr>
      </w:pPr>
    </w:p>
    <w:p>
      <w:pPr>
        <w:ind w:right="20" w:firstLine="1033"/>
        <w:spacing w:after="0" w:line="269" w:lineRule="auto"/>
        <w:rPr>
          <w:sz w:val="20"/>
          <w:szCs w:val="20"/>
          <w:color w:val="auto"/>
        </w:rPr>
      </w:pPr>
      <w:r>
        <w:rPr>
          <w:rFonts w:ascii="Times New Roman" w:cs="Times New Roman" w:eastAsia="Times New Roman" w:hAnsi="Times New Roman"/>
          <w:sz w:val="16"/>
          <w:szCs w:val="16"/>
          <w:color w:val="auto"/>
        </w:rPr>
        <w:t>We believe we have become a leading insurance and repair SaaS provider in the U.S. by increasing the depth and breadth of our SaaS offerings over many years. Our insurance solutions help insurance carriers manage mission-critical workflows across the claims lifecycle, while building smart, dynamic experiences for their own customers. Our software integrates seamlessly with both legacy and modern systems alike and enables insurers to rapidly innovate on our platform. Our repair solutions help collision repair facilities achieve better performance throughout the collision repair cycle by digitizing processes to drive business growth, streamline operations, and improve repair quality. We have more than 300 insurers on our network, connecting with approximately 29,500 repair facilities through our multi-tenant cloud platform. We believe our software is the architectural backbone of insurance DRP systems and is a primary driver of material revenue for our collision shop customers and a source of material efficiencies for our insurance carrier customers.</w:t>
      </w:r>
    </w:p>
    <w:p>
      <w:pPr>
        <w:spacing w:after="0" w:line="82" w:lineRule="exact"/>
        <w:rPr>
          <w:sz w:val="20"/>
          <w:szCs w:val="20"/>
          <w:color w:val="auto"/>
        </w:rPr>
      </w:pPr>
    </w:p>
    <w:p>
      <w:pPr>
        <w:ind w:right="60" w:firstLine="1033"/>
        <w:spacing w:after="0" w:line="269" w:lineRule="auto"/>
        <w:rPr>
          <w:sz w:val="20"/>
          <w:szCs w:val="20"/>
          <w:color w:val="auto"/>
        </w:rPr>
      </w:pPr>
      <w:r>
        <w:rPr>
          <w:rFonts w:ascii="Times New Roman" w:cs="Times New Roman" w:eastAsia="Times New Roman" w:hAnsi="Times New Roman"/>
          <w:sz w:val="16"/>
          <w:szCs w:val="16"/>
          <w:color w:val="auto"/>
        </w:rPr>
        <w:t>Our platform is designed to solve the “many-to-many” problem faced by the insurance economy. There are numerous internally and externally developed insurance software solutions in the market today, with the vast majority of applications focused on insurance-only use cases and not on serving the broader insurance ecosystem. We have prioritized building a leading network around our automotive insurance and collision repair pillars to further digitize interactions and maximize value for our customers. We have tens of thousands of companies on our platform that participate in the insurance economy, including insurers, repairers, parts suppliers, automotive manufacturers, and financial institutions. Our solutions create value for each of these parties by enabling them to connect to our vast network to collaborate with other companies, streamline operations, and reduce processing costs and dollars lost through claims management inefficiencies, or claims leakage. Expanding our platform has added new layers of network effects, further accelerating the adoption of our software solutions.</w:t>
      </w:r>
    </w:p>
    <w:p>
      <w:pPr>
        <w:spacing w:after="0" w:line="82" w:lineRule="exact"/>
        <w:rPr>
          <w:sz w:val="20"/>
          <w:szCs w:val="20"/>
          <w:color w:val="auto"/>
        </w:rPr>
      </w:pPr>
    </w:p>
    <w:p>
      <w:pPr>
        <w:ind w:right="40" w:firstLine="1033"/>
        <w:spacing w:after="0" w:line="272" w:lineRule="auto"/>
        <w:rPr>
          <w:sz w:val="20"/>
          <w:szCs w:val="20"/>
          <w:color w:val="auto"/>
        </w:rPr>
      </w:pPr>
      <w:r>
        <w:rPr>
          <w:rFonts w:ascii="Times New Roman" w:cs="Times New Roman" w:eastAsia="Times New Roman" w:hAnsi="Times New Roman"/>
          <w:sz w:val="16"/>
          <w:szCs w:val="16"/>
          <w:color w:val="auto"/>
        </w:rPr>
        <w:t>We have processed more than $1 trillion of historical data across our network, allowing us to build proprietary data assets that leverage insurance claims, vehicle repair, automotive parts and other vehicle-specific information. We believe we are uniquely positioned to provide data-driven insights, analytics, and AI-enhanced workflows that strengthen our solutions and improve business outcomes for our customers. Our AI solutions increase automation across existing insurance and repair processes including vehicle damage detection, claim triage, claim handling, casualty claim processing, repair estimating, intelligent claim review, and claim subrogation. We deliver real-world AI with more than 100 U.S. auto insurers and more than 1,000 U.S. collision repairers actively using AI-powered solutions in production environments.</w:t>
      </w:r>
    </w:p>
    <w:p>
      <w:pPr>
        <w:spacing w:after="0" w:line="78" w:lineRule="exact"/>
        <w:rPr>
          <w:sz w:val="20"/>
          <w:szCs w:val="20"/>
          <w:color w:val="auto"/>
        </w:rPr>
      </w:pPr>
    </w:p>
    <w:p>
      <w:pPr>
        <w:ind w:right="160" w:firstLine="1033"/>
        <w:spacing w:after="0" w:line="275" w:lineRule="auto"/>
        <w:rPr>
          <w:sz w:val="20"/>
          <w:szCs w:val="20"/>
          <w:color w:val="auto"/>
        </w:rPr>
      </w:pPr>
      <w:r>
        <w:rPr>
          <w:rFonts w:ascii="Times New Roman" w:cs="Times New Roman" w:eastAsia="Times New Roman" w:hAnsi="Times New Roman"/>
          <w:sz w:val="16"/>
          <w:szCs w:val="16"/>
          <w:color w:val="auto"/>
        </w:rPr>
        <w:t>One of the primary obstacles facing the P&amp;C insurance economy is increasing complexity. Complexity in the P&amp;C insurance economy is driven by technological advancements, IoT data, new business models, supply-chain disruption, and changing consumer expectations. We believe digitization plays a critical role in managing this growing complexity while meeting consumer expectations. Our technology investments are focused on digitizing complex processes and interactions across our ecosystem, and we believe we are well positioned to power the P&amp;C insurance economy of the future with our data, network, and platform.</w:t>
      </w:r>
    </w:p>
    <w:p>
      <w:pPr>
        <w:spacing w:after="0" w:line="75" w:lineRule="exact"/>
        <w:rPr>
          <w:sz w:val="20"/>
          <w:szCs w:val="20"/>
          <w:color w:val="auto"/>
        </w:rPr>
      </w:pPr>
    </w:p>
    <w:p>
      <w:pPr>
        <w:ind w:firstLine="1033"/>
        <w:spacing w:after="0" w:line="271" w:lineRule="auto"/>
        <w:rPr>
          <w:sz w:val="20"/>
          <w:szCs w:val="20"/>
          <w:color w:val="auto"/>
        </w:rPr>
      </w:pPr>
      <w:r>
        <w:rPr>
          <w:rFonts w:ascii="Times New Roman" w:cs="Times New Roman" w:eastAsia="Times New Roman" w:hAnsi="Times New Roman"/>
          <w:sz w:val="16"/>
          <w:szCs w:val="16"/>
          <w:color w:val="auto"/>
        </w:rPr>
        <w:t>While our position in the P&amp;C insurance economy is grounded in the automotive insurance sector, the largest insurance sector in the U.S. representing nearly half of Direct Written Premiums (“DWP”), we believe our integrations and cloud platform are capable of driving innovation across the entire P&amp;C insurance economy. Our customers are increasingly looking for CCC to expand its solutions to other parts of their business where they can benefit from our technology, service, and partnership. In response, we are investing in new solutions that we believe will enable us to digitize the entire automotive claims lifecycle, and over time expand into adjacencies including other insurance lines. For example, CCC's acquisition of Safekeep in February 2022 added subrogation solutions that can span insurance lines including automotive, property, and worker's compensation.</w:t>
      </w:r>
    </w:p>
    <w:p>
      <w:pPr>
        <w:spacing w:after="0" w:line="76" w:lineRule="exact"/>
        <w:rPr>
          <w:sz w:val="20"/>
          <w:szCs w:val="20"/>
          <w:color w:val="auto"/>
        </w:rPr>
      </w:pPr>
    </w:p>
    <w:p>
      <w:pPr>
        <w:ind w:right="160" w:firstLine="1033"/>
        <w:spacing w:after="0" w:line="271" w:lineRule="auto"/>
        <w:rPr>
          <w:sz w:val="20"/>
          <w:szCs w:val="20"/>
          <w:color w:val="auto"/>
        </w:rPr>
      </w:pPr>
      <w:r>
        <w:rPr>
          <w:rFonts w:ascii="Times New Roman" w:cs="Times New Roman" w:eastAsia="Times New Roman" w:hAnsi="Times New Roman"/>
          <w:sz w:val="16"/>
          <w:szCs w:val="16"/>
          <w:color w:val="auto"/>
        </w:rPr>
        <w:t>We have strong customer relationships in the end-markets we serve, and these relationships are a key component of our success given the long-term nature of our contracts and the interconnectedness of our network. We have customer agreements with more than 300 insurers (including carriers, self-insurers and other entities processing insurance claims), including 27 of the top 30 automotive insurance carriers in the U.S., based on DWP, and hundreds of regional carriers. We have more than 35,000 total customers, including approximately 29,500 automotive collision repair facilities (including repairers and other entities that estimate damaged vehicles), approximately 5,000 parts suppliers, 13 of the top 15 automotive manufacturers, based on new vehicle sales, and numerous other companies that participate in the P&amp;C insurance economy.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P&amp;C Insurance Economy</w:t>
      </w:r>
    </w:p>
    <w:p>
      <w:pPr>
        <w:spacing w:after="0" w:line="12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P&amp;C insurance is one of the largest global industries. The U.S. P&amp;C insurance industry alone serviced approximately $775 billion in DWP in 2022.</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Insurance is a necessity for the majority of businesses and consumers, and, as a result, the P&amp;C insurance industry has seen steady long-term growth.</w:t>
      </w:r>
    </w:p>
    <w:p>
      <w:pPr>
        <w:spacing w:after="0" w:line="119" w:lineRule="exact"/>
        <w:rPr>
          <w:sz w:val="20"/>
          <w:szCs w:val="20"/>
          <w:color w:val="auto"/>
        </w:rPr>
      </w:pPr>
    </w:p>
    <w:p>
      <w:pPr>
        <w:ind w:right="200" w:firstLine="1033"/>
        <w:spacing w:after="0" w:line="267" w:lineRule="auto"/>
        <w:rPr>
          <w:sz w:val="20"/>
          <w:szCs w:val="20"/>
          <w:color w:val="auto"/>
        </w:rPr>
      </w:pPr>
      <w:r>
        <w:rPr>
          <w:rFonts w:ascii="Times New Roman" w:cs="Times New Roman" w:eastAsia="Times New Roman" w:hAnsi="Times New Roman"/>
          <w:sz w:val="16"/>
          <w:szCs w:val="16"/>
          <w:color w:val="auto"/>
        </w:rPr>
        <w:t>P&amp;C insurers face a number of challenging market dynamics in today’s environment, including increasing customer expectations, competition from new entrants and business models, emerging technologies, labor shortages, and cost pressures. Insurers are often reliant on legacy on-premise systems to assist with policy and claims adjustments and processing, which can be inflexible and costly to maintain, challenging their ability to innovate and respond to market dynamics.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5" w:name="page6"/>
    <w:bookmarkEnd w:id="5"/>
    <w:p>
      <w:pPr>
        <w:ind w:right="320" w:firstLine="1033"/>
        <w:spacing w:after="0" w:line="275" w:lineRule="auto"/>
        <w:rPr>
          <w:sz w:val="20"/>
          <w:szCs w:val="20"/>
          <w:color w:val="auto"/>
        </w:rPr>
      </w:pPr>
      <w:r>
        <w:rPr>
          <w:rFonts w:ascii="Times New Roman" w:cs="Times New Roman" w:eastAsia="Times New Roman" w:hAnsi="Times New Roman"/>
          <w:sz w:val="16"/>
          <w:szCs w:val="16"/>
          <w:color w:val="auto"/>
        </w:rPr>
        <w:t>Further complicating matters, the P&amp;C insurance industry is dependent on the P&amp;C insurance economy, an interconnected economy of industries that interact to service, underwrite, finance, and repair insured assets. Insurance carriers invest in data, systems, services and partnerships to manage the many required collaboration points across these industries. To deliver end-to-end digital workflows and improved customer experiences, technology needs to extend beyond insurance organizations and include its supporting economy, in order to enable the many interactions and handoffs required to process insurance events.</w:t>
      </w:r>
    </w:p>
    <w:p>
      <w:pPr>
        <w:spacing w:after="0" w:line="75" w:lineRule="exact"/>
        <w:rPr>
          <w:sz w:val="20"/>
          <w:szCs w:val="20"/>
          <w:color w:val="auto"/>
        </w:rPr>
      </w:pPr>
    </w:p>
    <w:p>
      <w:pPr>
        <w:ind w:right="100" w:firstLine="1033"/>
        <w:spacing w:after="0" w:line="271" w:lineRule="auto"/>
        <w:rPr>
          <w:sz w:val="20"/>
          <w:szCs w:val="20"/>
          <w:color w:val="auto"/>
        </w:rPr>
      </w:pPr>
      <w:r>
        <w:rPr>
          <w:rFonts w:ascii="Times New Roman" w:cs="Times New Roman" w:eastAsia="Times New Roman" w:hAnsi="Times New Roman"/>
          <w:sz w:val="16"/>
          <w:szCs w:val="16"/>
          <w:color w:val="auto"/>
        </w:rPr>
        <w:t>In the automotive insurance sector, which represents nearly half of the U.S. P&amp;C insurance industry, processing a single event, such as a claim, can require hundreds of micro-transactions across its supporting economy, involving consumers, lenders, collision repair facilities, automotive manufacturers, dealers, parts suppliers, medical providers, vehicle auctions, and others. These transactions depend on extensive hyper-local decisions and data, creating a level of complexity that can increase processing costs as well as the potential for fraud and other forms of claims leakage. For automotive claims, the end result is approximately two billion days of cumulative claims cycle time (loss date to claim completion date) in the U.S. each year. For our insurance partners, cycle time is costly, which is one reason why, as of 2023, CCC’s platform is relied upon by 27 of the top 30 auto insurers based on DWP in the U.S. to digitize complexity and improve business 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125730</wp:posOffset>
            </wp:positionV>
            <wp:extent cx="4243070" cy="24599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43070" cy="2459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360" w:firstLine="1033"/>
        <w:spacing w:after="0" w:line="298" w:lineRule="auto"/>
        <w:rPr>
          <w:sz w:val="20"/>
          <w:szCs w:val="20"/>
          <w:color w:val="auto"/>
        </w:rPr>
      </w:pPr>
      <w:r>
        <w:rPr>
          <w:rFonts w:ascii="Times New Roman" w:cs="Times New Roman" w:eastAsia="Times New Roman" w:hAnsi="Times New Roman"/>
          <w:sz w:val="16"/>
          <w:szCs w:val="16"/>
          <w:color w:val="auto"/>
        </w:rPr>
        <w:t>The complexity seen in one auto claim grows exponentially more difficult to manage at scale, and complexity is continuing to increase across the P&amp;C insurance economy. In the automotive sector, this is due to several converging factors including, without limitation:</w:t>
      </w:r>
    </w:p>
    <w:p>
      <w:pPr>
        <w:spacing w:after="0" w:line="54"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Vehicle parts proliferation</w:t>
      </w:r>
      <w:r>
        <w:rPr>
          <w:rFonts w:ascii="Times New Roman" w:cs="Times New Roman" w:eastAsia="Times New Roman" w:hAnsi="Times New Roman"/>
          <w:sz w:val="16"/>
          <w:szCs w:val="16"/>
          <w:color w:val="auto"/>
        </w:rPr>
        <w:t>: Repairable parts per auto claim have increased 60% since 2010</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Internal technology systems</w:t>
      </w:r>
      <w:r>
        <w:rPr>
          <w:rFonts w:ascii="Times New Roman" w:cs="Times New Roman" w:eastAsia="Times New Roman" w:hAnsi="Times New Roman"/>
          <w:sz w:val="16"/>
          <w:szCs w:val="16"/>
          <w:color w:val="auto"/>
        </w:rPr>
        <w:t>: The average lines of software code per new vehicle doubled from 100 million in 2015 to 200 million in 2020</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Growing connected car capabilities</w:t>
      </w:r>
      <w:r>
        <w:rPr>
          <w:rFonts w:ascii="Times New Roman" w:cs="Times New Roman" w:eastAsia="Times New Roman" w:hAnsi="Times New Roman"/>
          <w:sz w:val="16"/>
          <w:szCs w:val="16"/>
          <w:color w:val="auto"/>
        </w:rPr>
        <w:t>: By 2030, 95% of new vehicles sold globally are expected to be connected</w:t>
      </w:r>
    </w:p>
    <w:p>
      <w:pPr>
        <w:spacing w:after="0" w:line="126" w:lineRule="exact"/>
        <w:rPr>
          <w:rFonts w:ascii="Times New Roman" w:cs="Times New Roman" w:eastAsia="Times New Roman" w:hAnsi="Times New Roman"/>
          <w:sz w:val="16"/>
          <w:szCs w:val="16"/>
          <w:color w:val="auto"/>
        </w:rPr>
      </w:pPr>
    </w:p>
    <w:p>
      <w:pPr>
        <w:ind w:left="1020" w:hanging="503"/>
        <w:spacing w:after="0" w:line="301" w:lineRule="auto"/>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Advanced Driver Assistance Systems (“ADAS”) and diagnostics systems</w:t>
      </w:r>
      <w:r>
        <w:rPr>
          <w:rFonts w:ascii="Times New Roman" w:cs="Times New Roman" w:eastAsia="Times New Roman" w:hAnsi="Times New Roman"/>
          <w:sz w:val="16"/>
          <w:szCs w:val="16"/>
          <w:color w:val="auto"/>
        </w:rPr>
        <w:t>: The number of vehicles receiving a diagnostic scan as part of a collision repair has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increased 1,000% since 2017</w:t>
      </w:r>
    </w:p>
    <w:p>
      <w:pPr>
        <w:spacing w:after="0" w:line="51"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Vehicle Electrification and related infrastructure</w:t>
      </w:r>
      <w:r>
        <w:rPr>
          <w:rFonts w:ascii="Times New Roman" w:cs="Times New Roman" w:eastAsia="Times New Roman" w:hAnsi="Times New Roman"/>
          <w:sz w:val="16"/>
          <w:szCs w:val="16"/>
          <w:color w:val="auto"/>
        </w:rPr>
        <w:t>: By 2035, 50% of global car sales are expected to be electrified vehicles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Vehicle damage severity from collisions</w:t>
      </w:r>
      <w:r>
        <w:rPr>
          <w:rFonts w:ascii="Times New Roman" w:cs="Times New Roman" w:eastAsia="Times New Roman" w:hAnsi="Times New Roman"/>
          <w:sz w:val="16"/>
          <w:szCs w:val="16"/>
          <w:color w:val="auto"/>
        </w:rPr>
        <w:t>: Since 2017, the cost to repair vehicles damaged in automotive claims has increased 54%</w:t>
      </w:r>
    </w:p>
    <w:p>
      <w:pPr>
        <w:spacing w:after="0" w:line="200" w:lineRule="exact"/>
        <w:rPr>
          <w:sz w:val="20"/>
          <w:szCs w:val="20"/>
          <w:color w:val="auto"/>
        </w:rPr>
      </w:pPr>
    </w:p>
    <w:p>
      <w:pPr>
        <w:spacing w:after="0" w:line="239" w:lineRule="exact"/>
        <w:rPr>
          <w:sz w:val="20"/>
          <w:szCs w:val="20"/>
          <w:color w:val="auto"/>
        </w:rPr>
      </w:pPr>
    </w:p>
    <w:p>
      <w:pPr>
        <w:ind w:right="60" w:firstLine="1033"/>
        <w:spacing w:after="0" w:line="272" w:lineRule="auto"/>
        <w:rPr>
          <w:sz w:val="20"/>
          <w:szCs w:val="20"/>
          <w:color w:val="auto"/>
        </w:rPr>
      </w:pPr>
      <w:r>
        <w:rPr>
          <w:rFonts w:ascii="Times New Roman" w:cs="Times New Roman" w:eastAsia="Times New Roman" w:hAnsi="Times New Roman"/>
          <w:sz w:val="16"/>
          <w:szCs w:val="16"/>
          <w:color w:val="auto"/>
        </w:rPr>
        <w:t>We believe the only way to effectively manage increasing complexity is through digitization. Since our inception over forty years ago, we have focused our technology on what we believe to be our customers’ most complex problems. We have digitized total loss valuations, repair estimates, DRP programs, shop management functions, repair workflows, medical claims, parts ordering, subrogation, payments, and much more. In the process, we have built integrations and facilitated partnerships that enable information sharing across our vast network of customer companies. Our solutions are well-suited for the next wave of complexity, and we believe these trends will continue to accelerate adoption of CCC’s platform and applications.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Approach</w:t>
      </w:r>
    </w:p>
    <w:p>
      <w:pPr>
        <w:spacing w:after="0" w:line="129" w:lineRule="exact"/>
        <w:rPr>
          <w:sz w:val="20"/>
          <w:szCs w:val="20"/>
          <w:color w:val="auto"/>
        </w:rPr>
      </w:pPr>
    </w:p>
    <w:p>
      <w:pPr>
        <w:ind w:right="40" w:firstLine="1033"/>
        <w:spacing w:after="0" w:line="281" w:lineRule="auto"/>
        <w:rPr>
          <w:sz w:val="20"/>
          <w:szCs w:val="20"/>
          <w:color w:val="auto"/>
        </w:rPr>
      </w:pPr>
      <w:r>
        <w:rPr>
          <w:rFonts w:ascii="Times New Roman" w:cs="Times New Roman" w:eastAsia="Times New Roman" w:hAnsi="Times New Roman"/>
          <w:sz w:val="16"/>
          <w:szCs w:val="16"/>
          <w:color w:val="auto"/>
        </w:rPr>
        <w:t>Serving as the platform for the P&amp;C insurance economy is a significant challenge that CCC is uniquely positioned to address. We believe our proprietary data and network assets, combined with our track record of innovation on our cloud platform, differentiates us from other potential P&amp;C platform companies. Our approach is to continue to innovate and expand our solutions to create value for the P&amp;C insurance economy.</w:t>
      </w:r>
    </w:p>
    <w:p>
      <w:pPr>
        <w:spacing w:after="0" w:line="69" w:lineRule="exact"/>
        <w:rPr>
          <w:sz w:val="20"/>
          <w:szCs w:val="20"/>
          <w:color w:val="auto"/>
        </w:rPr>
      </w:pPr>
    </w:p>
    <w:p>
      <w:pPr>
        <w:ind w:right="60" w:firstLine="1033"/>
        <w:spacing w:after="0" w:line="269" w:lineRule="auto"/>
        <w:rPr>
          <w:sz w:val="20"/>
          <w:szCs w:val="20"/>
          <w:color w:val="auto"/>
        </w:rPr>
      </w:pPr>
      <w:r>
        <w:rPr>
          <w:rFonts w:ascii="Times New Roman" w:cs="Times New Roman" w:eastAsia="Times New Roman" w:hAnsi="Times New Roman"/>
          <w:sz w:val="16"/>
          <w:szCs w:val="16"/>
          <w:color w:val="auto"/>
        </w:rPr>
        <w:t>CCC’s foundation for innovation is built upon decades of data and extensive network assets. We have deep proprietary data assets and more than $1 trillion of historical data, enabling us to provide insights, analytics, and AI-driven workflows. Our leading network was built company</w:t>
      </w: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8" w:right="399" w:bottom="1440" w:gutter="0" w:footer="0" w:header="0"/>
        </w:sectPr>
      </w:pPr>
    </w:p>
    <w:bookmarkStart w:id="6" w:name="page7"/>
    <w:bookmarkEnd w:id="6"/>
    <w:p>
      <w:pPr>
        <w:ind w:right="180"/>
        <w:spacing w:after="0" w:line="298" w:lineRule="auto"/>
        <w:rPr>
          <w:sz w:val="20"/>
          <w:szCs w:val="20"/>
          <w:color w:val="auto"/>
        </w:rPr>
      </w:pPr>
      <w:r>
        <w:rPr>
          <w:rFonts w:ascii="Times New Roman" w:cs="Times New Roman" w:eastAsia="Times New Roman" w:hAnsi="Times New Roman"/>
          <w:sz w:val="16"/>
          <w:szCs w:val="16"/>
          <w:color w:val="auto"/>
        </w:rPr>
        <w:t>by company, and spans the P&amp;C insurance economy, giving us the ability to deploy cross-market solutions and create seamless customer experiences. We believe our data and network assets are highly differentiated and very difficult to replicate.</w:t>
      </w:r>
    </w:p>
    <w:p>
      <w:pPr>
        <w:spacing w:after="0" w:line="56" w:lineRule="exact"/>
        <w:rPr>
          <w:sz w:val="20"/>
          <w:szCs w:val="20"/>
          <w:color w:val="auto"/>
        </w:rPr>
      </w:pPr>
    </w:p>
    <w:p>
      <w:pPr>
        <w:ind w:right="160" w:firstLine="1033"/>
        <w:spacing w:after="0" w:line="271" w:lineRule="auto"/>
        <w:rPr>
          <w:sz w:val="20"/>
          <w:szCs w:val="20"/>
          <w:color w:val="auto"/>
        </w:rPr>
      </w:pPr>
      <w:r>
        <w:rPr>
          <w:rFonts w:ascii="Times New Roman" w:cs="Times New Roman" w:eastAsia="Times New Roman" w:hAnsi="Times New Roman"/>
          <w:sz w:val="16"/>
          <w:szCs w:val="16"/>
          <w:color w:val="auto"/>
        </w:rPr>
        <w:t>Our innovative cloud-based applications provide the P&amp;C insurance economy with the capabilities required to manage their businesses, optimize decision making, and digitize intricate workflows. We have a proven Research &amp; Development (R&amp;D) engine with a strong track record of software innovation and deployment on our cloud platform. CCC’s innovations are helping to deliver intelligent claims automation to the P&amp;C insurance economy. CCC's Estimate – STP ("Straight Through Processing") is the industry’s first estimating experience capable of delivering touchless line level estimate detail in minutes. By combining artificial intelligence, insurer driven rules and a connected ecosystem, Estimate – STP is designed to revolutionize the estimating experience for insurers and policyholders. CCC Estimate – STP has already been deployed in-market with more than twenty-five insurance carriers.</w:t>
      </w:r>
    </w:p>
    <w:p>
      <w:pPr>
        <w:spacing w:after="0" w:line="76" w:lineRule="exact"/>
        <w:rPr>
          <w:sz w:val="20"/>
          <w:szCs w:val="20"/>
          <w:color w:val="auto"/>
        </w:rPr>
      </w:pPr>
    </w:p>
    <w:p>
      <w:pPr>
        <w:ind w:right="240" w:firstLine="1033"/>
        <w:spacing w:after="0" w:line="298" w:lineRule="auto"/>
        <w:rPr>
          <w:sz w:val="20"/>
          <w:szCs w:val="20"/>
          <w:color w:val="auto"/>
        </w:rPr>
      </w:pPr>
      <w:r>
        <w:rPr>
          <w:rFonts w:ascii="Times New Roman" w:cs="Times New Roman" w:eastAsia="Times New Roman" w:hAnsi="Times New Roman"/>
          <w:sz w:val="16"/>
          <w:szCs w:val="16"/>
          <w:color w:val="auto"/>
        </w:rPr>
        <w:t>We believe our ability to rapidly innovate and deploy new software solutions via our cloud technology platform, along with our depth of data and leading network, sets us apart from the competition. The key benefits we deliver for our customers include:</w:t>
      </w:r>
    </w:p>
    <w:p>
      <w:pPr>
        <w:spacing w:after="0" w:line="52" w:lineRule="exact"/>
        <w:rPr>
          <w:sz w:val="20"/>
          <w:szCs w:val="20"/>
          <w:color w:val="auto"/>
        </w:rPr>
      </w:pPr>
    </w:p>
    <w:p>
      <w:pPr>
        <w:ind w:left="1020" w:right="120" w:hanging="503"/>
        <w:spacing w:after="0" w:line="277" w:lineRule="auto"/>
        <w:tabs>
          <w:tab w:leader="none" w:pos="10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Multi-tenant public cloud platform enabling flexibility and innovation</w:t>
      </w:r>
      <w:r>
        <w:rPr>
          <w:rFonts w:ascii="Times New Roman" w:cs="Times New Roman" w:eastAsia="Times New Roman" w:hAnsi="Times New Roman"/>
          <w:sz w:val="16"/>
          <w:szCs w:val="16"/>
          <w:color w:val="auto"/>
        </w:rPr>
        <w:t>: CCC’s platform operates in a secure multi-tenant public cloud environment, with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over 648,000 registered users and 5.2 billion database transactions processed per day. Our platform enables us to innovate in response to new market trends and customer needs and rapidly deploy new solutions to our more than 35,000 customers. We continuously enhance existing solutions and bring new solutions to market, deploying more than 1,400 software releases in 2023.</w:t>
      </w:r>
    </w:p>
    <w:p>
      <w:pPr>
        <w:spacing w:after="0" w:line="68" w:lineRule="exact"/>
        <w:rPr>
          <w:rFonts w:ascii="Times New Roman" w:cs="Times New Roman" w:eastAsia="Times New Roman" w:hAnsi="Times New Roman"/>
          <w:sz w:val="16"/>
          <w:szCs w:val="16"/>
          <w:color w:val="auto"/>
        </w:rPr>
      </w:pPr>
    </w:p>
    <w:p>
      <w:pPr>
        <w:ind w:left="1020" w:right="160" w:hanging="503"/>
        <w:spacing w:after="0" w:line="274" w:lineRule="auto"/>
        <w:tabs>
          <w:tab w:leader="none" w:pos="10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Deep domain expertise</w:t>
      </w:r>
      <w:r>
        <w:rPr>
          <w:rFonts w:ascii="Times New Roman" w:cs="Times New Roman" w:eastAsia="Times New Roman" w:hAnsi="Times New Roman"/>
          <w:sz w:val="16"/>
          <w:szCs w:val="16"/>
          <w:color w:val="auto"/>
        </w:rPr>
        <w:t>: With decades of experience serving the insurance economy, we have developed a deep understanding of the industries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ecosystem we serve. Our domain expertise enables us to offer tailored solutions to help our customers achieve their business objectives. We understand the importance of the role we play as the independent party facilitating interactions across various ecosystem participants, and as a result, we have developed deep and trusting relationships with our customers. We are well positioned to enable cross-market programs and partnerships and have a decades-long history playing this role. Our business is led by a deep and experienced management team with a customer-centric mindset.</w:t>
      </w:r>
    </w:p>
    <w:p>
      <w:pPr>
        <w:spacing w:after="0" w:line="70" w:lineRule="exact"/>
        <w:rPr>
          <w:rFonts w:ascii="Times New Roman" w:cs="Times New Roman" w:eastAsia="Times New Roman" w:hAnsi="Times New Roman"/>
          <w:sz w:val="16"/>
          <w:szCs w:val="16"/>
          <w:color w:val="auto"/>
        </w:rPr>
      </w:pPr>
    </w:p>
    <w:p>
      <w:pPr>
        <w:ind w:left="1020" w:hanging="503"/>
        <w:spacing w:after="0" w:line="277" w:lineRule="auto"/>
        <w:tabs>
          <w:tab w:leader="none" w:pos="10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Long-term customer relationships</w:t>
      </w:r>
      <w:r>
        <w:rPr>
          <w:rFonts w:ascii="Times New Roman" w:cs="Times New Roman" w:eastAsia="Times New Roman" w:hAnsi="Times New Roman"/>
          <w:sz w:val="16"/>
          <w:szCs w:val="16"/>
          <w:color w:val="auto"/>
        </w:rPr>
        <w:t>: Over several decades we have developed strong relationships with leading insurers, collision repair groups,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automotive manufacturers, among others. Our company-wide Net Promoter Score is 83, which underscores the customer-centric focus that defines our organization including our sales, marketing, product, technology, and operations teams. We are a trusted partner to our clients, which allows us to collaborate and adapt our business based on customer feedback and changing expectations to stay ahead of our competition.</w:t>
      </w:r>
    </w:p>
    <w:p>
      <w:pPr>
        <w:spacing w:after="0" w:line="68" w:lineRule="exact"/>
        <w:rPr>
          <w:rFonts w:ascii="Times New Roman" w:cs="Times New Roman" w:eastAsia="Times New Roman" w:hAnsi="Times New Roman"/>
          <w:sz w:val="16"/>
          <w:szCs w:val="16"/>
          <w:color w:val="auto"/>
        </w:rPr>
      </w:pPr>
    </w:p>
    <w:p>
      <w:pPr>
        <w:ind w:left="1020" w:right="240" w:hanging="503"/>
        <w:spacing w:after="0" w:line="277" w:lineRule="auto"/>
        <w:tabs>
          <w:tab w:leader="none" w:pos="10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Network access</w:t>
      </w:r>
      <w:r>
        <w:rPr>
          <w:rFonts w:ascii="Times New Roman" w:cs="Times New Roman" w:eastAsia="Times New Roman" w:hAnsi="Times New Roman"/>
          <w:sz w:val="16"/>
          <w:szCs w:val="16"/>
          <w:color w:val="auto"/>
        </w:rPr>
        <w:t>: CCC’s cloud platform is used by more than 35,000 companies, including insurers, repairers, automotive manufacturers, parts suppliers,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financial institutions, and others. Integrating to CCC’s platform unlocks real-time cloud connections across our ecosystem, enabling customers to digitize workflows that are otherwise cumbersome and costly. Our network processes more than 500 million interface transactions each year where information is passed from one network participant to another; for example, from an insurer to a repair facility.</w:t>
      </w:r>
    </w:p>
    <w:p>
      <w:pPr>
        <w:spacing w:after="0" w:line="68" w:lineRule="exact"/>
        <w:rPr>
          <w:rFonts w:ascii="Times New Roman" w:cs="Times New Roman" w:eastAsia="Times New Roman" w:hAnsi="Times New Roman"/>
          <w:sz w:val="16"/>
          <w:szCs w:val="16"/>
          <w:color w:val="auto"/>
        </w:rPr>
      </w:pPr>
    </w:p>
    <w:p>
      <w:pPr>
        <w:ind w:left="1020" w:hanging="503"/>
        <w:spacing w:after="0" w:line="272" w:lineRule="auto"/>
        <w:tabs>
          <w:tab w:leader="none" w:pos="10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Proven R&amp;D engine</w:t>
      </w:r>
      <w:r>
        <w:rPr>
          <w:rFonts w:ascii="Times New Roman" w:cs="Times New Roman" w:eastAsia="Times New Roman" w:hAnsi="Times New Roman"/>
          <w:sz w:val="16"/>
          <w:szCs w:val="16"/>
          <w:color w:val="auto"/>
        </w:rPr>
        <w:t>: We invest heavily in R&amp;D efforts and are committed to delivering market-leading technology for the P&amp;C insurance economy. 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recent years, our innovation efforts have focused on Mobile and AI technology, and we have released several new solutions incorporating Mobile and AI that have experienced rapid industry adoption as our customers look to improve customer experience and enable automation. We deploy real-world AI solutions at enterprise scale. Our AI solutions combine our data assets with proprietary machine learning and analytics frameworks to automate processes so as to reduce processing costs and leakage for our customer base. Today, CCC has developed more than 300 AI models, some of which are in use across more than 100 insurers, including 27 of the top 30 U.S. automotive insurers based on DWP.</w:t>
      </w:r>
    </w:p>
    <w:p>
      <w:pPr>
        <w:spacing w:after="0" w:line="71" w:lineRule="exact"/>
        <w:rPr>
          <w:rFonts w:ascii="Times New Roman" w:cs="Times New Roman" w:eastAsia="Times New Roman" w:hAnsi="Times New Roman"/>
          <w:sz w:val="16"/>
          <w:szCs w:val="16"/>
          <w:color w:val="auto"/>
        </w:rPr>
      </w:pPr>
    </w:p>
    <w:p>
      <w:pPr>
        <w:ind w:left="1020" w:right="240" w:hanging="503"/>
        <w:spacing w:after="0" w:line="277" w:lineRule="auto"/>
        <w:tabs>
          <w:tab w:leader="none" w:pos="10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Proprietary data assets</w:t>
      </w:r>
      <w:r>
        <w:rPr>
          <w:rFonts w:ascii="Times New Roman" w:cs="Times New Roman" w:eastAsia="Times New Roman" w:hAnsi="Times New Roman"/>
          <w:sz w:val="16"/>
          <w:szCs w:val="16"/>
          <w:color w:val="auto"/>
        </w:rPr>
        <w:t>: CCC’s platform has processed more than $1 trillion of historical data, enabling us to deliver unique analytics and insights for 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customers leveraging our deep proprietary data assets. Our platform allows customers to make optimal decisions by incorporating event-specific factors, local geographic factors, and historical data. Database solutions and corresponding rules engines can be configured and adjusted in real-time based on business needs and market trends.</w:t>
      </w:r>
    </w:p>
    <w:p>
      <w:pPr>
        <w:spacing w:after="0" w:line="68" w:lineRule="exact"/>
        <w:rPr>
          <w:rFonts w:ascii="Times New Roman" w:cs="Times New Roman" w:eastAsia="Times New Roman" w:hAnsi="Times New Roman"/>
          <w:sz w:val="16"/>
          <w:szCs w:val="16"/>
          <w:color w:val="auto"/>
        </w:rPr>
      </w:pPr>
    </w:p>
    <w:p>
      <w:pPr>
        <w:ind w:left="1020" w:right="40" w:hanging="503"/>
        <w:spacing w:after="0" w:line="277" w:lineRule="auto"/>
        <w:tabs>
          <w:tab w:leader="none" w:pos="10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Enterprise scale and suppo</w:t>
      </w:r>
      <w:r>
        <w:rPr>
          <w:rFonts w:ascii="Times New Roman" w:cs="Times New Roman" w:eastAsia="Times New Roman" w:hAnsi="Times New Roman"/>
          <w:sz w:val="16"/>
          <w:szCs w:val="16"/>
          <w:color w:val="auto"/>
        </w:rPr>
        <w:t>rt: We process more than $100 billion of transactions annually for our more than 35,000 customers, delivering mission-critical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SaaS solutions that our customers can count on. Since January 2019, CCC’s systems have achieved 99.94% uptime on average, giving our customers the confidence to depend on CCC’s performance. We have dedicated implementation and training teams, and have proven success in implementing solutions for leading insurance carriers and thousands of small businesses.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Growth Strategy</w:t>
      </w:r>
    </w:p>
    <w:p>
      <w:pPr>
        <w:spacing w:after="0" w:line="12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We intend to extend our position as the leading provider of SaaS solutions for the P&amp;C insurance economy. The key components of our strategy are:</w:t>
      </w:r>
    </w:p>
    <w:p>
      <w:pPr>
        <w:spacing w:after="0" w:line="123" w:lineRule="exact"/>
        <w:rPr>
          <w:sz w:val="20"/>
          <w:szCs w:val="20"/>
          <w:color w:val="auto"/>
        </w:rPr>
      </w:pPr>
    </w:p>
    <w:p>
      <w:pPr>
        <w:ind w:left="1020" w:right="380" w:hanging="503"/>
        <w:spacing w:after="0" w:line="283" w:lineRule="auto"/>
        <w:tabs>
          <w:tab w:leader="none" w:pos="10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Growing our customer base</w:t>
      </w:r>
      <w:r>
        <w:rPr>
          <w:rFonts w:ascii="Times New Roman" w:cs="Times New Roman" w:eastAsia="Times New Roman" w:hAnsi="Times New Roman"/>
          <w:sz w:val="16"/>
          <w:szCs w:val="16"/>
          <w:color w:val="auto"/>
        </w:rPr>
        <w:t>: Our customers span the P&amp;C insurance economy, and we believe we have significant opportunity to continue to grow 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customer base by targeting key new accounts and expanding our sales and marketing capabilities. We believe there is ample opportunity to add new customers within the U.S., where our business is most established.</w:t>
      </w:r>
    </w:p>
    <w:p>
      <w:pPr>
        <w:spacing w:after="0" w:line="64" w:lineRule="exact"/>
        <w:rPr>
          <w:rFonts w:ascii="Times New Roman" w:cs="Times New Roman" w:eastAsia="Times New Roman" w:hAnsi="Times New Roman"/>
          <w:sz w:val="16"/>
          <w:szCs w:val="16"/>
          <w:color w:val="auto"/>
        </w:rPr>
      </w:pPr>
    </w:p>
    <w:p>
      <w:pPr>
        <w:ind w:left="1020" w:hanging="503"/>
        <w:spacing w:after="0" w:line="277" w:lineRule="auto"/>
        <w:tabs>
          <w:tab w:leader="none" w:pos="10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Deepening relationships with existing customers</w:t>
      </w:r>
      <w:r>
        <w:rPr>
          <w:rFonts w:ascii="Times New Roman" w:cs="Times New Roman" w:eastAsia="Times New Roman" w:hAnsi="Times New Roman"/>
          <w:sz w:val="16"/>
          <w:szCs w:val="16"/>
          <w:color w:val="auto"/>
        </w:rPr>
        <w:t>: We seek to grow our revenue base with existing customers primarily by selling additional software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subscriptions. We regularly launch new solutions and have a proven track record of cross-selling software across our customer segments, as well as up-selling customers based on package and feature upgrades. We intend to build upon strong customer relationships and access to key customer decision makers to increase software adoption and usage.</w:t>
      </w:r>
    </w:p>
    <w:p>
      <w:pPr>
        <w:spacing w:after="0" w:line="68" w:lineRule="exact"/>
        <w:rPr>
          <w:rFonts w:ascii="Times New Roman" w:cs="Times New Roman" w:eastAsia="Times New Roman" w:hAnsi="Times New Roman"/>
          <w:sz w:val="16"/>
          <w:szCs w:val="16"/>
          <w:color w:val="auto"/>
        </w:rPr>
      </w:pPr>
    </w:p>
    <w:p>
      <w:pPr>
        <w:ind w:left="1020" w:right="120" w:hanging="503"/>
        <w:spacing w:after="0" w:line="271" w:lineRule="auto"/>
        <w:tabs>
          <w:tab w:leader="none" w:pos="10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Expanding the breadth of our solutions</w:t>
      </w:r>
      <w:r>
        <w:rPr>
          <w:rFonts w:ascii="Times New Roman" w:cs="Times New Roman" w:eastAsia="Times New Roman" w:hAnsi="Times New Roman"/>
          <w:sz w:val="16"/>
          <w:szCs w:val="16"/>
          <w:color w:val="auto"/>
        </w:rPr>
        <w:t>: Our long-term focus is to digitize all P&amp;C insurance economy workflows, targeting processing costs and leakage.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 2023, our R&amp;D spend was 20% of revenue; however, including the impact of capitalized time related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8" w:right="359" w:bottom="1440" w:gutter="0" w:footer="0" w:header="0"/>
        </w:sectPr>
      </w:pPr>
    </w:p>
    <w:bookmarkStart w:id="7" w:name="page8"/>
    <w:bookmarkEnd w:id="7"/>
    <w:p>
      <w:pPr>
        <w:ind w:left="1020" w:right="40"/>
        <w:spacing w:after="0" w:line="275" w:lineRule="auto"/>
        <w:rPr>
          <w:sz w:val="20"/>
          <w:szCs w:val="20"/>
          <w:color w:val="auto"/>
        </w:rPr>
      </w:pPr>
      <w:r>
        <w:rPr>
          <w:rFonts w:ascii="Times New Roman" w:cs="Times New Roman" w:eastAsia="Times New Roman" w:hAnsi="Times New Roman"/>
          <w:sz w:val="16"/>
          <w:szCs w:val="16"/>
          <w:color w:val="auto"/>
        </w:rPr>
        <w:t>to internal use software, our total spend was 25% of revenue on R&amp;D with a primary focus on technology leadership and continuous innovation. In 2023, we launched offerings that expanded the breadth and depth of our solutions across a number of areas including claim handling with CCC First Look and Casualty Impact Dynamics, digital website building with CCC Amplify, repair estimating with AI capabilities within CCC ONE Estimating-IQ, and subrogation with CCC Inbound Subrogation, among others.</w:t>
      </w:r>
    </w:p>
    <w:p>
      <w:pPr>
        <w:spacing w:after="0" w:line="71" w:lineRule="exact"/>
        <w:rPr>
          <w:sz w:val="20"/>
          <w:szCs w:val="20"/>
          <w:color w:val="auto"/>
        </w:rPr>
      </w:pPr>
    </w:p>
    <w:p>
      <w:pPr>
        <w:ind w:left="1020" w:right="160" w:hanging="503"/>
        <w:spacing w:after="0" w:line="277" w:lineRule="auto"/>
        <w:tabs>
          <w:tab w:leader="none" w:pos="10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Broadening our network ecosystem</w:t>
      </w:r>
      <w:r>
        <w:rPr>
          <w:rFonts w:ascii="Times New Roman" w:cs="Times New Roman" w:eastAsia="Times New Roman" w:hAnsi="Times New Roman"/>
          <w:sz w:val="16"/>
          <w:szCs w:val="16"/>
          <w:color w:val="auto"/>
        </w:rPr>
        <w:t>: We have a large network of companies on our platform that are dependent on the P&amp;C insurance economy and derive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value from connecting to others across the ecosystem through CCC. The breadth and depth of our platform creates network effects that accelerate the demand for our software solutions. We intend to extend our network of companies, including customers and ecosystem partners, to enhance our value proposition and create new market growth opportunities.</w:t>
      </w:r>
    </w:p>
    <w:p>
      <w:pPr>
        <w:spacing w:after="0" w:line="68" w:lineRule="exact"/>
        <w:rPr>
          <w:rFonts w:ascii="Times New Roman" w:cs="Times New Roman" w:eastAsia="Times New Roman" w:hAnsi="Times New Roman"/>
          <w:sz w:val="16"/>
          <w:szCs w:val="16"/>
          <w:color w:val="auto"/>
        </w:rPr>
      </w:pPr>
    </w:p>
    <w:p>
      <w:pPr>
        <w:ind w:left="1020" w:right="140" w:hanging="503"/>
        <w:spacing w:after="0" w:line="283" w:lineRule="auto"/>
        <w:tabs>
          <w:tab w:leader="none" w:pos="10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Growing our geographic footprint</w:t>
      </w:r>
      <w:r>
        <w:rPr>
          <w:rFonts w:ascii="Times New Roman" w:cs="Times New Roman" w:eastAsia="Times New Roman" w:hAnsi="Times New Roman"/>
          <w:sz w:val="16"/>
          <w:szCs w:val="16"/>
          <w:color w:val="auto"/>
        </w:rPr>
        <w:t>: We believe there is significant opportunity for our solutions outside of the U.S. For example, in China we have built an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early position digitizing claims estimating processes with some of the largest automotive insurance carriers. We believe opportunities exist to expand our solutions in other markets across the world, which we expect to pursue over time.</w:t>
      </w:r>
    </w:p>
    <w:p>
      <w:pPr>
        <w:spacing w:after="0" w:line="64" w:lineRule="exact"/>
        <w:rPr>
          <w:rFonts w:ascii="Times New Roman" w:cs="Times New Roman" w:eastAsia="Times New Roman" w:hAnsi="Times New Roman"/>
          <w:sz w:val="16"/>
          <w:szCs w:val="16"/>
          <w:color w:val="auto"/>
        </w:rPr>
      </w:pPr>
    </w:p>
    <w:p>
      <w:pPr>
        <w:ind w:left="1020" w:right="20" w:hanging="503"/>
        <w:spacing w:after="0" w:line="283" w:lineRule="auto"/>
        <w:tabs>
          <w:tab w:leader="none" w:pos="10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Pursuing acquisitions</w:t>
      </w:r>
      <w:r>
        <w:rPr>
          <w:rFonts w:ascii="Times New Roman" w:cs="Times New Roman" w:eastAsia="Times New Roman" w:hAnsi="Times New Roman"/>
          <w:sz w:val="16"/>
          <w:szCs w:val="16"/>
          <w:color w:val="auto"/>
        </w:rPr>
        <w:t>: We have acquired and integrated numerous businesses throughout CCC’s history. In 2022, we acquired Safekeep and integrated their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digital subrogation capabilities into CCC's suite of insurance solutions. We intend to continue to pursue targeted acquisition opportunities to accelerate our business strategy and growth through solution, market, or geographic expansion.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Solutions</w:t>
      </w:r>
    </w:p>
    <w:p>
      <w:pPr>
        <w:spacing w:after="0" w:line="129" w:lineRule="exact"/>
        <w:rPr>
          <w:sz w:val="20"/>
          <w:szCs w:val="20"/>
          <w:color w:val="auto"/>
        </w:rPr>
      </w:pPr>
    </w:p>
    <w:p>
      <w:pPr>
        <w:ind w:right="280" w:firstLine="1033"/>
        <w:spacing w:after="0" w:line="298" w:lineRule="auto"/>
        <w:rPr>
          <w:sz w:val="20"/>
          <w:szCs w:val="20"/>
          <w:color w:val="auto"/>
        </w:rPr>
      </w:pPr>
      <w:r>
        <w:rPr>
          <w:rFonts w:ascii="Times New Roman" w:cs="Times New Roman" w:eastAsia="Times New Roman" w:hAnsi="Times New Roman"/>
          <w:sz w:val="16"/>
          <w:szCs w:val="16"/>
          <w:color w:val="auto"/>
        </w:rPr>
        <w:t>We provide an integrated suite of software applications built on our cloud platform to serve the P&amp;C insurance economy, including insurance, repair, and other end-markets. Our SaaS solutions are sold individually or in packages, depending on the specific solution and end-market.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1710690</wp:posOffset>
            </wp:positionH>
            <wp:positionV relativeFrom="paragraph">
              <wp:posOffset>113030</wp:posOffset>
            </wp:positionV>
            <wp:extent cx="3694430" cy="26231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94430"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CCC Insurance Solutions</w:t>
      </w:r>
    </w:p>
    <w:p>
      <w:pPr>
        <w:spacing w:after="0" w:line="129" w:lineRule="exact"/>
        <w:rPr>
          <w:sz w:val="20"/>
          <w:szCs w:val="20"/>
          <w:color w:val="auto"/>
        </w:rPr>
      </w:pPr>
    </w:p>
    <w:p>
      <w:pPr>
        <w:ind w:right="180" w:firstLine="1033"/>
        <w:spacing w:after="0" w:line="275" w:lineRule="auto"/>
        <w:rPr>
          <w:sz w:val="20"/>
          <w:szCs w:val="20"/>
          <w:color w:val="auto"/>
        </w:rPr>
      </w:pPr>
      <w:r>
        <w:rPr>
          <w:rFonts w:ascii="Times New Roman" w:cs="Times New Roman" w:eastAsia="Times New Roman" w:hAnsi="Times New Roman"/>
          <w:sz w:val="16"/>
          <w:szCs w:val="16"/>
          <w:color w:val="auto"/>
        </w:rPr>
        <w:t>CCC’s solutions help insurers digitize processes, from customer intake to claim resolution, while building smart, dynamic experiences for their customers. Many of our solutions leverage the power of the CCC network by facilitating ecosystem interactions required to complete insurer processes. All of our insurance solutions are cloud-based SaaS solutions that power critical carrier workflows. Our insurance solutions represent approximately 49% of our 2023 total revenues, with 93% of that representing software revenue and 7% representing other revenue. Our key insurance solutions include:</w:t>
      </w:r>
    </w:p>
    <w:p>
      <w:pPr>
        <w:spacing w:after="0" w:line="73" w:lineRule="exact"/>
        <w:rPr>
          <w:sz w:val="20"/>
          <w:szCs w:val="20"/>
          <w:color w:val="auto"/>
        </w:rPr>
      </w:pPr>
    </w:p>
    <w:p>
      <w:pPr>
        <w:ind w:left="1020" w:hanging="503"/>
        <w:spacing w:after="0" w:line="270" w:lineRule="auto"/>
        <w:tabs>
          <w:tab w:leader="none" w:pos="10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CCC Workflow</w:t>
      </w:r>
      <w:r>
        <w:rPr>
          <w:rFonts w:ascii="Times New Roman" w:cs="Times New Roman" w:eastAsia="Times New Roman" w:hAnsi="Times New Roman"/>
          <w:sz w:val="16"/>
          <w:szCs w:val="16"/>
          <w:color w:val="auto"/>
        </w:rPr>
        <w:t>: Our suite of workflow tools support end-to-end digital insurance workflows, from customer intake to claim resolution. Our solutions enable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mobile experiences, modern communications, configurable workflows, and network integrations, all while empowering insurers to seamlessly customize and configure solutions to meet unique business needs. Mobile solutions provide a digital channel for communicating with the modern consumer, starting with vehicle documentation when a new insurance policy is created. Our solutions support critical claims processes, including claims documentation, photo capture, repair scheduling, and two-way text communications. Our workflow solutions leverage sophisticated rules engines and AI to automate and customize routing, review, and approval processes. Our network management capability powers insurance DRPs, enabling insurers to seamlessly connect and collaborate with repair facilities and other companies to provide accurate and timely information about a claim flow from the right party at the right time.</w:t>
      </w:r>
    </w:p>
    <w:p>
      <w:pPr>
        <w:spacing w:after="0" w:line="76" w:lineRule="exact"/>
        <w:rPr>
          <w:rFonts w:ascii="Times New Roman" w:cs="Times New Roman" w:eastAsia="Times New Roman" w:hAnsi="Times New Roman"/>
          <w:sz w:val="16"/>
          <w:szCs w:val="16"/>
          <w:color w:val="auto"/>
        </w:rPr>
      </w:pPr>
    </w:p>
    <w:p>
      <w:pPr>
        <w:ind w:left="1020" w:right="20" w:hanging="503"/>
        <w:spacing w:after="0" w:line="266" w:lineRule="auto"/>
        <w:tabs>
          <w:tab w:leader="none" w:pos="10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CCC Estimating</w:t>
      </w:r>
      <w:r>
        <w:rPr>
          <w:rFonts w:ascii="Times New Roman" w:cs="Times New Roman" w:eastAsia="Times New Roman" w:hAnsi="Times New Roman"/>
          <w:sz w:val="16"/>
          <w:szCs w:val="16"/>
          <w:color w:val="auto"/>
        </w:rPr>
        <w:t>: Our insurance automotive repair estimating solution is built on CCC’s proprietary estimating database that has been cultivated for decades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deliver best-in-class repair estimating data and decisioning. CCC estimating innovations have enabled virtual inspections using consumer photos, integrated to CCC’s portal. Estimates are further automated by AI that combines machine learning and estimating logic to predict repair requirements, suggest estimate lines, and generate fast baseline estimates. Our Estimate – STP solution takes estimate automation to the next level by combining AI, digital workflows, data, and partner connections to automatically</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8" w:name="page9"/>
    <w:bookmarkEnd w:id="8"/>
    <w:p>
      <w:pPr>
        <w:ind w:left="1020" w:right="420"/>
        <w:spacing w:after="0" w:line="298" w:lineRule="auto"/>
        <w:rPr>
          <w:sz w:val="20"/>
          <w:szCs w:val="20"/>
          <w:color w:val="auto"/>
        </w:rPr>
      </w:pPr>
      <w:r>
        <w:rPr>
          <w:rFonts w:ascii="Times New Roman" w:cs="Times New Roman" w:eastAsia="Times New Roman" w:hAnsi="Times New Roman"/>
          <w:sz w:val="16"/>
          <w:szCs w:val="16"/>
          <w:color w:val="auto"/>
        </w:rPr>
        <w:t>initiate and populate detailed estimates within seconds. The outcome is actionable estimates with line-level detail, including parts, labor operations and hours, and taxes. Our estimating solutions accelerate auto physical damage estimation to reduce costs and cycle time for our customers.</w:t>
      </w:r>
    </w:p>
    <w:p>
      <w:pPr>
        <w:spacing w:after="0" w:line="54" w:lineRule="exact"/>
        <w:rPr>
          <w:sz w:val="20"/>
          <w:szCs w:val="20"/>
          <w:color w:val="auto"/>
        </w:rPr>
      </w:pPr>
    </w:p>
    <w:p>
      <w:pPr>
        <w:ind w:left="1020" w:right="20" w:hanging="503"/>
        <w:spacing w:after="0" w:line="273" w:lineRule="auto"/>
        <w:tabs>
          <w:tab w:leader="none" w:pos="1020"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CCC Total Loss</w:t>
      </w:r>
      <w:r>
        <w:rPr>
          <w:rFonts w:ascii="Times New Roman" w:cs="Times New Roman" w:eastAsia="Times New Roman" w:hAnsi="Times New Roman"/>
          <w:sz w:val="16"/>
          <w:szCs w:val="16"/>
          <w:color w:val="auto"/>
        </w:rPr>
        <w:t>: Total loss solutions enable our insurance customers to identify, value, and resolve total loss automotive claims digitally. We deliver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valuations representing a vehicle’s fair market value based on CCC’s market-driven valuation methodology and provide insurers with information to make total loss determinations. Once a total loss has been identified, we support our carrier customers in managing lender payoff requests, letters of guarantee, lien and title resolution, and signature collection. Throughout the process, our mobile solutions deliver a seamless customer experience integrated into CCC’s holistic workflow suite.</w:t>
      </w:r>
    </w:p>
    <w:p>
      <w:pPr>
        <w:spacing w:after="0" w:line="74" w:lineRule="exact"/>
        <w:rPr>
          <w:rFonts w:ascii="Times New Roman" w:cs="Times New Roman" w:eastAsia="Times New Roman" w:hAnsi="Times New Roman"/>
          <w:sz w:val="16"/>
          <w:szCs w:val="16"/>
          <w:color w:val="auto"/>
        </w:rPr>
      </w:pPr>
    </w:p>
    <w:p>
      <w:pPr>
        <w:ind w:left="1020" w:right="100" w:hanging="503"/>
        <w:spacing w:after="0" w:line="270" w:lineRule="auto"/>
        <w:tabs>
          <w:tab w:leader="none" w:pos="1020"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CCC Casualty</w:t>
      </w:r>
      <w:r>
        <w:rPr>
          <w:rFonts w:ascii="Times New Roman" w:cs="Times New Roman" w:eastAsia="Times New Roman" w:hAnsi="Times New Roman"/>
          <w:sz w:val="16"/>
          <w:szCs w:val="16"/>
          <w:color w:val="auto"/>
        </w:rPr>
        <w:t>: Personal injuries resulting from automotive accidents lead to casualty claims, which require insurers to process medical bills and demand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packages for first and third-party claims, respectively. Our casualty solutions automate and expedite casualty claims processing by applying intelligent rules based on insurer-specific parameters to process casualty claims data quickly and segment payment-ready bills from those that the insurer wants to review. Our Impact Dynamics solution helps insurers pay what they owe more quickly and efficiently by applying AI to photos of vehicle damage to identify potential for casualty exposure early, inform claims segmentation, and support adjuster decision-making. Our tools and services modernize a manual, paper-burdened system with a comprehensive, configurable experience to help insurers make timely, consistent payments across bill types, and provide analytics dashboards to visualize trends and industry benchmarks.</w:t>
      </w:r>
    </w:p>
    <w:p>
      <w:pPr>
        <w:spacing w:after="0" w:line="76" w:lineRule="exact"/>
        <w:rPr>
          <w:rFonts w:ascii="Times New Roman" w:cs="Times New Roman" w:eastAsia="Times New Roman" w:hAnsi="Times New Roman"/>
          <w:sz w:val="16"/>
          <w:szCs w:val="16"/>
          <w:color w:val="auto"/>
        </w:rPr>
      </w:pPr>
    </w:p>
    <w:p>
      <w:pPr>
        <w:ind w:left="1020" w:right="20" w:hanging="503"/>
        <w:spacing w:after="0" w:line="270" w:lineRule="auto"/>
        <w:tabs>
          <w:tab w:leader="none" w:pos="1020"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CCC Subrogation</w:t>
      </w:r>
      <w:r>
        <w:rPr>
          <w:rFonts w:ascii="Times New Roman" w:cs="Times New Roman" w:eastAsia="Times New Roman" w:hAnsi="Times New Roman"/>
          <w:sz w:val="16"/>
          <w:szCs w:val="16"/>
          <w:color w:val="auto"/>
        </w:rPr>
        <w:t>: In subrogation, insurance companies work with one another to resolve claims settlements when a first-party carrier seeks compensation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from a third-party carrier whose insured is partially or wholly at fault for a claim paid out to the first-party claimant. CCC’s outbound subrogation solutions automate subrogation opportunity identification for carriers by applying AI and Natural Language Processing ("NLP") to claims data. Our outbound solutions digitize subrogation workflows including the creation and distribution of demand packages with third-party carriers that include supporting evidence for subrogation claims. CCC's inbound subrogation solutions apply AI and NLP, along with historical CCC estimate data, to incoming subrogation demands. Our inbound solutions enable insurance carriers to rapidly ingest, respond, and settle demands with other carriers. CCC’s subrogation solutions can apply to multiple lines of insurance, including automotive, property, and workers' compensation.</w:t>
      </w:r>
    </w:p>
    <w:p>
      <w:pPr>
        <w:spacing w:after="0" w:line="76" w:lineRule="exact"/>
        <w:rPr>
          <w:rFonts w:ascii="Times New Roman" w:cs="Times New Roman" w:eastAsia="Times New Roman" w:hAnsi="Times New Roman"/>
          <w:sz w:val="16"/>
          <w:szCs w:val="16"/>
          <w:color w:val="auto"/>
        </w:rPr>
      </w:pPr>
    </w:p>
    <w:p>
      <w:pPr>
        <w:jc w:val="both"/>
        <w:ind w:left="1020" w:right="300" w:hanging="503"/>
        <w:spacing w:after="0" w:line="276" w:lineRule="auto"/>
        <w:tabs>
          <w:tab w:leader="none" w:pos="1020"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CCC Claim Handling</w:t>
      </w:r>
      <w:r>
        <w:rPr>
          <w:rFonts w:ascii="Times New Roman" w:cs="Times New Roman" w:eastAsia="Times New Roman" w:hAnsi="Times New Roman"/>
          <w:sz w:val="16"/>
          <w:szCs w:val="16"/>
          <w:color w:val="auto"/>
        </w:rPr>
        <w:t>: Claim handling is typically performed by claims adjusters who work closely with insured parties who are experiencing a claim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ensure a timely and accurate claim resolution. CCC First Look can be used by claims adjusters to capture claim information digitally by ingesting photos from various sources, including consumers and salvage providers. AI is applied to validate photos and inform routing and workflow decisions, including determining total loss and casualty potential.</w:t>
      </w:r>
    </w:p>
    <w:p>
      <w:pPr>
        <w:spacing w:after="0" w:line="179" w:lineRule="exact"/>
        <w:rPr>
          <w:rFonts w:ascii="Times New Roman" w:cs="Times New Roman" w:eastAsia="Times New Roman" w:hAnsi="Times New Roman"/>
          <w:sz w:val="16"/>
          <w:szCs w:val="16"/>
          <w:color w:val="auto"/>
        </w:rPr>
      </w:pPr>
    </w:p>
    <w:p>
      <w:pPr>
        <w:ind w:left="400" w:hanging="392"/>
        <w:spacing w:after="0"/>
        <w:tabs>
          <w:tab w:leader="none" w:pos="400" w:val="left"/>
        </w:tabs>
        <w:numPr>
          <w:ilvl w:val="0"/>
          <w:numId w:val="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Repair Solutions</w:t>
      </w:r>
    </w:p>
    <w:p>
      <w:pPr>
        <w:spacing w:after="0" w:line="129" w:lineRule="exact"/>
        <w:rPr>
          <w:sz w:val="20"/>
          <w:szCs w:val="20"/>
          <w:color w:val="auto"/>
        </w:rPr>
      </w:pPr>
    </w:p>
    <w:p>
      <w:pPr>
        <w:ind w:right="40" w:firstLine="1033"/>
        <w:spacing w:after="0" w:line="266" w:lineRule="auto"/>
        <w:rPr>
          <w:sz w:val="20"/>
          <w:szCs w:val="20"/>
          <w:color w:val="auto"/>
        </w:rPr>
      </w:pPr>
      <w:r>
        <w:rPr>
          <w:rFonts w:ascii="Times New Roman" w:cs="Times New Roman" w:eastAsia="Times New Roman" w:hAnsi="Times New Roman"/>
          <w:sz w:val="16"/>
          <w:szCs w:val="16"/>
          <w:color w:val="auto"/>
        </w:rPr>
        <w:t>CCC’s solutions help automotive collision repairers achieve better repair facility performance, from lead generation through repair completion and payment. Our platform improves every stage and level of the collision repair cycle, combining key business operations into one solution to drive more business, improve repair quality, simplify operations, and exceed consumer expectations for our collision facility customers. Collision repairers use our platform to connect with the industry’s leading network of partners and suppliers across the insurance and repair ecosystem. Our repair solutions represented approximately 44% of our 2023 total revenues, with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99% of that representing software revenue and 1% representing other revenue. Our key repair solutions include:</w:t>
      </w:r>
    </w:p>
    <w:p>
      <w:pPr>
        <w:spacing w:after="0" w:line="117" w:lineRule="exact"/>
        <w:rPr>
          <w:sz w:val="20"/>
          <w:szCs w:val="20"/>
          <w:color w:val="auto"/>
        </w:rPr>
      </w:pPr>
    </w:p>
    <w:p>
      <w:pPr>
        <w:ind w:left="1020" w:right="220" w:hanging="503"/>
        <w:spacing w:after="0" w:line="270" w:lineRule="auto"/>
        <w:tabs>
          <w:tab w:leader="none" w:pos="10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CCC Estimating</w:t>
      </w:r>
      <w:r>
        <w:rPr>
          <w:rFonts w:ascii="Times New Roman" w:cs="Times New Roman" w:eastAsia="Times New Roman" w:hAnsi="Times New Roman"/>
          <w:sz w:val="16"/>
          <w:szCs w:val="16"/>
          <w:color w:val="auto"/>
        </w:rPr>
        <w:t>: Our collision repair estimating solution is built on CCC’s proprietary database that enables repair estimate creation while connecting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repairers to real-time parts pricing and availability, Original Equipment Manufacturer (“OEM”) repair procedures, and insurer guidelines. Repairers can capture photos and repair information at the vehicle with CCC Estimating's mobile application and collaborate on repair estimates digitally with insurance partners. Users have access to our network of insurers and their corresponding requirements, which can accelerate estimate reviews and supplemental requests. Our Estimating-IQ enhancement incorporates AI into the repair estimating application to provide repairers with a jump start on estimating by applying machine learning to prepopulate estimates with parts and labor operations based on photos of vehicle damage and individual repair facility configurations. Our estimating solutions help reduce errors and improve cycle time for collision repairers and their partners.</w:t>
      </w:r>
    </w:p>
    <w:p>
      <w:pPr>
        <w:spacing w:after="0" w:line="76" w:lineRule="exact"/>
        <w:rPr>
          <w:rFonts w:ascii="Times New Roman" w:cs="Times New Roman" w:eastAsia="Times New Roman" w:hAnsi="Times New Roman"/>
          <w:sz w:val="16"/>
          <w:szCs w:val="16"/>
          <w:color w:val="auto"/>
        </w:rPr>
      </w:pPr>
    </w:p>
    <w:p>
      <w:pPr>
        <w:ind w:left="1020" w:right="120" w:hanging="503"/>
        <w:spacing w:after="0" w:line="276" w:lineRule="auto"/>
        <w:tabs>
          <w:tab w:leader="none" w:pos="10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CCC Network Management</w:t>
      </w:r>
      <w:r>
        <w:rPr>
          <w:rFonts w:ascii="Times New Roman" w:cs="Times New Roman" w:eastAsia="Times New Roman" w:hAnsi="Times New Roman"/>
          <w:sz w:val="16"/>
          <w:szCs w:val="16"/>
          <w:color w:val="auto"/>
        </w:rPr>
        <w:t>: We provide software solutions that power collaboration between repairers and insurers. Our technology facilitates the majority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the automotive insurance DRP in the U.S. Participating repairers benefit from our connected technology platform that allows them to receive repair assignments and collaborate with partner insurers throughout the repair process, delivering on program metrics that drive their business. We also provide tools that allow repair Multi Store Operators (“MSOs”) to manage performance, metrics, and compliance across their repair facility network.</w:t>
      </w:r>
    </w:p>
    <w:p>
      <w:pPr>
        <w:spacing w:after="0" w:line="71" w:lineRule="exact"/>
        <w:rPr>
          <w:rFonts w:ascii="Times New Roman" w:cs="Times New Roman" w:eastAsia="Times New Roman" w:hAnsi="Times New Roman"/>
          <w:sz w:val="16"/>
          <w:szCs w:val="16"/>
          <w:color w:val="auto"/>
        </w:rPr>
      </w:pPr>
    </w:p>
    <w:p>
      <w:pPr>
        <w:ind w:left="1020" w:hanging="503"/>
        <w:spacing w:after="0" w:line="268" w:lineRule="auto"/>
        <w:tabs>
          <w:tab w:leader="none" w:pos="10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CCC Repair Workflow</w:t>
      </w:r>
      <w:r>
        <w:rPr>
          <w:rFonts w:ascii="Times New Roman" w:cs="Times New Roman" w:eastAsia="Times New Roman" w:hAnsi="Times New Roman"/>
          <w:sz w:val="16"/>
          <w:szCs w:val="16"/>
          <w:color w:val="auto"/>
        </w:rPr>
        <w:t>: Repair workflow is the industry’s leading repair management tool that enhances productivity and simplifies operations for thousands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repair facilities. Repairers can schedule and track vehicle repair status, capture diagnostics data, assign tasks, and manage productivity across their operation. Configurable dashboards provide visibility into performance. Repairers can also streamline repair management leveraging CCC’s real-time parts ordering platform, selecting parts from multiple vendors through a single shopping cart and invoice. CCC repair workflow solutions also integrate customer interactions. CCC Amplify helps collision repairers build and launch customized websites through the CCC ONE platform, with integrated shop information, to support online presence and lead generation efforts. CCC Engage helps collision repairers attract qualified leads and simplify the estimate process by initiating appointment and estimate creation online. CCC Engage integrates into participating insurer workflows for direct appointment scheduling through insurer channels. CCC repair workflow solutions also enable integrated customer-to-shop payments, automatically storing payment records and simplifying reconciliation.</w:t>
      </w:r>
    </w:p>
    <w:p>
      <w:pPr>
        <w:spacing w:after="0" w:line="81" w:lineRule="exact"/>
        <w:rPr>
          <w:rFonts w:ascii="Times New Roman" w:cs="Times New Roman" w:eastAsia="Times New Roman" w:hAnsi="Times New Roman"/>
          <w:sz w:val="16"/>
          <w:szCs w:val="16"/>
          <w:color w:val="auto"/>
        </w:rPr>
      </w:pPr>
    </w:p>
    <w:p>
      <w:pPr>
        <w:ind w:left="1020" w:right="80" w:hanging="503"/>
        <w:spacing w:after="0" w:line="270" w:lineRule="auto"/>
        <w:tabs>
          <w:tab w:leader="none" w:pos="10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CCC Repair Quality</w:t>
      </w:r>
      <w:r>
        <w:rPr>
          <w:rFonts w:ascii="Times New Roman" w:cs="Times New Roman" w:eastAsia="Times New Roman" w:hAnsi="Times New Roman"/>
          <w:sz w:val="16"/>
          <w:szCs w:val="16"/>
          <w:color w:val="auto"/>
        </w:rPr>
        <w:t>: We provide advanced solutions to help repairers deliver quality repairs. Our repair procedures provide technicians with a single source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 data-driven insights to assist them in conducting thorough, consistent repairs, reducing the need for multiple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9" w:name="page10"/>
    <w:bookmarkEnd w:id="9"/>
    <w:p>
      <w:pPr>
        <w:ind w:left="1020" w:right="120"/>
        <w:spacing w:after="0" w:line="272" w:lineRule="auto"/>
        <w:rPr>
          <w:sz w:val="20"/>
          <w:szCs w:val="20"/>
          <w:color w:val="auto"/>
        </w:rPr>
      </w:pPr>
      <w:r>
        <w:rPr>
          <w:rFonts w:ascii="Times New Roman" w:cs="Times New Roman" w:eastAsia="Times New Roman" w:hAnsi="Times New Roman"/>
          <w:sz w:val="16"/>
          <w:szCs w:val="16"/>
          <w:color w:val="auto"/>
        </w:rPr>
        <w:t>subscriptions and enabling access to current OEM guidelines and processes. Our checklist solutions enable documentation of standard operating procedures and tracking of performance which allows repair facility managers to identify areas for improvement. CCC Diagnostics is a two-part solution that connects repairers to a network of industry leading diagnostic service providers, and enables repairers to properly document and bill diagnostic operations based on repairer-defined rules. The combined solution simplifies service initiation, documentation, and reporting with integrated functionality that creates transparency for insurers to validate completed service events.</w:t>
      </w:r>
    </w:p>
    <w:p>
      <w:pPr>
        <w:spacing w:after="0" w:line="184" w:lineRule="exact"/>
        <w:rPr>
          <w:sz w:val="20"/>
          <w:szCs w:val="20"/>
          <w:color w:val="auto"/>
        </w:rPr>
      </w:pPr>
    </w:p>
    <w:p>
      <w:pPr>
        <w:ind w:left="400" w:hanging="392"/>
        <w:spacing w:after="0"/>
        <w:tabs>
          <w:tab w:leader="none" w:pos="400" w:val="left"/>
        </w:tabs>
        <w:numPr>
          <w:ilvl w:val="0"/>
          <w:numId w:val="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Ecosystem and Other Solutions</w:t>
      </w:r>
    </w:p>
    <w:p>
      <w:pPr>
        <w:spacing w:after="0" w:line="128" w:lineRule="exact"/>
        <w:rPr>
          <w:rFonts w:ascii="Times New Roman" w:cs="Times New Roman" w:eastAsia="Times New Roman" w:hAnsi="Times New Roman"/>
          <w:sz w:val="16"/>
          <w:szCs w:val="16"/>
          <w:b w:val="1"/>
          <w:bCs w:val="1"/>
          <w:color w:val="auto"/>
        </w:rPr>
      </w:pPr>
    </w:p>
    <w:p>
      <w:pPr>
        <w:ind w:right="80" w:firstLine="1033"/>
        <w:spacing w:after="0" w:line="27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CCC offers enterprise solutions that support multiple customer segments, along with specific solutions tailored to other segments of the insurance ecosystem, including parts suppliers, automotive manufacturers, and diagnostics service providers. These solutions extend the CCC network and create value for companies connecting to our platform to improve business outcomes. Other ecosystem solutions represent approximately 6% of our 2023 total revenue, with 92% of that representing software revenue and 8% representing other revenue. Some of CCC’s other ecosystem solutions include:</w:t>
      </w:r>
    </w:p>
    <w:p>
      <w:pPr>
        <w:spacing w:after="0" w:line="72" w:lineRule="exact"/>
        <w:rPr>
          <w:rFonts w:ascii="Times New Roman" w:cs="Times New Roman" w:eastAsia="Times New Roman" w:hAnsi="Times New Roman"/>
          <w:sz w:val="16"/>
          <w:szCs w:val="16"/>
          <w:b w:val="1"/>
          <w:bCs w:val="1"/>
          <w:color w:val="auto"/>
        </w:rPr>
      </w:pPr>
    </w:p>
    <w:p>
      <w:pPr>
        <w:ind w:left="1020" w:right="120" w:hanging="503"/>
        <w:spacing w:after="0" w:line="276" w:lineRule="auto"/>
        <w:tabs>
          <w:tab w:leader="none" w:pos="1020"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CCC Parts Solutions</w:t>
      </w:r>
      <w:r>
        <w:rPr>
          <w:rFonts w:ascii="Times New Roman" w:cs="Times New Roman" w:eastAsia="Times New Roman" w:hAnsi="Times New Roman"/>
          <w:sz w:val="16"/>
          <w:szCs w:val="16"/>
          <w:color w:val="auto"/>
        </w:rPr>
        <w:t>: Our parts platform allows automotive parts wholesale dealers, aftermarket parts suppliers, and parts recyclers to make their inventory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available to our collision repair and insurance networks in real-time. Using this platform, participating customers are able to give their parts maximum visibility at the moment when repairers are using CCC software to write their repair estimates. This enables parts providers to display their parts inventory and promotional pricing, while automating order processing, invoicing, and settlement.</w:t>
      </w:r>
    </w:p>
    <w:p>
      <w:pPr>
        <w:spacing w:after="0" w:line="71" w:lineRule="exact"/>
        <w:rPr>
          <w:rFonts w:ascii="Times New Roman" w:cs="Times New Roman" w:eastAsia="Times New Roman" w:hAnsi="Times New Roman"/>
          <w:sz w:val="16"/>
          <w:szCs w:val="16"/>
          <w:color w:val="auto"/>
        </w:rPr>
      </w:pPr>
    </w:p>
    <w:p>
      <w:pPr>
        <w:ind w:left="1020" w:right="20" w:hanging="503"/>
        <w:spacing w:after="0" w:line="268" w:lineRule="auto"/>
        <w:tabs>
          <w:tab w:leader="none" w:pos="1020"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CCC Automotive Manufacturer Solutions</w:t>
      </w:r>
      <w:r>
        <w:rPr>
          <w:rFonts w:ascii="Times New Roman" w:cs="Times New Roman" w:eastAsia="Times New Roman" w:hAnsi="Times New Roman"/>
          <w:sz w:val="16"/>
          <w:szCs w:val="16"/>
          <w:color w:val="auto"/>
        </w:rPr>
        <w:t>: We offer a range of automotive manufacturer solutions that give access to our network, enable repair quality,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leverage telematics vehicle data to create valuable efficiencies across insurance and repair workflows. CCC OEM Net provides a network management platform to automotive manufacturers including collaboration tools, repair certification capabilities, and reporting dashboards that empower data-driven management of OEM-certified repair shop networks. We enable the integration of up-to-date OEM repair methods and diagnostics trouble codes into our platform to give our network of repair facilities and technicians the tools to execute a proper repair. Our automotive telematics solutions can enable new use cases across CCC’s integrated ecosystem, including connected safety and vehicle diagnostics solutions. Our telematics solutions are designed to integrate vehicle telemetry data, such as driving data, accident data, and diagnostics trouble codes, into existing insurance and repair workflows, expediting decisions and reducing cycle time across our ecosystem. Auto manufacturers also benefit from CCC Parts through analytics and the ability to offer promotional pricing to their shops and dealers.</w:t>
      </w:r>
    </w:p>
    <w:p>
      <w:pPr>
        <w:spacing w:after="0" w:line="81" w:lineRule="exact"/>
        <w:rPr>
          <w:rFonts w:ascii="Times New Roman" w:cs="Times New Roman" w:eastAsia="Times New Roman" w:hAnsi="Times New Roman"/>
          <w:sz w:val="16"/>
          <w:szCs w:val="16"/>
          <w:color w:val="auto"/>
        </w:rPr>
      </w:pPr>
    </w:p>
    <w:p>
      <w:pPr>
        <w:ind w:left="1020" w:right="380" w:hanging="503"/>
        <w:spacing w:after="0" w:line="276" w:lineRule="auto"/>
        <w:tabs>
          <w:tab w:leader="none" w:pos="1020"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CCC Diagnostics Service Provider Solutions</w:t>
      </w:r>
      <w:r>
        <w:rPr>
          <w:rFonts w:ascii="Times New Roman" w:cs="Times New Roman" w:eastAsia="Times New Roman" w:hAnsi="Times New Roman"/>
          <w:sz w:val="16"/>
          <w:szCs w:val="16"/>
          <w:color w:val="auto"/>
        </w:rPr>
        <w:t>: Our repair diagnostics platform allows companies that provide diagnostics, calibration, and programming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service solutions to connect to the CCC Diagnostics repair network. Service provider integrations allow repair facilities to capture and document scan information in CCC workfiles, streamlining diagnostics processes. Repairers using the solution can share results of vehicle scans and calibrations with consumers and participating insurers within CCC Repair Workflow.</w:t>
      </w:r>
    </w:p>
    <w:p>
      <w:pPr>
        <w:spacing w:after="0" w:line="71" w:lineRule="exact"/>
        <w:rPr>
          <w:rFonts w:ascii="Times New Roman" w:cs="Times New Roman" w:eastAsia="Times New Roman" w:hAnsi="Times New Roman"/>
          <w:sz w:val="16"/>
          <w:szCs w:val="16"/>
          <w:color w:val="auto"/>
        </w:rPr>
      </w:pPr>
    </w:p>
    <w:p>
      <w:pPr>
        <w:ind w:left="1020" w:right="220" w:hanging="503"/>
        <w:spacing w:after="0" w:line="273" w:lineRule="auto"/>
        <w:tabs>
          <w:tab w:leader="none" w:pos="1020"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CCC Payments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242424"/>
        </w:rPr>
        <w:t>Our enterprise payments platform enables electronic payment flows via third-party payment processing partners for companies across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242424"/>
        </w:rPr>
        <w:t>P&amp;C insurance economy. CCC payments functionality is designed to integrate into existing CCC applications, presenting payment information within existing workflows. The solution is initially focused on insurer outbound payments, where it enables payments across lines of business. Recipients of payments only need to enter their payment information once to have it seamlessly deployed across the CCC network, making it easy to activate electronic payments at scale. Our payments platform reduces administrative costs and cycle time while improving customer satisfaction</w:t>
      </w:r>
      <w:r>
        <w:rPr>
          <w:rFonts w:ascii="Times New Roman" w:cs="Times New Roman" w:eastAsia="Times New Roman" w:hAnsi="Times New Roman"/>
          <w:sz w:val="16"/>
          <w:szCs w:val="16"/>
          <w:color w:val="000000"/>
        </w:rPr>
        <w:t>.</w:t>
      </w:r>
    </w:p>
    <w:p>
      <w:pPr>
        <w:spacing w:after="0" w:line="182" w:lineRule="exact"/>
        <w:rPr>
          <w:sz w:val="20"/>
          <w:szCs w:val="20"/>
          <w:color w:val="auto"/>
        </w:rPr>
      </w:pPr>
    </w:p>
    <w:p>
      <w:pPr>
        <w:ind w:left="400" w:hanging="392"/>
        <w:spacing w:after="0"/>
        <w:tabs>
          <w:tab w:leader="none" w:pos="400" w:val="left"/>
        </w:tabs>
        <w:numPr>
          <w:ilvl w:val="0"/>
          <w:numId w:val="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International Solutions</w:t>
      </w:r>
    </w:p>
    <w:p>
      <w:pPr>
        <w:spacing w:after="0" w:line="128" w:lineRule="exact"/>
        <w:rPr>
          <w:rFonts w:ascii="Times New Roman" w:cs="Times New Roman" w:eastAsia="Times New Roman" w:hAnsi="Times New Roman"/>
          <w:sz w:val="16"/>
          <w:szCs w:val="16"/>
          <w:b w:val="1"/>
          <w:bCs w:val="1"/>
          <w:color w:val="auto"/>
        </w:rPr>
      </w:pPr>
    </w:p>
    <w:p>
      <w:pPr>
        <w:jc w:val="both"/>
        <w:ind w:right="40" w:firstLine="1033"/>
        <w:spacing w:after="0" w:line="28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CCC provides insurance claims software to some of the largest automotive insurers in China. Our software solutions are tailored for the Chinese market, and include workflow, estimating, audit and analytics solutions. We are assessing other international market expansion opportunities by evaluating partnerships and acquisitions of strategic assets. Our international solutions represent approximately 1% of our 2023 total revenue, with 100% of that representing software revenue.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Technology</w:t>
      </w:r>
    </w:p>
    <w:p>
      <w:pPr>
        <w:spacing w:after="0" w:line="129" w:lineRule="exact"/>
        <w:rPr>
          <w:sz w:val="20"/>
          <w:szCs w:val="20"/>
          <w:color w:val="auto"/>
        </w:rPr>
      </w:pPr>
    </w:p>
    <w:p>
      <w:pPr>
        <w:ind w:firstLine="1041"/>
        <w:spacing w:after="0" w:line="281" w:lineRule="auto"/>
        <w:tabs>
          <w:tab w:leader="none" w:pos="1398"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has been a technology leader in the P&amp;C insurance economy for several decades and has a strong track record of innovation. We were one of the leaders in the transition to cloud services, launching our initial CCC cloud capabilities beginning in 2003. Today, our solutions are powered by our secure multi-tenant public cloud. Our cloud architecture creates several benefits for our customers and partners across the P&amp;C insurance economy, including:</w:t>
      </w:r>
    </w:p>
    <w:p>
      <w:pPr>
        <w:spacing w:after="0" w:line="65" w:lineRule="exact"/>
        <w:rPr>
          <w:rFonts w:ascii="Times New Roman" w:cs="Times New Roman" w:eastAsia="Times New Roman" w:hAnsi="Times New Roman"/>
          <w:sz w:val="16"/>
          <w:szCs w:val="16"/>
          <w:color w:val="auto"/>
        </w:rPr>
      </w:pPr>
    </w:p>
    <w:p>
      <w:pPr>
        <w:ind w:left="1020" w:right="60" w:hanging="503"/>
        <w:spacing w:after="0" w:line="277" w:lineRule="auto"/>
        <w:tabs>
          <w:tab w:leader="none" w:pos="10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Ease of implementation</w:t>
      </w:r>
      <w:r>
        <w:rPr>
          <w:rFonts w:ascii="Times New Roman" w:cs="Times New Roman" w:eastAsia="Times New Roman" w:hAnsi="Times New Roman"/>
          <w:sz w:val="16"/>
          <w:szCs w:val="16"/>
          <w:color w:val="auto"/>
        </w:rPr>
        <w:t>: We are able to implement solutions rapidly and cost-effectively, with average customer implementations taking less than three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months. Implementations are performed by CCC’s service operations and training teams, and rarely require the support of external consultants. We utilize an Application Programming Interface (“API”) framework to integrate to our customers’ existing systems, enabling CCC’s solutions to perform high-value workflows without disrupting existing business processes.</w:t>
      </w:r>
    </w:p>
    <w:p>
      <w:pPr>
        <w:spacing w:after="0" w:line="68" w:lineRule="exact"/>
        <w:rPr>
          <w:rFonts w:ascii="Times New Roman" w:cs="Times New Roman" w:eastAsia="Times New Roman" w:hAnsi="Times New Roman"/>
          <w:sz w:val="16"/>
          <w:szCs w:val="16"/>
          <w:color w:val="auto"/>
        </w:rPr>
      </w:pPr>
    </w:p>
    <w:p>
      <w:pPr>
        <w:ind w:left="1020" w:hanging="503"/>
        <w:spacing w:after="0" w:line="268" w:lineRule="auto"/>
        <w:tabs>
          <w:tab w:leader="none" w:pos="10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Flexibility</w:t>
      </w:r>
      <w:r>
        <w:rPr>
          <w:rFonts w:ascii="Times New Roman" w:cs="Times New Roman" w:eastAsia="Times New Roman" w:hAnsi="Times New Roman"/>
          <w:sz w:val="16"/>
          <w:szCs w:val="16"/>
          <w:color w:val="auto"/>
        </w:rPr>
        <w:t>: Our solutions are highly flexible, enabling customers to deploy our software in various ways to meet their needs. For example, our insurer mobile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services can be integrated into customer applications via Software Development Kits (“SDK”), deployed via HTML5, or enabled by API calls. In addition, customers can configure and adjust rules based on business outcomes, which can be deployed in real-time via the CCC cloud. For example, our configurable carrier workflow allows insurers to design custom workflows that create differentiated experiences and adjust parameters to deliver targeted results.</w:t>
      </w: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10" w:name="page11"/>
    <w:bookmarkEnd w:id="10"/>
    <w:p>
      <w:pPr>
        <w:ind w:left="1020" w:right="80" w:hanging="503"/>
        <w:spacing w:after="0" w:line="277" w:lineRule="auto"/>
        <w:tabs>
          <w:tab w:leader="none" w:pos="10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Innovation</w:t>
      </w:r>
      <w:r>
        <w:rPr>
          <w:rFonts w:ascii="Times New Roman" w:cs="Times New Roman" w:eastAsia="Times New Roman" w:hAnsi="Times New Roman"/>
          <w:sz w:val="16"/>
          <w:szCs w:val="16"/>
          <w:color w:val="auto"/>
        </w:rPr>
        <w:t>: We invest heavily in R&amp;D and continuously bring new innovative solutions to market. For existing customers with integrations to CCC’s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platform, new solutions can be deployed into production environments as soon as configuration and training is complete, enabling our customers to keep up with rapidly changing industry trends and consumer expectations. We continuously update and enhance our software, deploying more than 1,400 releases in 2023, with a software release quality success rate averaging more than 96% since 2019.</w:t>
      </w:r>
    </w:p>
    <w:p>
      <w:pPr>
        <w:spacing w:after="0" w:line="68" w:lineRule="exact"/>
        <w:rPr>
          <w:rFonts w:ascii="Times New Roman" w:cs="Times New Roman" w:eastAsia="Times New Roman" w:hAnsi="Times New Roman"/>
          <w:sz w:val="16"/>
          <w:szCs w:val="16"/>
          <w:color w:val="auto"/>
        </w:rPr>
      </w:pPr>
    </w:p>
    <w:p>
      <w:pPr>
        <w:ind w:left="1020" w:right="240" w:hanging="503"/>
        <w:spacing w:after="0" w:line="274" w:lineRule="auto"/>
        <w:tabs>
          <w:tab w:leader="none" w:pos="10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Security and Quality</w:t>
      </w:r>
      <w:r>
        <w:rPr>
          <w:rFonts w:ascii="Times New Roman" w:cs="Times New Roman" w:eastAsia="Times New Roman" w:hAnsi="Times New Roman"/>
          <w:sz w:val="16"/>
          <w:szCs w:val="16"/>
          <w:color w:val="auto"/>
        </w:rPr>
        <w:t>: CCC’s software suite is provided as SaaS hosted in multiple geographically diverse hosting locations with data replication between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primary hosting locations and secondary locations in near real-time. CCC protects its services through a series of layered security controls and services, including but not limited to strong authentication, privileged access controls, malware detection and prevention controls, enhanced threat detection and response, secure application development controls, controls for data at rest, and in transmission, threat and prevention testing, software vulnerability disclosure program, benchmarking and 24x7 Security Operations Center (“SOC”) monitoring.</w:t>
      </w:r>
    </w:p>
    <w:p>
      <w:pPr>
        <w:spacing w:after="0" w:line="70" w:lineRule="exact"/>
        <w:rPr>
          <w:rFonts w:ascii="Times New Roman" w:cs="Times New Roman" w:eastAsia="Times New Roman" w:hAnsi="Times New Roman"/>
          <w:sz w:val="16"/>
          <w:szCs w:val="16"/>
          <w:color w:val="auto"/>
        </w:rPr>
      </w:pPr>
    </w:p>
    <w:p>
      <w:pPr>
        <w:ind w:left="1020" w:right="60" w:hanging="503"/>
        <w:spacing w:after="0" w:line="283" w:lineRule="auto"/>
        <w:tabs>
          <w:tab w:leader="none" w:pos="10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Availability and Uptime</w:t>
      </w:r>
      <w:r>
        <w:rPr>
          <w:rFonts w:ascii="Times New Roman" w:cs="Times New Roman" w:eastAsia="Times New Roman" w:hAnsi="Times New Roman"/>
          <w:sz w:val="16"/>
          <w:szCs w:val="16"/>
          <w:color w:val="auto"/>
        </w:rPr>
        <w:t>: CCC’s application environment is designed for high availability utilizing redundant databases, servers, network components,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storage, which maximizes availability through a network architecture designed to compartmentalize web, application, and database layers. Since 2019, CCC system availability has been 99.94%, meeting CCC’s customer service performance and processing commitments.</w:t>
      </w:r>
    </w:p>
    <w:p>
      <w:pPr>
        <w:spacing w:after="0" w:line="69" w:lineRule="exact"/>
        <w:rPr>
          <w:sz w:val="20"/>
          <w:szCs w:val="20"/>
          <w:color w:val="auto"/>
        </w:rPr>
      </w:pPr>
    </w:p>
    <w:p>
      <w:pPr>
        <w:ind w:right="40" w:firstLine="1033"/>
        <w:spacing w:after="0" w:line="275" w:lineRule="auto"/>
        <w:rPr>
          <w:sz w:val="20"/>
          <w:szCs w:val="20"/>
          <w:color w:val="auto"/>
        </w:rPr>
      </w:pPr>
      <w:r>
        <w:rPr>
          <w:rFonts w:ascii="Times New Roman" w:cs="Times New Roman" w:eastAsia="Times New Roman" w:hAnsi="Times New Roman"/>
          <w:sz w:val="16"/>
          <w:szCs w:val="16"/>
          <w:color w:val="auto"/>
        </w:rPr>
        <w:t>Our technology infrastructure offers proven performance at enterprise scale and is designed to support the future needs of our industry as data continues to proliferate. As of year-end 2023, we processed more than 275 terabytes of network traffic and execute nearly 5.2 billion database transactions each day. We have invested in hyperscale infrastructure, enabling us to effectively process and store extremely large amounts of information, photos, videos, and driving data. For example, we receive, process, and store nearly 800 million photos each year.</w:t>
      </w:r>
    </w:p>
    <w:p>
      <w:pPr>
        <w:spacing w:after="0" w:line="75" w:lineRule="exact"/>
        <w:rPr>
          <w:sz w:val="20"/>
          <w:szCs w:val="20"/>
          <w:color w:val="auto"/>
        </w:rPr>
      </w:pPr>
    </w:p>
    <w:p>
      <w:pPr>
        <w:ind w:right="40" w:firstLine="1033"/>
        <w:spacing w:after="0" w:line="275" w:lineRule="auto"/>
        <w:rPr>
          <w:sz w:val="20"/>
          <w:szCs w:val="20"/>
          <w:color w:val="auto"/>
        </w:rPr>
      </w:pPr>
      <w:r>
        <w:rPr>
          <w:rFonts w:ascii="Times New Roman" w:cs="Times New Roman" w:eastAsia="Times New Roman" w:hAnsi="Times New Roman"/>
          <w:sz w:val="16"/>
          <w:szCs w:val="16"/>
          <w:color w:val="auto"/>
        </w:rPr>
        <w:t>Our application layer delivers solutions to a base of more than 648,000 registered users. CCC applications power end-to-end customer experiences, digital workflows, AI, network management, and telematics capabilities across the markets we serve. Our AI approach is based on automated deep learning and parallel processing of mathematical models. This comprehensive approach to data science allows us to continuously improve the accuracy of existing models and release new models that automate time consuming workloads.</w:t>
      </w:r>
    </w:p>
    <w:p>
      <w:pPr>
        <w:spacing w:after="0" w:line="75" w:lineRule="exact"/>
        <w:rPr>
          <w:sz w:val="20"/>
          <w:szCs w:val="20"/>
          <w:color w:val="auto"/>
        </w:rPr>
      </w:pPr>
    </w:p>
    <w:p>
      <w:pPr>
        <w:ind w:right="40" w:firstLine="1033"/>
        <w:spacing w:after="0" w:line="275" w:lineRule="auto"/>
        <w:rPr>
          <w:sz w:val="20"/>
          <w:szCs w:val="20"/>
          <w:color w:val="auto"/>
        </w:rPr>
      </w:pPr>
      <w:r>
        <w:rPr>
          <w:rFonts w:ascii="Times New Roman" w:cs="Times New Roman" w:eastAsia="Times New Roman" w:hAnsi="Times New Roman"/>
          <w:sz w:val="16"/>
          <w:szCs w:val="16"/>
          <w:color w:val="auto"/>
        </w:rPr>
        <w:t>Network integrations across more than 300 insurers, approximately 29,500 repair facilities, the majority of OEMs and thousands of other ecosystem participants unlock the power of the CCC platform. Our network creates tremendous value for our customers, is not easily replicated, and sets us apart from other vertical software companies. We believe that integrating to the insurance economy is the only way to deliver full end-to-end digital workflows across insurance processes. Today we enable more than 500 million interface transactions each year.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Research and Development</w:t>
      </w:r>
    </w:p>
    <w:p>
      <w:pPr>
        <w:spacing w:after="0" w:line="129" w:lineRule="exact"/>
        <w:rPr>
          <w:sz w:val="20"/>
          <w:szCs w:val="20"/>
          <w:color w:val="auto"/>
        </w:rPr>
      </w:pPr>
    </w:p>
    <w:p>
      <w:pPr>
        <w:ind w:firstLine="1033"/>
        <w:spacing w:after="0" w:line="269" w:lineRule="auto"/>
        <w:rPr>
          <w:sz w:val="20"/>
          <w:szCs w:val="20"/>
          <w:color w:val="auto"/>
        </w:rPr>
      </w:pPr>
      <w:r>
        <w:rPr>
          <w:rFonts w:ascii="Times New Roman" w:cs="Times New Roman" w:eastAsia="Times New Roman" w:hAnsi="Times New Roman"/>
          <w:sz w:val="16"/>
          <w:szCs w:val="16"/>
          <w:color w:val="auto"/>
        </w:rPr>
        <w:t>Our market leading research and development efforts focus on enhancing our solutions to meet the complex requirements of our customers with a focus on capabilities, operational efficiency, security, and privacy in the cloud. In addition, we invest in new solutions that expand the breadth of our software offerings and create new capabilities for our customers, leveraging current technologies. Our research and development efforts are intended to help our customers improve their operations; drive greater digital engagement with their customers and business partners; and gather, store, and analyze data to improve business decisions. We also invest significantly in developing our solutions, services and necessary integrations to meet market requirements, including regulations, language, currency, and local terminology. This market-specific functionality must be updated regularly to stay current with regulatory changes in each market. We rely on a geographically dispersed engineering team, which has grown organically and through acquisitions.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Sales and Marketing</w:t>
      </w:r>
    </w:p>
    <w:p>
      <w:pPr>
        <w:spacing w:after="0" w:line="129" w:lineRule="exact"/>
        <w:rPr>
          <w:sz w:val="20"/>
          <w:szCs w:val="20"/>
          <w:color w:val="auto"/>
        </w:rPr>
      </w:pPr>
    </w:p>
    <w:p>
      <w:pPr>
        <w:jc w:val="both"/>
        <w:ind w:right="320" w:firstLine="1041"/>
        <w:spacing w:after="0" w:line="281" w:lineRule="auto"/>
        <w:tabs>
          <w:tab w:leader="none" w:pos="1398"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marketing and sales organizations directly engage with decision-makers and industry leaders across the P&amp;C insurance economy to drive software adoption. Our digital marketing provides CCC with a platform to execute highly targeted outreach to tens of thousands of active and prospective clients by customizing communications based on specific client needs or marketplace trends.</w:t>
      </w:r>
    </w:p>
    <w:p>
      <w:pPr>
        <w:spacing w:after="0" w:line="69" w:lineRule="exact"/>
        <w:rPr>
          <w:sz w:val="20"/>
          <w:szCs w:val="20"/>
          <w:color w:val="auto"/>
        </w:rPr>
      </w:pPr>
    </w:p>
    <w:p>
      <w:pPr>
        <w:ind w:right="20" w:firstLine="1033"/>
        <w:spacing w:after="0" w:line="275" w:lineRule="auto"/>
        <w:rPr>
          <w:sz w:val="20"/>
          <w:szCs w:val="20"/>
          <w:color w:val="auto"/>
        </w:rPr>
      </w:pPr>
      <w:r>
        <w:rPr>
          <w:rFonts w:ascii="Times New Roman" w:cs="Times New Roman" w:eastAsia="Times New Roman" w:hAnsi="Times New Roman"/>
          <w:sz w:val="16"/>
          <w:szCs w:val="16"/>
          <w:color w:val="auto"/>
        </w:rPr>
        <w:t>Our sales teams are structured to address the different needs of our markets. For our small and midsize business sales efforts, CCC employs a geographically dispersed account team structure to facilitate in-person demos and direct sales, along with an inside sales team. For larger insurance and automotive clients, CCC combines both enterprise and regional account teams with solutions and consulting services to lead marketing and sales efforts. Custom analysis, pilot programs, and highly consultative account teams drive customer software expansion and adoption.</w:t>
      </w:r>
    </w:p>
    <w:p>
      <w:pPr>
        <w:spacing w:after="0" w:line="75" w:lineRule="exact"/>
        <w:rPr>
          <w:sz w:val="20"/>
          <w:szCs w:val="20"/>
          <w:color w:val="auto"/>
        </w:rPr>
      </w:pPr>
    </w:p>
    <w:p>
      <w:pPr>
        <w:ind w:right="120" w:firstLine="1033"/>
        <w:spacing w:after="0" w:line="272" w:lineRule="auto"/>
        <w:rPr>
          <w:sz w:val="20"/>
          <w:szCs w:val="20"/>
          <w:color w:val="auto"/>
        </w:rPr>
      </w:pPr>
      <w:r>
        <w:rPr>
          <w:rFonts w:ascii="Times New Roman" w:cs="Times New Roman" w:eastAsia="Times New Roman" w:hAnsi="Times New Roman"/>
          <w:sz w:val="16"/>
          <w:szCs w:val="16"/>
          <w:color w:val="auto"/>
        </w:rPr>
        <w:t>As a thought leader across the P&amp;C insurance economy, CCC delivers valued data and perspectives to these industries. As the publisher of Crash Course, a robust industry dataset on Auto Physical Damage and Casualty claims trends, CCC engages clients and prospects with custom content, industry analysis, and unique insights. Monthly reports and trends data underpin our marketing outreach generating awareness in trade journals, industry presentations, and online publications. CCC collaborates with partners, clients, and thought leaders to market our solutions and expand our network. Clients participate with us in industry roundtables, including CCC-hosted advisory councils across each of the industries we serve. Additionally, CCC hosts an invitation-only Industry Conference annually.</w:t>
      </w:r>
    </w:p>
    <w:p>
      <w:pPr>
        <w:spacing w:after="0" w:line="78" w:lineRule="exact"/>
        <w:rPr>
          <w:sz w:val="20"/>
          <w:szCs w:val="20"/>
          <w:color w:val="auto"/>
        </w:rPr>
      </w:pPr>
    </w:p>
    <w:p>
      <w:pPr>
        <w:ind w:right="80" w:firstLine="1033"/>
        <w:spacing w:after="0" w:line="281" w:lineRule="auto"/>
        <w:rPr>
          <w:sz w:val="20"/>
          <w:szCs w:val="20"/>
          <w:color w:val="auto"/>
        </w:rPr>
      </w:pPr>
      <w:r>
        <w:rPr>
          <w:rFonts w:ascii="Times New Roman" w:cs="Times New Roman" w:eastAsia="Times New Roman" w:hAnsi="Times New Roman"/>
          <w:sz w:val="16"/>
          <w:szCs w:val="16"/>
          <w:color w:val="auto"/>
        </w:rPr>
        <w:t>We leverage our strategic partnerships and networks to drive sales and market software functionality. Suppliers and clients on the CCC network, including major parts suppliers, diagnostics service providers, insurers, repair facilities and OEMs, help to market CCC software. These co-marketing efforts expand our network and reinforce client value.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Customers</w:t>
      </w:r>
    </w:p>
    <w:p>
      <w:pPr>
        <w:spacing w:after="0" w:line="129" w:lineRule="exact"/>
        <w:rPr>
          <w:sz w:val="20"/>
          <w:szCs w:val="20"/>
          <w:color w:val="auto"/>
        </w:rPr>
      </w:pPr>
    </w:p>
    <w:p>
      <w:pPr>
        <w:ind w:right="20" w:firstLine="1033"/>
        <w:spacing w:after="0" w:line="269" w:lineRule="auto"/>
        <w:rPr>
          <w:sz w:val="20"/>
          <w:szCs w:val="20"/>
          <w:color w:val="auto"/>
        </w:rPr>
      </w:pPr>
      <w:r>
        <w:rPr>
          <w:rFonts w:ascii="Times New Roman" w:cs="Times New Roman" w:eastAsia="Times New Roman" w:hAnsi="Times New Roman"/>
          <w:sz w:val="16"/>
          <w:szCs w:val="16"/>
          <w:color w:val="auto"/>
        </w:rPr>
        <w:t>We believe we have strong customer relationships across the more than 35,000 total customers in the end markets we serve, and these relationships are a key component of our success given the long-term nature of our contracts and interconnectedness of our network.</w:t>
      </w: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4" w:right="359" w:bottom="1440" w:gutter="0" w:footer="0" w:header="0"/>
        </w:sectPr>
      </w:pPr>
    </w:p>
    <w:bookmarkStart w:id="11" w:name="page12"/>
    <w:bookmarkEnd w:id="11"/>
    <w:p>
      <w:pPr>
        <w:ind w:right="60" w:firstLine="1033"/>
        <w:spacing w:after="0" w:line="275" w:lineRule="auto"/>
        <w:rPr>
          <w:sz w:val="20"/>
          <w:szCs w:val="20"/>
          <w:color w:val="auto"/>
        </w:rPr>
      </w:pPr>
      <w:r>
        <w:rPr>
          <w:rFonts w:ascii="Times New Roman" w:cs="Times New Roman" w:eastAsia="Times New Roman" w:hAnsi="Times New Roman"/>
          <w:sz w:val="16"/>
          <w:szCs w:val="16"/>
          <w:color w:val="auto"/>
        </w:rPr>
        <w:t>We have more than 300 total insurance customers in the U.S., comprised of national carriers and regional carriers. In 2022, our national carrier customers included 27 of the top 30 automotive insurers based on DWP, with average customer relationships spanning more than 10 years, and numerous exclusive arrangements. Our national carrier customers also represent 27 of the top 30 overall P&amp;C insurers in the U.S based on DWP. We work with hundreds of regional carriers, and across all our insurance customers our average contract is approximately three to five years in duration.</w:t>
      </w:r>
    </w:p>
    <w:p>
      <w:pPr>
        <w:spacing w:after="0" w:line="75" w:lineRule="exact"/>
        <w:rPr>
          <w:sz w:val="20"/>
          <w:szCs w:val="20"/>
          <w:color w:val="auto"/>
        </w:rPr>
      </w:pPr>
    </w:p>
    <w:p>
      <w:pPr>
        <w:ind w:right="260" w:firstLine="1033"/>
        <w:spacing w:after="0" w:line="281" w:lineRule="auto"/>
        <w:rPr>
          <w:sz w:val="20"/>
          <w:szCs w:val="20"/>
          <w:color w:val="auto"/>
        </w:rPr>
      </w:pPr>
      <w:r>
        <w:rPr>
          <w:rFonts w:ascii="Times New Roman" w:cs="Times New Roman" w:eastAsia="Times New Roman" w:hAnsi="Times New Roman"/>
          <w:sz w:val="16"/>
          <w:szCs w:val="16"/>
          <w:color w:val="auto"/>
        </w:rPr>
        <w:t>We have approximately 29,500 automotive collision repair customers, including national MSOs, regional MSOs, independent repair facilities, and automotive dealers that perform collision repair. We partner with all of the national MSOs across the U.S. Our average repair facility contract is approximately 3 years in duration, though MSO customers can have longer contract terms.</w:t>
      </w:r>
    </w:p>
    <w:p>
      <w:pPr>
        <w:spacing w:after="0" w:line="69" w:lineRule="exact"/>
        <w:rPr>
          <w:sz w:val="20"/>
          <w:szCs w:val="20"/>
          <w:color w:val="auto"/>
        </w:rPr>
      </w:pPr>
    </w:p>
    <w:p>
      <w:pPr>
        <w:ind w:right="120" w:firstLine="1033"/>
        <w:spacing w:after="0" w:line="281" w:lineRule="auto"/>
        <w:rPr>
          <w:sz w:val="20"/>
          <w:szCs w:val="20"/>
          <w:color w:val="auto"/>
        </w:rPr>
      </w:pPr>
      <w:r>
        <w:rPr>
          <w:rFonts w:ascii="Times New Roman" w:cs="Times New Roman" w:eastAsia="Times New Roman" w:hAnsi="Times New Roman"/>
          <w:sz w:val="16"/>
          <w:szCs w:val="16"/>
          <w:color w:val="auto"/>
        </w:rPr>
        <w:t>In addition to insurance and repair, our customers include approximately 5,000 parts suppliers, 13 of the top 15 automotive manufacturers as of 2023, and other companies that participate in the P&amp;C insurance economy. Our software solutions and platform are designed to create value for our customers by boosting efficiency, improving cycle time, increasing innovation potential, and enhancing end-customer experiences.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Competition</w:t>
      </w:r>
    </w:p>
    <w:p>
      <w:pPr>
        <w:spacing w:after="0" w:line="129" w:lineRule="exact"/>
        <w:rPr>
          <w:sz w:val="20"/>
          <w:szCs w:val="20"/>
          <w:color w:val="auto"/>
        </w:rPr>
      </w:pPr>
    </w:p>
    <w:p>
      <w:pPr>
        <w:jc w:val="both"/>
        <w:ind w:firstLine="1033"/>
        <w:spacing w:after="0" w:line="281" w:lineRule="auto"/>
        <w:rPr>
          <w:sz w:val="20"/>
          <w:szCs w:val="20"/>
          <w:color w:val="auto"/>
        </w:rPr>
      </w:pPr>
      <w:r>
        <w:rPr>
          <w:rFonts w:ascii="Times New Roman" w:cs="Times New Roman" w:eastAsia="Times New Roman" w:hAnsi="Times New Roman"/>
          <w:sz w:val="16"/>
          <w:szCs w:val="16"/>
          <w:color w:val="auto"/>
        </w:rPr>
        <w:t>The P&amp;C insurance economy software market is highly competitive and fragmented. This market is subject to changing technology, shifting customer needs, and introductions of new and innovative software solutions. Our competitors vary in size, breadth, and scope of their solutions. Our current principal competitors include the following:</w:t>
      </w:r>
    </w:p>
    <w:p>
      <w:pPr>
        <w:spacing w:after="0" w:line="65" w:lineRule="exact"/>
        <w:rPr>
          <w:sz w:val="20"/>
          <w:szCs w:val="20"/>
          <w:color w:val="auto"/>
        </w:rPr>
      </w:pPr>
    </w:p>
    <w:p>
      <w:pPr>
        <w:ind w:left="1020" w:right="100" w:hanging="503"/>
        <w:spacing w:after="0" w:line="303" w:lineRule="auto"/>
        <w:tabs>
          <w:tab w:leader="none" w:pos="10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Internally developed software</w:t>
      </w:r>
      <w:r>
        <w:rPr>
          <w:rFonts w:ascii="Times New Roman" w:cs="Times New Roman" w:eastAsia="Times New Roman" w:hAnsi="Times New Roman"/>
          <w:sz w:val="16"/>
          <w:szCs w:val="16"/>
          <w:color w:val="auto"/>
        </w:rPr>
        <w:t>: Our large customers have sufficient IT resources to maintain and update their own proprietary internal systems and to invest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 new technology capabilities. Often these in-house technology programs will be supported by large-scale consulting firms.</w:t>
      </w:r>
    </w:p>
    <w:p>
      <w:pPr>
        <w:spacing w:after="0" w:line="48" w:lineRule="exact"/>
        <w:rPr>
          <w:rFonts w:ascii="Times New Roman" w:cs="Times New Roman" w:eastAsia="Times New Roman" w:hAnsi="Times New Roman"/>
          <w:sz w:val="16"/>
          <w:szCs w:val="16"/>
          <w:color w:val="auto"/>
        </w:rPr>
      </w:pPr>
    </w:p>
    <w:p>
      <w:pPr>
        <w:ind w:left="1020" w:right="40" w:hanging="503"/>
        <w:spacing w:after="0" w:line="283" w:lineRule="auto"/>
        <w:tabs>
          <w:tab w:leader="none" w:pos="10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P&amp;C insurance software vendors</w:t>
      </w:r>
      <w:r>
        <w:rPr>
          <w:rFonts w:ascii="Times New Roman" w:cs="Times New Roman" w:eastAsia="Times New Roman" w:hAnsi="Times New Roman"/>
          <w:sz w:val="16"/>
          <w:szCs w:val="16"/>
          <w:color w:val="auto"/>
        </w:rPr>
        <w:t>: A number of vendors provide software solutions that are specifically designed to meet the needs of the P&amp;C insurance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industry, including core systems providers, underwriting data and software providers, and claims software providers. Some of these vendors have supporting ecosystems that enable integration to third parties to facilitate interaction with the supporting P&amp;C insurance economy.</w:t>
      </w:r>
    </w:p>
    <w:p>
      <w:pPr>
        <w:spacing w:after="0" w:line="64" w:lineRule="exact"/>
        <w:rPr>
          <w:rFonts w:ascii="Times New Roman" w:cs="Times New Roman" w:eastAsia="Times New Roman" w:hAnsi="Times New Roman"/>
          <w:sz w:val="16"/>
          <w:szCs w:val="16"/>
          <w:color w:val="auto"/>
        </w:rPr>
      </w:pPr>
    </w:p>
    <w:p>
      <w:pPr>
        <w:ind w:left="1020" w:right="20" w:hanging="503"/>
        <w:spacing w:after="0" w:line="303" w:lineRule="auto"/>
        <w:tabs>
          <w:tab w:leader="none" w:pos="10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Other ecosystem software vendors: </w:t>
      </w:r>
      <w:r>
        <w:rPr>
          <w:rFonts w:ascii="Times New Roman" w:cs="Times New Roman" w:eastAsia="Times New Roman" w:hAnsi="Times New Roman"/>
          <w:sz w:val="16"/>
          <w:szCs w:val="16"/>
          <w:color w:val="auto"/>
        </w:rPr>
        <w:t>Other established vendors and startups offer software targeting specific needs for certain segments of the P&amp;C insurance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economy, such as collision repair facility software solutions and parts e-commerce platforms.</w:t>
      </w:r>
    </w:p>
    <w:p>
      <w:pPr>
        <w:spacing w:after="0" w:line="52" w:lineRule="exact"/>
        <w:rPr>
          <w:sz w:val="20"/>
          <w:szCs w:val="20"/>
          <w:color w:val="auto"/>
        </w:rPr>
      </w:pPr>
    </w:p>
    <w:p>
      <w:pPr>
        <w:ind w:right="80" w:firstLine="1033"/>
        <w:spacing w:after="0" w:line="281" w:lineRule="auto"/>
        <w:rPr>
          <w:sz w:val="20"/>
          <w:szCs w:val="20"/>
          <w:color w:val="auto"/>
        </w:rPr>
      </w:pPr>
      <w:r>
        <w:rPr>
          <w:rFonts w:ascii="Times New Roman" w:cs="Times New Roman" w:eastAsia="Times New Roman" w:hAnsi="Times New Roman"/>
          <w:sz w:val="16"/>
          <w:szCs w:val="16"/>
          <w:color w:val="auto"/>
        </w:rPr>
        <w:t>Competitive factors in our industry will vary across solution and ecosystem segments. The principal competitive factors include software functionality, performance and value delivery, innovation potential, network breadth, implementation and support, and customer references. We believe that we compete favorably on the basis of each of these factors.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Intellectual Property</w:t>
      </w:r>
    </w:p>
    <w:p>
      <w:pPr>
        <w:spacing w:after="0" w:line="12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We own or have pending patents and patent applications, which generally apply to our software. As of December 31, 2023, we owned 30 issued U.S.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patents, which are scheduled to expire between April 2026 and December 2040, and 12 patent applications pending for examination in the U.S.</w:t>
      </w:r>
    </w:p>
    <w:p>
      <w:pPr>
        <w:spacing w:after="0" w:line="119" w:lineRule="exact"/>
        <w:rPr>
          <w:sz w:val="20"/>
          <w:szCs w:val="20"/>
          <w:color w:val="auto"/>
        </w:rPr>
      </w:pPr>
    </w:p>
    <w:p>
      <w:pPr>
        <w:ind w:right="200" w:firstLine="1033"/>
        <w:spacing w:after="0" w:line="281" w:lineRule="auto"/>
        <w:rPr>
          <w:sz w:val="20"/>
          <w:szCs w:val="20"/>
          <w:color w:val="auto"/>
        </w:rPr>
      </w:pPr>
      <w:r>
        <w:rPr>
          <w:rFonts w:ascii="Times New Roman" w:cs="Times New Roman" w:eastAsia="Times New Roman" w:hAnsi="Times New Roman"/>
          <w:sz w:val="16"/>
          <w:szCs w:val="16"/>
          <w:color w:val="auto"/>
        </w:rPr>
        <w:t>In addition, we enter into confidentiality and proprietary rights agreements with employees, consultants, contractors and business partners, and employees and contractors are also subject to invention assignment provisions. As part of our contracting process with third parties, we use contract terms such as limited licenses, restrictions on use, and confidentiality, as additional measures to protect our intellectual property.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Environmental, Social and Governance (“ESG”)</w:t>
      </w:r>
    </w:p>
    <w:p>
      <w:pPr>
        <w:spacing w:after="0" w:line="129" w:lineRule="exact"/>
        <w:rPr>
          <w:sz w:val="20"/>
          <w:szCs w:val="20"/>
          <w:color w:val="auto"/>
        </w:rPr>
      </w:pPr>
    </w:p>
    <w:p>
      <w:pPr>
        <w:ind w:right="160" w:firstLine="1033"/>
        <w:spacing w:after="0" w:line="271" w:lineRule="auto"/>
        <w:rPr>
          <w:sz w:val="20"/>
          <w:szCs w:val="20"/>
          <w:color w:val="auto"/>
        </w:rPr>
      </w:pPr>
      <w:r>
        <w:rPr>
          <w:rFonts w:ascii="Times New Roman" w:cs="Times New Roman" w:eastAsia="Times New Roman" w:hAnsi="Times New Roman"/>
          <w:sz w:val="16"/>
          <w:szCs w:val="16"/>
          <w:color w:val="auto"/>
        </w:rPr>
        <w:t>At CCC, we are committed to conducting our business in a responsible and sustainable manner. Our ESG approach is designed to align with our corporate strategy and our mission to keep people’s lives moving forward when it matters most. Our Board has delegated responsibility for developing and implementing goals regarding environmental, social, and governance and sustainability matters to the Nominating and Corporate Governance Committee and has also directed that the Human Capital and Compensation Committee participate and provide oversight and guidance on social and culture areas affecting ESG-related matters. The Board and the Audit Committee oversee our governance and risk management activities. We have a cross-functional ESG working group responsible for integrating sustainability, responsible practices, and stakeholder engagement into our operations, and have conducted an ESG issues assessment and performed a greenhouse gas emissions assessment.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Human Capital Management</w:t>
      </w:r>
    </w:p>
    <w:p>
      <w:pPr>
        <w:spacing w:after="0" w:line="129" w:lineRule="exact"/>
        <w:rPr>
          <w:sz w:val="20"/>
          <w:szCs w:val="20"/>
          <w:color w:val="auto"/>
        </w:rPr>
      </w:pPr>
    </w:p>
    <w:p>
      <w:pPr>
        <w:ind w:right="80" w:firstLine="1033"/>
        <w:spacing w:after="0" w:line="298" w:lineRule="auto"/>
        <w:rPr>
          <w:sz w:val="20"/>
          <w:szCs w:val="20"/>
          <w:color w:val="auto"/>
        </w:rPr>
      </w:pPr>
      <w:r>
        <w:rPr>
          <w:rFonts w:ascii="Times New Roman" w:cs="Times New Roman" w:eastAsia="Times New Roman" w:hAnsi="Times New Roman"/>
          <w:sz w:val="16"/>
          <w:szCs w:val="16"/>
          <w:color w:val="auto"/>
        </w:rPr>
        <w:t>As of December 31, 2023, we had approximately 2,325 employees and 600 contingent employees. As of December 31, 2023, we had approximately 2,210 employees in the U.S. and approximately 115 employees internationally. None of our employees are represented by a labor union and we have not had any work stoppages.</w:t>
      </w:r>
    </w:p>
    <w:p>
      <w:pPr>
        <w:spacing w:after="0" w:line="70" w:lineRule="exact"/>
        <w:rPr>
          <w:sz w:val="20"/>
          <w:szCs w:val="20"/>
          <w:color w:val="auto"/>
        </w:rPr>
      </w:pPr>
    </w:p>
    <w:p>
      <w:pPr>
        <w:ind w:right="220" w:firstLine="1033"/>
        <w:spacing w:after="0" w:line="298" w:lineRule="auto"/>
        <w:rPr>
          <w:sz w:val="20"/>
          <w:szCs w:val="20"/>
          <w:color w:val="auto"/>
        </w:rPr>
      </w:pPr>
      <w:r>
        <w:rPr>
          <w:rFonts w:ascii="Times New Roman" w:cs="Times New Roman" w:eastAsia="Times New Roman" w:hAnsi="Times New Roman"/>
          <w:sz w:val="16"/>
          <w:szCs w:val="16"/>
          <w:color w:val="auto"/>
        </w:rPr>
        <w:t>We have continued to prioritize the health and safety of our employees, offering a flexible work model that balances business requirements and employee preferences. We believe this approach helped us continue to retain our current employees and remain competitive when hiring future talent.</w:t>
      </w:r>
    </w:p>
    <w:p>
      <w:pPr>
        <w:spacing w:after="0" w:line="56" w:lineRule="exact"/>
        <w:rPr>
          <w:sz w:val="20"/>
          <w:szCs w:val="20"/>
          <w:color w:val="auto"/>
        </w:rPr>
      </w:pPr>
    </w:p>
    <w:p>
      <w:pPr>
        <w:ind w:right="40" w:firstLine="1033"/>
        <w:spacing w:after="0" w:line="266" w:lineRule="auto"/>
        <w:rPr>
          <w:sz w:val="20"/>
          <w:szCs w:val="20"/>
          <w:color w:val="auto"/>
        </w:rPr>
      </w:pPr>
      <w:r>
        <w:rPr>
          <w:rFonts w:ascii="Times New Roman" w:cs="Times New Roman" w:eastAsia="Times New Roman" w:hAnsi="Times New Roman"/>
          <w:sz w:val="16"/>
          <w:szCs w:val="16"/>
          <w:color w:val="auto"/>
        </w:rPr>
        <w:t>Our highly engaged workforce is a result of employees’ collective demonstration of our values—integrity, customer-focus, innovation, inclusion and diversity ("I&amp;D"), tenacity, and connection—as well as our collaborative and results-oriented culture. Our annual performance management process embeds behavioral competencies holding our leaders accountable for maintaining highly engaged teams and supporting the development of others. Every employee is encouraged to work with their manager to create an individual development plan focused on their career</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8" w:right="359" w:bottom="1440" w:gutter="0" w:footer="0" w:header="0"/>
        </w:sectPr>
      </w:pPr>
    </w:p>
    <w:bookmarkStart w:id="12" w:name="page13"/>
    <w:bookmarkEnd w:id="12"/>
    <w:p>
      <w:pPr>
        <w:jc w:val="both"/>
        <w:ind w:right="220"/>
        <w:spacing w:after="0" w:line="281" w:lineRule="auto"/>
        <w:rPr>
          <w:sz w:val="20"/>
          <w:szCs w:val="20"/>
          <w:color w:val="auto"/>
        </w:rPr>
      </w:pPr>
      <w:r>
        <w:rPr>
          <w:rFonts w:ascii="Times New Roman" w:cs="Times New Roman" w:eastAsia="Times New Roman" w:hAnsi="Times New Roman"/>
          <w:sz w:val="16"/>
          <w:szCs w:val="16"/>
          <w:color w:val="auto"/>
        </w:rPr>
        <w:t>aspirations and documenting objectives they will strive to achieve through opportunities such as self-directed e-learning, soft-skill and technical/product training via our Learning Academy, professional certifications, stretch assignments, and our formal mentorship program. We also offer tuition reimbursement for employees who wish to continue their formal education.</w:t>
      </w:r>
    </w:p>
    <w:p>
      <w:pPr>
        <w:spacing w:after="0" w:line="69" w:lineRule="exact"/>
        <w:rPr>
          <w:sz w:val="20"/>
          <w:szCs w:val="20"/>
          <w:color w:val="auto"/>
        </w:rPr>
      </w:pPr>
    </w:p>
    <w:p>
      <w:pPr>
        <w:ind w:right="20" w:firstLine="1033"/>
        <w:spacing w:after="0" w:line="275" w:lineRule="auto"/>
        <w:rPr>
          <w:sz w:val="20"/>
          <w:szCs w:val="20"/>
          <w:color w:val="auto"/>
        </w:rPr>
      </w:pPr>
      <w:r>
        <w:rPr>
          <w:rFonts w:ascii="Times New Roman" w:cs="Times New Roman" w:eastAsia="Times New Roman" w:hAnsi="Times New Roman"/>
          <w:sz w:val="16"/>
          <w:szCs w:val="16"/>
          <w:color w:val="auto"/>
        </w:rPr>
        <w:t>Our goal is to hire individuals who share the passion for and commitment to the work we do. We offer a comprehensive compensation and benefits program that includes competitive wages, a 401(k) with match, an Employee Stock Purchase Program, and a holistic wellness program. Recognizing the importance of work/life balance to mental and physical health, we offer an Employee Assistance Program and paid time off (“PTO”) plan that we encourage employees to use. Ongoing market evaluation help us to identify areas where additional investment may be needed to maintain competitiveness.</w:t>
      </w:r>
    </w:p>
    <w:p>
      <w:pPr>
        <w:spacing w:after="0" w:line="75" w:lineRule="exact"/>
        <w:rPr>
          <w:sz w:val="20"/>
          <w:szCs w:val="20"/>
          <w:color w:val="auto"/>
        </w:rPr>
      </w:pPr>
    </w:p>
    <w:p>
      <w:pPr>
        <w:ind w:right="20" w:firstLine="1033"/>
        <w:spacing w:after="0" w:line="275" w:lineRule="auto"/>
        <w:rPr>
          <w:sz w:val="20"/>
          <w:szCs w:val="20"/>
          <w:color w:val="auto"/>
        </w:rPr>
      </w:pPr>
      <w:r>
        <w:rPr>
          <w:rFonts w:ascii="Times New Roman" w:cs="Times New Roman" w:eastAsia="Times New Roman" w:hAnsi="Times New Roman"/>
          <w:sz w:val="16"/>
          <w:szCs w:val="16"/>
          <w:color w:val="auto"/>
        </w:rPr>
        <w:t>To ensure we are advancing our under-represented hiring, we have partnered with several job boards and event-based recruiting companies who help to expand our reach to a broader, more diverse set of candidates. We have a formal internship program, targeting leading universities throughout the country and make explicit efforts to partner with diverse universities. Through our focus on increasing the diversity of our candidate pool, we increased the number of 2023 new hires from under-represented backgrounds as compared to the prior year.</w:t>
      </w:r>
    </w:p>
    <w:p>
      <w:pPr>
        <w:spacing w:after="0" w:line="75" w:lineRule="exact"/>
        <w:rPr>
          <w:sz w:val="20"/>
          <w:szCs w:val="20"/>
          <w:color w:val="auto"/>
        </w:rPr>
      </w:pPr>
    </w:p>
    <w:p>
      <w:pPr>
        <w:ind w:right="40" w:firstLine="1033"/>
        <w:spacing w:after="0" w:line="267" w:lineRule="auto"/>
        <w:rPr>
          <w:sz w:val="20"/>
          <w:szCs w:val="20"/>
          <w:color w:val="auto"/>
        </w:rPr>
      </w:pPr>
      <w:r>
        <w:rPr>
          <w:rFonts w:ascii="Times New Roman" w:cs="Times New Roman" w:eastAsia="Times New Roman" w:hAnsi="Times New Roman"/>
          <w:sz w:val="16"/>
          <w:szCs w:val="16"/>
          <w:color w:val="auto"/>
        </w:rPr>
        <w:t>We believe a diverse workforce at all levels and an inclusive culture are foundational to our success and will enable us to better serve our customers. We have a Diversity Advisory Council (“DAC”) whose mission is to support the development and execution of our I&amp;D strategy. Through the DAC, we continued to organize several unique cultural/heritage events in 2023 to celebrate and honor the diversity of our team members and support employee-driven employee resource groups (“ERGs”)</w:t>
      </w:r>
    </w:p>
    <w:p>
      <w:pPr>
        <w:spacing w:after="0" w:line="1"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16"/>
          <w:szCs w:val="16"/>
          <w:color w:val="auto"/>
        </w:rPr>
        <w:t>– the African American Alliance, the Women’s Network, and the Growing Professionals ERG. In 2023, we also added a fourth ERG - PROUD, made up of employees who identify as LGBTQ+ and their allies.</w:t>
      </w:r>
    </w:p>
    <w:p>
      <w:pPr>
        <w:spacing w:after="0" w:line="64" w:lineRule="exact"/>
        <w:rPr>
          <w:sz w:val="20"/>
          <w:szCs w:val="20"/>
          <w:color w:val="auto"/>
        </w:rPr>
      </w:pPr>
    </w:p>
    <w:p>
      <w:pPr>
        <w:ind w:firstLine="1033"/>
        <w:spacing w:after="0" w:line="266" w:lineRule="auto"/>
        <w:rPr>
          <w:sz w:val="20"/>
          <w:szCs w:val="20"/>
          <w:color w:val="auto"/>
        </w:rPr>
      </w:pPr>
      <w:r>
        <w:rPr>
          <w:rFonts w:ascii="Times New Roman" w:cs="Times New Roman" w:eastAsia="Times New Roman" w:hAnsi="Times New Roman"/>
          <w:sz w:val="16"/>
          <w:szCs w:val="16"/>
          <w:color w:val="auto"/>
        </w:rPr>
        <w:t>We recognize that women and people of color continue to be under-represented in the technology and collision repair industries, and that is why we prioritize our corporate giving to those organizations whose mission is to increase access and exposure to careers in these fields. In 2023, we continued our support of Black Girls Code and the Thurgood Marshall College Foundation, as well as the Collision Repair Education Foundation, Collision Industry Foundation, Women’s Industry Network, and the National Society of Black Engineers.</w:t>
      </w:r>
    </w:p>
    <w:p>
      <w:pPr>
        <w:spacing w:after="0" w:line="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8" w:right="3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129" w:lineRule="exact"/>
        <w:rPr>
          <w:sz w:val="20"/>
          <w:szCs w:val="20"/>
          <w:color w:val="auto"/>
        </w:rPr>
      </w:pPr>
    </w:p>
    <w:p>
      <w:pPr>
        <w:ind w:right="20" w:firstLine="1033"/>
        <w:spacing w:after="0" w:line="271" w:lineRule="auto"/>
        <w:rPr>
          <w:sz w:val="20"/>
          <w:szCs w:val="20"/>
          <w:color w:val="auto"/>
        </w:rPr>
      </w:pPr>
      <w:r>
        <w:rPr>
          <w:rFonts w:ascii="Times New Roman" w:cs="Times New Roman" w:eastAsia="Times New Roman" w:hAnsi="Times New Roman"/>
          <w:sz w:val="16"/>
          <w:szCs w:val="16"/>
          <w:color w:val="auto"/>
        </w:rPr>
        <w:t>Investing in our securities involves risks. You should consider carefully the risks and uncertainties described below, together with all of the other information in this Annual Report on Form 10-K, including the section titled “Management’s Discussion and Analysis of Financial Condition and Results of Operations” and our consolidated financial statements and related notes, before deciding whether to purchase any of our securities. These risk factors are not exhaustive and investors are encouraged to perform their own investigation with respect to our business, financial condition and prospects. We may face additional risks and uncertainties that are not presently known to us or that we currently deem immaterial, which may also impair our business or financial condition. In such event, the market price of our securities could decline, and you could lose all or part of your investment.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Risks Relating to Business and Industry</w:t>
      </w:r>
    </w:p>
    <w:p>
      <w:pPr>
        <w:spacing w:after="0" w:line="125" w:lineRule="exact"/>
        <w:rPr>
          <w:sz w:val="20"/>
          <w:szCs w:val="20"/>
          <w:color w:val="auto"/>
        </w:rPr>
      </w:pPr>
    </w:p>
    <w:p>
      <w:pPr>
        <w:jc w:val="both"/>
        <w:ind w:right="160" w:firstLine="1033"/>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A substantial portion of our revenue is derived from a relatively small number of customers in the P&amp;C insurance and automotive collision industries, and the loss of any of these customers, or a significant revenue reduction from any of these customers, could materially impact our business, results of operations and financial condition.</w:t>
      </w:r>
    </w:p>
    <w:p>
      <w:pPr>
        <w:spacing w:after="0" w:line="69" w:lineRule="exact"/>
        <w:rPr>
          <w:sz w:val="20"/>
          <w:szCs w:val="20"/>
          <w:color w:val="auto"/>
        </w:rPr>
      </w:pPr>
    </w:p>
    <w:p>
      <w:pPr>
        <w:ind w:right="20" w:firstLine="1033"/>
        <w:spacing w:after="0" w:line="269" w:lineRule="auto"/>
        <w:rPr>
          <w:sz w:val="20"/>
          <w:szCs w:val="20"/>
          <w:color w:val="auto"/>
        </w:rPr>
      </w:pPr>
      <w:r>
        <w:rPr>
          <w:rFonts w:ascii="Times New Roman" w:cs="Times New Roman" w:eastAsia="Times New Roman" w:hAnsi="Times New Roman"/>
          <w:sz w:val="16"/>
          <w:szCs w:val="16"/>
          <w:color w:val="auto"/>
        </w:rPr>
        <w:t>Our revenue is dependent on customers in the P&amp;C insurance and automotive collision industries, and historically a relatively small number of customers have accounted for a significant portion of our revenue. There were no customers which individually accounted for more than 10% of our total revenue during the year ended December 31, 2023. We expect that we will continue to depend upon a relatively small number of customers for a significant portion of our revenue for the foreseeable future. As a result, if we fail to successfully renew our contracts with one or more of these customers, or if any of these customers reduce or cancel services or defer purchases, or otherwise terminate their relationship with us, our business, results of operations and financial condition would be adversely impacted. Some of our SaaS arrangements with our customers can be canceled or not renewed by the customer after the expiration of the SaaS term, as applicable, on relatively short notice. Additionally, we may be involved in disputes with our customers in the future and such disputes may impact our relationship with these customers. The loss of business from any of our significant customers, including from cancellations or due to disputes, could materially impact our business, results of operations and financial condition.</w:t>
      </w:r>
    </w:p>
    <w:p>
      <w:pPr>
        <w:spacing w:after="0" w:line="74" w:lineRule="exact"/>
        <w:rPr>
          <w:sz w:val="20"/>
          <w:szCs w:val="20"/>
          <w:color w:val="auto"/>
        </w:rPr>
      </w:pPr>
    </w:p>
    <w:p>
      <w:pPr>
        <w:ind w:right="220" w:firstLine="1033"/>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Our large customers have negotiating leverage, which may require us to agree to terms and conditions that result in increased cost of sales, decreased revenue, lower average selling prices and gross margins, and increased contractual liability risks, all of which could harm our results of operations.</w:t>
      </w:r>
    </w:p>
    <w:p>
      <w:pPr>
        <w:spacing w:after="0" w:line="52" w:lineRule="exact"/>
        <w:rPr>
          <w:sz w:val="20"/>
          <w:szCs w:val="20"/>
          <w:color w:val="auto"/>
        </w:rPr>
      </w:pPr>
    </w:p>
    <w:p>
      <w:pPr>
        <w:ind w:firstLine="1033"/>
        <w:spacing w:after="0" w:line="271" w:lineRule="auto"/>
        <w:rPr>
          <w:sz w:val="20"/>
          <w:szCs w:val="20"/>
          <w:color w:val="auto"/>
        </w:rPr>
      </w:pPr>
      <w:r>
        <w:rPr>
          <w:rFonts w:ascii="Times New Roman" w:cs="Times New Roman" w:eastAsia="Times New Roman" w:hAnsi="Times New Roman"/>
          <w:sz w:val="16"/>
          <w:szCs w:val="16"/>
          <w:color w:val="auto"/>
        </w:rPr>
        <w:t>Some of our customers include the largest P&amp;C insurers and auto collision repair organizations in the U.S. These customers have significant bargaining power when negotiating new licenses or subscriptions or renewals of existing agreements and have the ability to buy similar solutions from other vendors or develop such systems internally. These customers have and may continue to seek advantageous pricing and other commercial and performance terms that may require us to develop additional features in the solutions we sell to them or add complexity to our customer agreements. In the past, we have been required to, and may in the future be required to, reduce the average selling price of our solutions or otherwise agree to materially less favorable terms in response to these pressures. If we are unable to avoid reducing our average selling prices or renegotiate our contracts on commercially reasonable terms, our results of operations could be adversely impacted.</w:t>
      </w:r>
    </w:p>
    <w:p>
      <w:pPr>
        <w:spacing w:after="0" w:line="72" w:lineRule="exact"/>
        <w:rPr>
          <w:sz w:val="20"/>
          <w:szCs w:val="20"/>
          <w:color w:val="auto"/>
        </w:rPr>
      </w:pPr>
    </w:p>
    <w:p>
      <w:pPr>
        <w:ind w:right="540" w:firstLine="1033"/>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Our business depends on our brand, and if we fail to develop, maintain, and enhance our brand and reputation cost-effectively, our business and financial condition may be adversely affected.</w:t>
      </w:r>
    </w:p>
    <w:p>
      <w:pPr>
        <w:spacing w:after="0" w:line="52" w:lineRule="exact"/>
        <w:rPr>
          <w:sz w:val="20"/>
          <w:szCs w:val="20"/>
          <w:color w:val="auto"/>
        </w:rPr>
      </w:pPr>
    </w:p>
    <w:p>
      <w:pPr>
        <w:ind w:right="20" w:firstLine="1033"/>
        <w:spacing w:after="0" w:line="267" w:lineRule="auto"/>
        <w:rPr>
          <w:sz w:val="20"/>
          <w:szCs w:val="20"/>
          <w:color w:val="auto"/>
        </w:rPr>
      </w:pPr>
      <w:r>
        <w:rPr>
          <w:rFonts w:ascii="Times New Roman" w:cs="Times New Roman" w:eastAsia="Times New Roman" w:hAnsi="Times New Roman"/>
          <w:sz w:val="16"/>
          <w:szCs w:val="16"/>
          <w:color w:val="auto"/>
        </w:rPr>
        <w:t>We believe that the brand identity we have developed and acquired has significantly contributed to the success of our business. We also believe that developing, maintaining, and enhancing awareness and integrity of our brand and reputation are critical to achieving widespread acceptance of our solutions and expanding adoption of our solutions to new customers in both existing and new markets. Maintaining and enhancing our brand requires us to make substantial investments and these investments may not be successful or cost-efficient. We believe that the importance of our brand and reputation will increase as competition in our market further intensifies. Successful promotion of our brand depends on the effectiveness of our marketing efforts and our ability to provide a reliable, useful and valuable collection of solutions at competitive prices. These factors are essential to our ability to differentiate our offerings from competing solutions. In addition, our brand and reputation could be impacted if our end users or insured parties have negative experiences in the claim process, which ultimately largely depends on the quality of service from our customers, but also may depend on the insured’s perceived value of its vehicle. See “—Litigation Risk Factors—We are currently, and have been in the past, a party to litigation, which could result in damage to our reputation and harm our future results of operations.” For example, putative class action lawsuits have alleged that the use of the Company’s total loss valuation solution has led to undervaluation of insureds’ loss vehicles.</w:t>
      </w:r>
    </w:p>
    <w:p>
      <w:pPr>
        <w:spacing w:after="0" w:line="86" w:lineRule="exact"/>
        <w:rPr>
          <w:sz w:val="20"/>
          <w:szCs w:val="20"/>
          <w:color w:val="auto"/>
        </w:rPr>
      </w:pPr>
    </w:p>
    <w:p>
      <w:pPr>
        <w:ind w:firstLine="1033"/>
        <w:spacing w:after="0" w:line="268" w:lineRule="auto"/>
        <w:rPr>
          <w:sz w:val="20"/>
          <w:szCs w:val="20"/>
          <w:color w:val="auto"/>
        </w:rPr>
      </w:pPr>
      <w:r>
        <w:rPr>
          <w:rFonts w:ascii="Times New Roman" w:cs="Times New Roman" w:eastAsia="Times New Roman" w:hAnsi="Times New Roman"/>
          <w:sz w:val="16"/>
          <w:szCs w:val="16"/>
          <w:color w:val="auto"/>
        </w:rPr>
        <w:t>Maintaining and enhancing our brand will depend largely on our ability to be a technology innovator, to continue to provide high quality solutions and to protect and defend our brand names and trademarks, which we may not do successfully. We have not engaged in extensive direct brand promotion activities, and we may not successfully implement brand enhancement efforts in the future. Our solutions and services generally are branded and are likely associated with the overall experiences of a participant in the insurance economy, which is largely outside of our control. Any brand promotion activities we undertake may not yield increased revenue, and even if they do, the increased revenue may not offset the expenses we incur in building and maintaining our brand and reputation. If we fail to promote and maintain our brand successfully or to maintain loyalty among our customers, we may fail to attract new customers and partners or retain our existing customers and partners and our business and financial condition may be adversely affected. Any negative publicity relating to our customers, employees, partners, or others associated with these parties, may also tarnish our own reputation simply by association and may reduce the value of our brand. Damage to our brand and reputation may result in reduced demand for our solutions and increased risk of losing market share to competitors. Any efforts to restore the value of our brand and rebuild our reputation may be costly and may not be successful.</w:t>
      </w:r>
    </w:p>
    <w:p>
      <w:pPr>
        <w:spacing w:after="0" w:line="77" w:lineRule="exact"/>
        <w:rPr>
          <w:sz w:val="20"/>
          <w:szCs w:val="20"/>
          <w:color w:val="auto"/>
        </w:rPr>
      </w:pPr>
    </w:p>
    <w:p>
      <w:pPr>
        <w:ind w:right="200" w:firstLine="1033"/>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Our revenue growth rate depends on existing customers renewing and upgrading their SaaS software subscriptions for our solutions. A decline in our customer renewals and expansions could adversely impact our future results of operations.</w:t>
      </w:r>
    </w:p>
    <w:p>
      <w:pPr>
        <w:spacing w:after="0" w:line="52" w:lineRule="exact"/>
        <w:rPr>
          <w:sz w:val="20"/>
          <w:szCs w:val="20"/>
          <w:color w:val="auto"/>
        </w:rPr>
      </w:pPr>
    </w:p>
    <w:p>
      <w:pPr>
        <w:ind w:firstLine="1033"/>
        <w:spacing w:after="0" w:line="269" w:lineRule="auto"/>
        <w:rPr>
          <w:sz w:val="20"/>
          <w:szCs w:val="20"/>
          <w:color w:val="auto"/>
        </w:rPr>
      </w:pPr>
      <w:r>
        <w:rPr>
          <w:rFonts w:ascii="Times New Roman" w:cs="Times New Roman" w:eastAsia="Times New Roman" w:hAnsi="Times New Roman"/>
          <w:sz w:val="16"/>
          <w:szCs w:val="16"/>
          <w:color w:val="auto"/>
        </w:rPr>
        <w:t>Our customers have no obligation to renew their contracts for our solutions after the expiration of their contract periods and our customers may choose not to renew contracts for a similar mix of solutions. Our customers’ renewal rates may fluctuate or decline as a result of a</w:t>
      </w: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14" w:name="page15"/>
    <w:bookmarkEnd w:id="14"/>
    <w:p>
      <w:pPr>
        <w:ind w:right="60"/>
        <w:spacing w:after="0" w:line="275" w:lineRule="auto"/>
        <w:rPr>
          <w:sz w:val="20"/>
          <w:szCs w:val="20"/>
          <w:color w:val="auto"/>
        </w:rPr>
      </w:pPr>
      <w:r>
        <w:rPr>
          <w:rFonts w:ascii="Times New Roman" w:cs="Times New Roman" w:eastAsia="Times New Roman" w:hAnsi="Times New Roman"/>
          <w:sz w:val="16"/>
          <w:szCs w:val="16"/>
          <w:color w:val="auto"/>
        </w:rPr>
        <w:t>number of factors, including customer dissatisfaction, customers’ spending levels, increased competition, changes in tax or data privacy laws or rules, prices of our services, the prices of services offered by our competitors, spending levels due to the macroeconomic environment or other factors, deteriorating general economic conditions, or legislative and regulatory changes. If our customers do not renew their contracts or reduce the solutions purchased under their contracts, our revenue could decline and our business may be adversely impacted.</w:t>
      </w:r>
    </w:p>
    <w:p>
      <w:pPr>
        <w:spacing w:after="0" w:line="75" w:lineRule="exact"/>
        <w:rPr>
          <w:sz w:val="20"/>
          <w:szCs w:val="20"/>
          <w:color w:val="auto"/>
        </w:rPr>
      </w:pPr>
    </w:p>
    <w:p>
      <w:pPr>
        <w:ind w:right="260" w:firstLine="1033"/>
        <w:spacing w:after="0" w:line="298" w:lineRule="auto"/>
        <w:rPr>
          <w:sz w:val="20"/>
          <w:szCs w:val="20"/>
          <w:color w:val="auto"/>
        </w:rPr>
      </w:pPr>
      <w:r>
        <w:rPr>
          <w:rFonts w:ascii="Times New Roman" w:cs="Times New Roman" w:eastAsia="Times New Roman" w:hAnsi="Times New Roman"/>
          <w:sz w:val="16"/>
          <w:szCs w:val="16"/>
          <w:color w:val="auto"/>
        </w:rPr>
        <w:t>Our future success also depends in part on our ability to sell additional solutions to existing customers. If our efforts to sell our additional solutions to our customers are not successful, our revenue growth would decrease and our business, results of operations, and financial condition would be adversely impacted.</w:t>
      </w:r>
    </w:p>
    <w:p>
      <w:pPr>
        <w:spacing w:after="0" w:line="52" w:lineRule="exact"/>
        <w:rPr>
          <w:sz w:val="20"/>
          <w:szCs w:val="20"/>
          <w:color w:val="auto"/>
        </w:rPr>
      </w:pPr>
    </w:p>
    <w:p>
      <w:pPr>
        <w:ind w:right="60" w:firstLine="1033"/>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Our growth strategy depends on continued investment in and delivery of innovative SaaS solutions. If we are unsuccessful in delivering innovative SaaS solutions, it could adversely impact our results of operations and financial condition.</w:t>
      </w:r>
    </w:p>
    <w:p>
      <w:pPr>
        <w:spacing w:after="0" w:line="52" w:lineRule="exact"/>
        <w:rPr>
          <w:sz w:val="20"/>
          <w:szCs w:val="20"/>
          <w:color w:val="auto"/>
        </w:rPr>
      </w:pPr>
    </w:p>
    <w:p>
      <w:pPr>
        <w:ind w:right="140" w:firstLine="1033"/>
        <w:spacing w:after="0" w:line="275" w:lineRule="auto"/>
        <w:rPr>
          <w:sz w:val="20"/>
          <w:szCs w:val="20"/>
          <w:color w:val="auto"/>
        </w:rPr>
      </w:pPr>
      <w:r>
        <w:rPr>
          <w:rFonts w:ascii="Times New Roman" w:cs="Times New Roman" w:eastAsia="Times New Roman" w:hAnsi="Times New Roman"/>
          <w:sz w:val="16"/>
          <w:szCs w:val="16"/>
          <w:color w:val="auto"/>
        </w:rPr>
        <w:t>To address demand trends across the P&amp;C insurance economy, we have focused on and plan to continue focusing on the growth and expansion of our SaaS business. This growth strategy has required and will continue to require a considerable investment of technical, financial and sales resources. These investments may not result in an increase in SaaS software revenue and we may not be able to scale such investments efficiently, or at all, to meet customer demand and expectations. Our focus on our SaaS business may increase our costs in any given period and may be difficult to predict over time.</w:t>
      </w:r>
    </w:p>
    <w:p>
      <w:pPr>
        <w:spacing w:after="0" w:line="75" w:lineRule="exact"/>
        <w:rPr>
          <w:sz w:val="20"/>
          <w:szCs w:val="20"/>
          <w:color w:val="auto"/>
        </w:rPr>
      </w:pPr>
    </w:p>
    <w:p>
      <w:pPr>
        <w:ind w:firstLine="1033"/>
        <w:spacing w:after="0" w:line="267" w:lineRule="auto"/>
        <w:rPr>
          <w:sz w:val="20"/>
          <w:szCs w:val="20"/>
          <w:color w:val="auto"/>
        </w:rPr>
      </w:pPr>
      <w:r>
        <w:rPr>
          <w:rFonts w:ascii="Times New Roman" w:cs="Times New Roman" w:eastAsia="Times New Roman" w:hAnsi="Times New Roman"/>
          <w:sz w:val="16"/>
          <w:szCs w:val="16"/>
          <w:color w:val="auto"/>
        </w:rPr>
        <w:t>Our SaaS arrangements also contain service level agreement clauses which may include penalties for matters such as failing to meet stipulated service levels. The consequences in such circumstances could include monetary credits for current or future service engagements, reduced fees for additional solution sales, cancellations of planned purchases, a customer’s refusal to pay their contractually-obligated SaaS or professional service fees, and our reputation being tarnished. Should these penalties be triggered, our results of operations may be adversely affected. Furthermore, any factor adversely affecting sales of our SaaS solutions, including application release cycles, delays or failures in new functionality, market acceptance, product competition, performance and reliability, reputation, price competition and economic and market conditions, could have a material adverse effect on our business, financial condition and results of operations. Additionally, the entry into new markets or the introduction of new features, functionality or applications beyond our current markets and functionality, including new AI tools, may not be successful. If we invest in the development of new solutions, we may not recover the “up-front” costs of developing and marketing those solutions, or recover the opportunity cost of diverting management, technical and financial resources away from other efforts. If we are unable to successfully grow our SaaS business and navigate our growth strategy in light of the foregoing uncertainties, our reputation could suffer and our results of operations may be impacted, which may cause our stock price to decline.</w:t>
      </w:r>
    </w:p>
    <w:p>
      <w:pPr>
        <w:spacing w:after="0" w:line="8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b w:val="1"/>
          <w:bCs w:val="1"/>
          <w:i w:val="1"/>
          <w:iCs w:val="1"/>
          <w:color w:val="auto"/>
        </w:rPr>
        <w:t>Public health outbreaks, epidemics or pandemics could harm our business and results of operations.</w:t>
      </w:r>
    </w:p>
    <w:p>
      <w:pPr>
        <w:spacing w:after="0" w:line="131" w:lineRule="exact"/>
        <w:rPr>
          <w:sz w:val="20"/>
          <w:szCs w:val="20"/>
          <w:color w:val="auto"/>
        </w:rPr>
      </w:pPr>
    </w:p>
    <w:p>
      <w:pPr>
        <w:ind w:right="40" w:firstLine="1033"/>
        <w:spacing w:after="0" w:line="272" w:lineRule="auto"/>
        <w:rPr>
          <w:sz w:val="20"/>
          <w:szCs w:val="20"/>
          <w:color w:val="auto"/>
        </w:rPr>
      </w:pPr>
      <w:r>
        <w:rPr>
          <w:rFonts w:ascii="Times New Roman" w:cs="Times New Roman" w:eastAsia="Times New Roman" w:hAnsi="Times New Roman"/>
          <w:sz w:val="16"/>
          <w:szCs w:val="16"/>
          <w:color w:val="auto"/>
        </w:rPr>
        <w:t>Public health outbreaks, epidemics and pandemics could materially and adversely impact our business. Responses to the COVID-19 pandemic included, and responses to future outbreaks, epidemics or pandemics could include, certain intensified preventative or protective public health measures undertaken by governments, businesses and individuals, including orders to shelter-in-place and restrictions on travel and permitted business operations. These responses could result in global business disruptions that adversely affect workforces, organizations, economies, and financial markets globally, leading to an economic downturn, increased market volatility, or other adverse macroeconomic conditions, any of which could impact our results of operations.</w:t>
      </w:r>
    </w:p>
    <w:p>
      <w:pPr>
        <w:spacing w:after="0" w:line="78" w:lineRule="exact"/>
        <w:rPr>
          <w:sz w:val="20"/>
          <w:szCs w:val="20"/>
          <w:color w:val="auto"/>
        </w:rPr>
      </w:pPr>
    </w:p>
    <w:p>
      <w:pPr>
        <w:ind w:right="100" w:firstLine="1033"/>
        <w:spacing w:after="0" w:line="275" w:lineRule="auto"/>
        <w:rPr>
          <w:sz w:val="20"/>
          <w:szCs w:val="20"/>
          <w:color w:val="auto"/>
        </w:rPr>
      </w:pPr>
      <w:r>
        <w:rPr>
          <w:rFonts w:ascii="Times New Roman" w:cs="Times New Roman" w:eastAsia="Times New Roman" w:hAnsi="Times New Roman"/>
          <w:sz w:val="16"/>
          <w:szCs w:val="16"/>
          <w:color w:val="auto"/>
        </w:rPr>
        <w:t>We continued to conduct business during the COVID-19 pandemic, with modifications to employee travel and work locations as well as virtualization, postponement or cancellation of certain sales and marketing events, among other changes, but future outbreaks, epidemics or pandemics may require other modifications to our business. The extent of the impact of any such modifications on our business, including the effects on our customers, prospects and employees, and on our financial results, remains uncertain.</w:t>
      </w:r>
    </w:p>
    <w:p>
      <w:pPr>
        <w:spacing w:after="0" w:line="75" w:lineRule="exact"/>
        <w:rPr>
          <w:sz w:val="20"/>
          <w:szCs w:val="20"/>
          <w:color w:val="auto"/>
        </w:rPr>
      </w:pPr>
    </w:p>
    <w:p>
      <w:pPr>
        <w:ind w:firstLine="1033"/>
        <w:spacing w:after="0" w:line="268" w:lineRule="auto"/>
        <w:rPr>
          <w:sz w:val="20"/>
          <w:szCs w:val="20"/>
          <w:color w:val="auto"/>
        </w:rPr>
      </w:pPr>
      <w:r>
        <w:rPr>
          <w:rFonts w:ascii="Times New Roman" w:cs="Times New Roman" w:eastAsia="Times New Roman" w:hAnsi="Times New Roman"/>
          <w:sz w:val="16"/>
          <w:szCs w:val="16"/>
          <w:color w:val="auto"/>
        </w:rPr>
        <w:t>The impact of a public health outbreak, epidemic or pandemic, including a resurgence in the COVID-19 pandemic, on the global economy could decrease technology spending by our existing and prospective customers and adversely affect their demand for our solutions. Further, responses to such events may impact our sales and implementation cycles which could result in us providing contract terms more favorable to customers and a potentially longer delay between incurring operating expenses and the generation of corresponding revenue or in difficulty in accurately predicting our financial forecasts. Additionally, any economic downturn or rising unemployment rates resulting from such an outbreak, epidemic or pandemic have the potential to significantly reduce individual and business disposable income and depress consumer confidence, which could limit the ability or willingness of some consumers to obtain and pay for our customers’ products in both the short- and medium-terms, which may negatively impact the ability of our customers to pay for our services or require such customers to request amended payment terms for their outstanding invoices. We are unable to predict the impact that a public health outbreak, epidemic or pandemic may have going forward on the business, results of operations or financial position of any of our major customers, which could impact each customer to varying degrees and at different times and could ultimately impact our own financial performance.</w:t>
      </w:r>
    </w:p>
    <w:p>
      <w:pPr>
        <w:spacing w:after="0" w:line="81" w:lineRule="exact"/>
        <w:rPr>
          <w:sz w:val="20"/>
          <w:szCs w:val="20"/>
          <w:color w:val="auto"/>
        </w:rPr>
      </w:pPr>
    </w:p>
    <w:p>
      <w:pPr>
        <w:ind w:right="100" w:firstLine="1033"/>
        <w:spacing w:after="0" w:line="271" w:lineRule="auto"/>
        <w:rPr>
          <w:sz w:val="20"/>
          <w:szCs w:val="20"/>
          <w:color w:val="auto"/>
        </w:rPr>
      </w:pPr>
      <w:r>
        <w:rPr>
          <w:rFonts w:ascii="Times New Roman" w:cs="Times New Roman" w:eastAsia="Times New Roman" w:hAnsi="Times New Roman"/>
          <w:sz w:val="16"/>
          <w:szCs w:val="16"/>
          <w:color w:val="auto"/>
        </w:rPr>
        <w:t>The COVID-19 pandemic presented operational challenges as our workforce shifted to a hybrid working model of in-person and remote work, which continues to create inherent productivity, connectivity, and oversight challenges. It is possible that continued remote work arrangements may have a negative impact on our operations, the execution of our business plans, the productivity and availability of key personnel and other employees necessary to conduct our business, and may increase the risk of cyberattacks. A further change to our operating model, at the local level or globally, could exacerbate these impacts and may also result in employee retention, engagement or other impacts. These impacts and disruptions could negatively affect our operations or internal controls over financial reporting and may require us to implement new processes, procedures and controls to respond to further changes in our business environment.</w:t>
      </w:r>
    </w:p>
    <w:p>
      <w:pPr>
        <w:spacing w:after="0" w:line="76" w:lineRule="exact"/>
        <w:rPr>
          <w:sz w:val="20"/>
          <w:szCs w:val="20"/>
          <w:color w:val="auto"/>
        </w:rPr>
      </w:pPr>
    </w:p>
    <w:p>
      <w:pPr>
        <w:ind w:right="520" w:firstLine="1074"/>
        <w:spacing w:after="0" w:line="298" w:lineRule="auto"/>
        <w:rPr>
          <w:sz w:val="20"/>
          <w:szCs w:val="20"/>
          <w:color w:val="auto"/>
        </w:rPr>
      </w:pPr>
      <w:r>
        <w:rPr>
          <w:rFonts w:ascii="Times New Roman" w:cs="Times New Roman" w:eastAsia="Times New Roman" w:hAnsi="Times New Roman"/>
          <w:sz w:val="16"/>
          <w:szCs w:val="16"/>
          <w:color w:val="auto"/>
        </w:rPr>
        <w:t>To the extent a public health outbreak, epidemic or pandemic, including a resurgence in the COVID-19 pandemic, adversely affects our business and financial results, it may also have the effect of heightening other risks described in this “Risk Factors” section, such as those relating to our liquidity.</w:t>
      </w:r>
    </w:p>
    <w:p>
      <w:pPr>
        <w:spacing w:after="0" w:line="52" w:lineRule="exact"/>
        <w:rPr>
          <w:sz w:val="20"/>
          <w:szCs w:val="20"/>
          <w:color w:val="auto"/>
        </w:rPr>
      </w:pPr>
    </w:p>
    <w:p>
      <w:pPr>
        <w:ind w:right="100" w:firstLine="1033"/>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Factors outside of our control including but not limited to natural catastrophes, war, and terrorism, may adversely impact the P&amp;C insurance economy, preventing us from expanding or maintaining our existing customer base and increasing our revenue.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15" w:name="page16"/>
    <w:bookmarkEnd w:id="15"/>
    <w:p>
      <w:pPr>
        <w:ind w:right="40" w:firstLine="1033"/>
        <w:spacing w:after="0" w:line="272" w:lineRule="auto"/>
        <w:rPr>
          <w:sz w:val="20"/>
          <w:szCs w:val="20"/>
          <w:color w:val="auto"/>
        </w:rPr>
      </w:pPr>
      <w:r>
        <w:rPr>
          <w:rFonts w:ascii="Times New Roman" w:cs="Times New Roman" w:eastAsia="Times New Roman" w:hAnsi="Times New Roman"/>
          <w:sz w:val="16"/>
          <w:szCs w:val="16"/>
          <w:color w:val="auto"/>
        </w:rPr>
        <w:t>Our largest customers are carriers who have experienced, and will likely experience in the future, losses from catastrophes, natural disasters or terrorism that may adversely impact their businesses. Catastrophes can be caused by various events, including, without limitation, hurricanes, tsunamis, floods, windstorms, earthquakes, hail, tornadoes, explosions, severe weather, epidemics, pandemics and fires. Global warming trends associated with climate change are contributing to an increase in erratic weather patterns globally and intensifying the impact of certain types of catastrophes. Moreover, acts of terrorism or war could cause disruptions to our business or our customers’ businesses or the economy as a whole.</w:t>
      </w:r>
    </w:p>
    <w:p>
      <w:pPr>
        <w:spacing w:after="0" w:line="78" w:lineRule="exact"/>
        <w:rPr>
          <w:sz w:val="20"/>
          <w:szCs w:val="20"/>
          <w:color w:val="auto"/>
        </w:rPr>
      </w:pPr>
    </w:p>
    <w:p>
      <w:pPr>
        <w:ind w:right="80" w:firstLine="1033"/>
        <w:spacing w:after="0" w:line="272" w:lineRule="auto"/>
        <w:rPr>
          <w:sz w:val="20"/>
          <w:szCs w:val="20"/>
          <w:color w:val="auto"/>
        </w:rPr>
      </w:pPr>
      <w:r>
        <w:rPr>
          <w:rFonts w:ascii="Times New Roman" w:cs="Times New Roman" w:eastAsia="Times New Roman" w:hAnsi="Times New Roman"/>
          <w:sz w:val="16"/>
          <w:szCs w:val="16"/>
          <w:color w:val="auto"/>
        </w:rPr>
        <w:t>The risks associated with natural catastrophes, war and terrorism are inherently unpredictable, and it is difficult to forecast the timing of such events or estimate the amount of losses they will generate. In recent years, for example, parts of the U.S. suffered extensive damage due to multiple hurricanes, fires, floods and other extreme weather events. The combined effect of those losses on carriers was significant. Such losses and losses due to future events may adversely impact our current or potential customers, which may prevent us from maintaining or expanding our customer base and increasing our revenue as such events may cause customers to postpone purchases of new offerings or to discontinue existing projects. Any of these events could materially impact our business, results of operations and financial condition.</w:t>
      </w:r>
    </w:p>
    <w:p>
      <w:pPr>
        <w:spacing w:after="0" w:line="74" w:lineRule="exact"/>
        <w:rPr>
          <w:sz w:val="20"/>
          <w:szCs w:val="20"/>
          <w:color w:val="auto"/>
        </w:rPr>
      </w:pPr>
    </w:p>
    <w:p>
      <w:pPr>
        <w:ind w:right="200" w:firstLine="1033"/>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A downturn in the P&amp;C insurance and automotive collision industries, claim volumes, or supporting economy, which are outside of our control, could adversely impact our results of operations.</w:t>
      </w:r>
    </w:p>
    <w:p>
      <w:pPr>
        <w:spacing w:after="0" w:line="52" w:lineRule="exact"/>
        <w:rPr>
          <w:sz w:val="20"/>
          <w:szCs w:val="20"/>
          <w:color w:val="auto"/>
        </w:rPr>
      </w:pPr>
    </w:p>
    <w:p>
      <w:pPr>
        <w:ind w:right="120" w:firstLine="1033"/>
        <w:spacing w:after="0" w:line="275" w:lineRule="auto"/>
        <w:rPr>
          <w:sz w:val="20"/>
          <w:szCs w:val="20"/>
          <w:color w:val="auto"/>
        </w:rPr>
      </w:pPr>
      <w:r>
        <w:rPr>
          <w:rFonts w:ascii="Times New Roman" w:cs="Times New Roman" w:eastAsia="Times New Roman" w:hAnsi="Times New Roman"/>
          <w:sz w:val="16"/>
          <w:szCs w:val="16"/>
          <w:color w:val="auto"/>
        </w:rPr>
        <w:t>Revenue for some of our solutions are derived from claims volumes rather than from the subscription fees that represent the majority of our revenue. Claim volume-based solution revenue is driven by individual customer usage and can be impacted by market conditions within the P&amp;C insurance economy. As a result, our transactional revenue can be adversely affected by factors outside of our control, including but not limited to, industry trends, market events, customer-specific usage changes. The transactional portion of the business also presents more challenges to accurately forecasting future revenues.</w:t>
      </w:r>
    </w:p>
    <w:p>
      <w:pPr>
        <w:spacing w:after="0" w:line="71" w:lineRule="exact"/>
        <w:rPr>
          <w:sz w:val="20"/>
          <w:szCs w:val="20"/>
          <w:color w:val="auto"/>
        </w:rPr>
      </w:pPr>
    </w:p>
    <w:p>
      <w:pPr>
        <w:ind w:right="580" w:firstLine="1033"/>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Changes in the P&amp;C insurance and automotive collision industries, including the adoption of new technologies, such as artificial intelligence or autonomous vehicles, may significantly impact our results of operations.</w:t>
      </w:r>
    </w:p>
    <w:p>
      <w:pPr>
        <w:spacing w:after="0" w:line="52" w:lineRule="exact"/>
        <w:rPr>
          <w:sz w:val="20"/>
          <w:szCs w:val="20"/>
          <w:color w:val="auto"/>
        </w:rPr>
      </w:pPr>
    </w:p>
    <w:p>
      <w:pPr>
        <w:ind w:right="120" w:firstLine="1033"/>
        <w:spacing w:after="0" w:line="272" w:lineRule="auto"/>
        <w:rPr>
          <w:sz w:val="20"/>
          <w:szCs w:val="20"/>
          <w:color w:val="auto"/>
        </w:rPr>
      </w:pPr>
      <w:r>
        <w:rPr>
          <w:rFonts w:ascii="Times New Roman" w:cs="Times New Roman" w:eastAsia="Times New Roman" w:hAnsi="Times New Roman"/>
          <w:sz w:val="16"/>
          <w:szCs w:val="16"/>
          <w:color w:val="auto"/>
        </w:rPr>
        <w:t>Aspects of our business, and our customers’ businesses, which our solutions and services support, can be impacted by events in the P&amp;C insurance and automotive collision industries which are beyond our control. Certain trends in the automotive industry, including adoption of artificial intelligence solutions, the continued adoption of semi-autonomous or autonomous vehicles and the advent of improved automotive safety features, may potentially impact the future market for, and operations of, the P&amp;C insurance and automotive collision industries. While the impacts and timing of these changes are currently unknown, if this has an adverse impact on the P&amp;C insurance or the automotive collision industries, it could have an adverse impact on our future result of operations.</w:t>
      </w:r>
    </w:p>
    <w:p>
      <w:pPr>
        <w:spacing w:after="0" w:line="74" w:lineRule="exact"/>
        <w:rPr>
          <w:sz w:val="20"/>
          <w:szCs w:val="20"/>
          <w:color w:val="auto"/>
        </w:rPr>
      </w:pPr>
    </w:p>
    <w:p>
      <w:pPr>
        <w:ind w:right="180" w:firstLine="1033"/>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Our customers may defer or forego purchases of our solutions or services in the event of weakened global economic conditions, political transitions or industry consolidation.</w:t>
      </w:r>
    </w:p>
    <w:p>
      <w:pPr>
        <w:spacing w:after="0" w:line="52" w:lineRule="exact"/>
        <w:rPr>
          <w:sz w:val="20"/>
          <w:szCs w:val="20"/>
          <w:color w:val="auto"/>
        </w:rPr>
      </w:pPr>
    </w:p>
    <w:p>
      <w:pPr>
        <w:ind w:right="40" w:firstLine="1033"/>
        <w:spacing w:after="0" w:line="269" w:lineRule="auto"/>
        <w:rPr>
          <w:sz w:val="20"/>
          <w:szCs w:val="20"/>
          <w:color w:val="auto"/>
        </w:rPr>
      </w:pPr>
      <w:r>
        <w:rPr>
          <w:rFonts w:ascii="Times New Roman" w:cs="Times New Roman" w:eastAsia="Times New Roman" w:hAnsi="Times New Roman"/>
          <w:sz w:val="16"/>
          <w:szCs w:val="16"/>
          <w:color w:val="auto"/>
        </w:rPr>
        <w:t>Our financial performance depends, in part, on the state of the economy. Declining levels of economic activity may lead to declines in spending in the industries we serve, which may result in decreased revenue for us. Concern about the strength of the economy may slow the rate at which businesses are willing to enter into new contractual arrangements, potentially including those for our solutions. If our customers and potential customers experience financial hardship as a result of a weakened economy, industry consolidation, or other factors, the overall demand for our solutions could decrease. If economic conditions worsen, our business, results of operations, and financial condition could be adversely impacted. Consolidation in the P&amp;C insurance industry may result in reduced overall spending on our solutions. Acquisitions of customers or potential customers can delay or cancel sales cycles or result in existing arrangements not being renewed, and because we cannot predict the timing or duration of such acquisitions, our results of operations could be materially impacted.</w:t>
      </w:r>
    </w:p>
    <w:p>
      <w:pPr>
        <w:spacing w:after="0" w:line="82" w:lineRule="exact"/>
        <w:rPr>
          <w:sz w:val="20"/>
          <w:szCs w:val="20"/>
          <w:color w:val="auto"/>
        </w:rPr>
      </w:pPr>
    </w:p>
    <w:p>
      <w:pPr>
        <w:ind w:firstLine="1033"/>
        <w:spacing w:after="0" w:line="267" w:lineRule="auto"/>
        <w:rPr>
          <w:sz w:val="20"/>
          <w:szCs w:val="20"/>
          <w:color w:val="auto"/>
        </w:rPr>
      </w:pPr>
      <w:r>
        <w:rPr>
          <w:rFonts w:ascii="Times New Roman" w:cs="Times New Roman" w:eastAsia="Times New Roman" w:hAnsi="Times New Roman"/>
          <w:sz w:val="16"/>
          <w:szCs w:val="16"/>
          <w:color w:val="auto"/>
        </w:rPr>
        <w:t>Global events such as the imposition of various trade tariffs by the U.S. and China, public health outbreaks such as the COVID-19 pandemic, supply chain disruption, inflationary pressures, labor shortages, global conflicts including the wars in Ukraine and the Middle East, and political transitions in the U.S. and globally have created and may continue to create economic uncertainty in regions in which we have significant operations. These conditions may make it difficult for our customers and us to forecast and plan future business activities accurately, and they could cause our customers to reevaluate their decision to purchase our solutions or services, which could delay and lengthen our sales cycles or result in cancellations of planned purchases. Moreover, during challenging economic times, our customers may be unable to timely access sufficient credit, which could impair their ability to make timely payments to us. If that were to occur, we may not receive amounts owed to us and may be required to record an allowance for doubtful accounts, which would adversely affect our financial results. A substantial downturn in the insurance industry may cause firms to react to worsening conditions by reducing their capital expenditures, reducing their spending on information technology, delaying or canceling information technology projects, or seeking to lower their costs by renegotiating vendor contracts. Negative or worsening conditions in the general economy, both in the U.S. and abroad, including conditions resulting from financial and credit market fluctuations, could decrease corporate spending on enterprise software in general, and in the insurance industry specifically, and negatively affect the rate of growth of our business.</w:t>
      </w:r>
    </w:p>
    <w:p>
      <w:pPr>
        <w:spacing w:after="0" w:line="8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b w:val="1"/>
          <w:bCs w:val="1"/>
          <w:i w:val="1"/>
          <w:iCs w:val="1"/>
          <w:color w:val="auto"/>
        </w:rPr>
        <w:t>Macroeconomic factors impacting the principal industries we serve could adversely affect adoption, usage, or average selling prices of our solutions.</w:t>
      </w:r>
    </w:p>
    <w:p>
      <w:pPr>
        <w:spacing w:after="0" w:line="131" w:lineRule="exact"/>
        <w:rPr>
          <w:sz w:val="20"/>
          <w:szCs w:val="20"/>
          <w:color w:val="auto"/>
        </w:rPr>
      </w:pPr>
    </w:p>
    <w:p>
      <w:pPr>
        <w:ind w:right="40" w:firstLine="1033"/>
        <w:spacing w:after="0" w:line="265" w:lineRule="auto"/>
        <w:rPr>
          <w:sz w:val="20"/>
          <w:szCs w:val="20"/>
          <w:color w:val="auto"/>
        </w:rPr>
      </w:pPr>
      <w:r>
        <w:rPr>
          <w:rFonts w:ascii="Times New Roman" w:cs="Times New Roman" w:eastAsia="Times New Roman" w:hAnsi="Times New Roman"/>
          <w:sz w:val="16"/>
          <w:szCs w:val="16"/>
          <w:color w:val="auto"/>
        </w:rPr>
        <w:t>We expect to continue to derive most of our revenue from solutions and additional services we provide to the P&amp;C insurance industry, the automotive collision industry, and the P&amp;C insurance economy generally, including the automotive industry. Given the concentration of our business activities in these industries, we will be particularly exposed to certain economic downturns affecting them. U.S. and global market and economic conditions have been, and continue to be, disrupted and volatile. General business and economic conditions that could affect us and our customers include fluctuations in economic growth, inflation, debt and equity capital markets, liquidity of the global financial markets, the availability and cost of credit, investor and consumer confidence, and the strength of the economies in which our customers operate. A poor economic environment could result in significant decreases in demand for our solutions, including the delay or cancellation of current or anticipated projects, or could present difficulties in collecting accounts receivables from our customers due to their deteriorating financial condition. Our existing customers may be acquired by or merged into other entities that use our competitors’ products, or they may decide to terminate their relationships with us for other reasons. As a result, our sales could decline if an existing customer is merged with or acquired by another company that has a poor economic outlook or is closed.</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16" w:name="page17"/>
    <w:bookmarkEnd w:id="16"/>
    <w:p>
      <w:pPr>
        <w:ind w:right="40" w:firstLine="1033"/>
        <w:spacing w:after="0" w:line="281" w:lineRule="auto"/>
        <w:rPr>
          <w:sz w:val="20"/>
          <w:szCs w:val="20"/>
          <w:color w:val="auto"/>
        </w:rPr>
      </w:pPr>
      <w:r>
        <w:rPr>
          <w:rFonts w:ascii="Times New Roman" w:cs="Times New Roman" w:eastAsia="Times New Roman" w:hAnsi="Times New Roman"/>
          <w:sz w:val="16"/>
          <w:szCs w:val="16"/>
          <w:color w:val="auto"/>
        </w:rPr>
        <w:t>In addition, a significant portion of our operating costs are comprised of personnel-related expenses. We have experienced and may, in the future, experience increased labor costs as well as other costs necessary to conduct our business. To the extent we cannot pass along such increased costs to our customers, our results of operations and financial condition may be adversely affected.</w:t>
      </w:r>
    </w:p>
    <w:p>
      <w:pPr>
        <w:spacing w:after="0" w:line="69" w:lineRule="exact"/>
        <w:rPr>
          <w:sz w:val="20"/>
          <w:szCs w:val="20"/>
          <w:color w:val="auto"/>
        </w:rPr>
      </w:pPr>
    </w:p>
    <w:p>
      <w:pPr>
        <w:ind w:right="260" w:firstLine="1033"/>
        <w:spacing w:after="0" w:line="281" w:lineRule="auto"/>
        <w:rPr>
          <w:sz w:val="20"/>
          <w:szCs w:val="20"/>
          <w:color w:val="auto"/>
        </w:rPr>
      </w:pPr>
      <w:r>
        <w:rPr>
          <w:rFonts w:ascii="Times New Roman" w:cs="Times New Roman" w:eastAsia="Times New Roman" w:hAnsi="Times New Roman"/>
          <w:sz w:val="16"/>
          <w:szCs w:val="16"/>
          <w:color w:val="auto"/>
        </w:rPr>
        <w:t>Recently, there has been a pronounced rise in inflation in the U.S. and globally, which generally increases the costs of our business operations. We have a substantial number of long-term customer contracts, which means we cannot modify the prices paid by the customers under such contracts to pass along such increased costs.</w:t>
      </w:r>
    </w:p>
    <w:p>
      <w:pPr>
        <w:spacing w:after="0" w:line="65" w:lineRule="exact"/>
        <w:rPr>
          <w:sz w:val="20"/>
          <w:szCs w:val="20"/>
          <w:color w:val="auto"/>
        </w:rPr>
      </w:pPr>
    </w:p>
    <w:p>
      <w:pPr>
        <w:jc w:val="both"/>
        <w:ind w:right="320" w:firstLine="1033"/>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We face competition in our market, which could negatively impact our business, results of operations, and financial condition and cause our market share to decline.</w:t>
      </w:r>
    </w:p>
    <w:p>
      <w:pPr>
        <w:spacing w:after="0" w:line="52" w:lineRule="exact"/>
        <w:rPr>
          <w:sz w:val="20"/>
          <w:szCs w:val="20"/>
          <w:color w:val="auto"/>
        </w:rPr>
      </w:pPr>
    </w:p>
    <w:p>
      <w:pPr>
        <w:jc w:val="both"/>
        <w:ind w:right="320" w:firstLine="1033"/>
        <w:spacing w:after="0" w:line="267" w:lineRule="auto"/>
        <w:rPr>
          <w:sz w:val="20"/>
          <w:szCs w:val="20"/>
          <w:color w:val="auto"/>
        </w:rPr>
      </w:pPr>
      <w:r>
        <w:rPr>
          <w:rFonts w:ascii="Times New Roman" w:cs="Times New Roman" w:eastAsia="Times New Roman" w:hAnsi="Times New Roman"/>
          <w:sz w:val="16"/>
          <w:szCs w:val="16"/>
          <w:color w:val="auto"/>
        </w:rPr>
        <w:t>The market for our solutions is competitive. The competitors we face in any sale opportunity may change depending on, among other things, the line of business making the purchase, the solutions(s) being sold, the geography in which the customer is operating, and the size of the customer to which we are selling. These competitors may compete on the basis of price, the time and cost required for software implementation, custom development, or unique solution features or functions.</w:t>
      </w:r>
    </w:p>
    <w:p>
      <w:pPr>
        <w:spacing w:after="0" w:line="1" w:lineRule="exact"/>
        <w:rPr>
          <w:sz w:val="20"/>
          <w:szCs w:val="20"/>
          <w:color w:val="auto"/>
        </w:rPr>
      </w:pPr>
    </w:p>
    <w:p>
      <w:pPr>
        <w:ind w:right="300"/>
        <w:spacing w:after="0" w:line="288" w:lineRule="auto"/>
        <w:rPr>
          <w:sz w:val="20"/>
          <w:szCs w:val="20"/>
          <w:color w:val="auto"/>
        </w:rPr>
      </w:pPr>
      <w:r>
        <w:rPr>
          <w:rFonts w:ascii="Times New Roman" w:cs="Times New Roman" w:eastAsia="Times New Roman" w:hAnsi="Times New Roman"/>
          <w:sz w:val="16"/>
          <w:szCs w:val="16"/>
          <w:color w:val="auto"/>
        </w:rPr>
        <w:t>Outside of the U.S., we are more likely to compete against vendors that may differentiate themselves based on local advantages in language, market knowledge, existing relationships with customers and content applicable to that jurisdiction.</w:t>
      </w:r>
    </w:p>
    <w:p>
      <w:pPr>
        <w:spacing w:after="0" w:line="64" w:lineRule="exact"/>
        <w:rPr>
          <w:sz w:val="20"/>
          <w:szCs w:val="20"/>
          <w:color w:val="auto"/>
        </w:rPr>
      </w:pPr>
    </w:p>
    <w:p>
      <w:pPr>
        <w:ind w:right="360" w:firstLine="1033"/>
        <w:spacing w:after="0" w:line="298" w:lineRule="auto"/>
        <w:rPr>
          <w:sz w:val="20"/>
          <w:szCs w:val="20"/>
          <w:color w:val="auto"/>
        </w:rPr>
      </w:pPr>
      <w:r>
        <w:rPr>
          <w:rFonts w:ascii="Times New Roman" w:cs="Times New Roman" w:eastAsia="Times New Roman" w:hAnsi="Times New Roman"/>
          <w:sz w:val="16"/>
          <w:szCs w:val="16"/>
          <w:color w:val="auto"/>
        </w:rPr>
        <w:t>As we expand our portfolio, we may begin to compete with software, technology and other providers that we have not competed against previously and where technology and applications may, in time, become more competitive with our offerings.</w:t>
      </w:r>
    </w:p>
    <w:p>
      <w:pPr>
        <w:spacing w:after="0" w:line="56" w:lineRule="exact"/>
        <w:rPr>
          <w:sz w:val="20"/>
          <w:szCs w:val="20"/>
          <w:color w:val="auto"/>
        </w:rPr>
      </w:pPr>
    </w:p>
    <w:p>
      <w:pPr>
        <w:ind w:right="20" w:firstLine="1033"/>
        <w:spacing w:after="0" w:line="268" w:lineRule="auto"/>
        <w:rPr>
          <w:sz w:val="20"/>
          <w:szCs w:val="20"/>
          <w:color w:val="auto"/>
        </w:rPr>
      </w:pPr>
      <w:r>
        <w:rPr>
          <w:rFonts w:ascii="Times New Roman" w:cs="Times New Roman" w:eastAsia="Times New Roman" w:hAnsi="Times New Roman"/>
          <w:sz w:val="16"/>
          <w:szCs w:val="16"/>
          <w:color w:val="auto"/>
        </w:rPr>
        <w:t>We expect the intensity of competition to remain high in the future, as the amount of capital invested in current and potential competitors, including insurance technology companies, has increased significantly in recent years. As a result, our competitors or potential competitors may develop improved product or sales capabilities, or even a technology breakthrough that disrupts our market. The emerging availability of "off-the-shelf" artificial intelligence models may increase the ability of existing and new competitors to develop technology and applications which may compete with our solutions. Continuing intense competition could result in increased pricing pressure, increased sales and marketing expenses, and greater investments in research and development, each of which could negatively impact our profitability. Current and potential competitors may be able to devote greater resources to, or take greater risks in connection with, the development, promotion, and sale of their products than we can devote to ours, which could allow them to respond more quickly than we can to new technologies and changes in customer needs, thus leading to their wider market acceptance. We may not be able to compete effectively and competitive pressures may prevent us from acquiring and maintaining the customer base necessary for us to increase our revenue and profitability.</w:t>
      </w:r>
    </w:p>
    <w:p>
      <w:pPr>
        <w:spacing w:after="0" w:line="81" w:lineRule="exact"/>
        <w:rPr>
          <w:sz w:val="20"/>
          <w:szCs w:val="20"/>
          <w:color w:val="auto"/>
        </w:rPr>
      </w:pPr>
    </w:p>
    <w:p>
      <w:pPr>
        <w:ind w:right="20" w:firstLine="1033"/>
        <w:spacing w:after="0" w:line="271" w:lineRule="auto"/>
        <w:rPr>
          <w:sz w:val="20"/>
          <w:szCs w:val="20"/>
          <w:color w:val="auto"/>
        </w:rPr>
      </w:pPr>
      <w:r>
        <w:rPr>
          <w:rFonts w:ascii="Times New Roman" w:cs="Times New Roman" w:eastAsia="Times New Roman" w:hAnsi="Times New Roman"/>
          <w:sz w:val="16"/>
          <w:szCs w:val="16"/>
          <w:color w:val="auto"/>
        </w:rPr>
        <w:t>In addition, the P&amp;C insurance economy is evolving rapidly, and we anticipate the market for cloud-based solutions will become increasingly competitive. If our current and potential customers move a greater proportion of their data and computational needs to the cloud, new competitors may emerge that offer services either comparable or better suited than ours to address the demand for such cloud-based solutions, which could reduce demand for our offerings. This could include new competitors, or new offerings from existing competitors, that utilize artificial intelligence based tools. To compete effectively we will likely be required to increase our investment in research and development, as well as the personnel and third-party services required to improve reliability and lower the cost of delivery of our cloud-based solutions. This may increase our costs more than we anticipate and may adversely impact our results of operations.</w:t>
      </w:r>
    </w:p>
    <w:p>
      <w:pPr>
        <w:spacing w:after="0" w:line="76" w:lineRule="exact"/>
        <w:rPr>
          <w:sz w:val="20"/>
          <w:szCs w:val="20"/>
          <w:color w:val="auto"/>
        </w:rPr>
      </w:pPr>
    </w:p>
    <w:p>
      <w:pPr>
        <w:ind w:right="100" w:firstLine="1033"/>
        <w:spacing w:after="0" w:line="269" w:lineRule="auto"/>
        <w:rPr>
          <w:sz w:val="20"/>
          <w:szCs w:val="20"/>
          <w:color w:val="auto"/>
        </w:rPr>
      </w:pPr>
      <w:r>
        <w:rPr>
          <w:rFonts w:ascii="Times New Roman" w:cs="Times New Roman" w:eastAsia="Times New Roman" w:hAnsi="Times New Roman"/>
          <w:sz w:val="16"/>
          <w:szCs w:val="16"/>
          <w:color w:val="auto"/>
        </w:rPr>
        <w:t>Our current and potential competitors may also establish cooperative relationships among themselves or with third parties to further enhance their resources and offerings. Current or potential competitors may be acquired by other vendors or third parties with greater available resources. As a result of such acquisitions, our current or potential competitors might be able to adapt more quickly to new technologies and customer needs, to devote greater resources to the promotion or sale of their products and services, to initiate or withstand substantial price competition, or to take advantage of emerging opportunities by developing and expanding their product and service offerings more quickly than we can. Additionally, they may hold larger portfolios of patents and other intellectual property rights as a result of such relationships or acquisitions. If we are unable to compete effectively with these evolving competitors for market share, our business, results of operations, and financial condition could be materially and adversely affected.</w:t>
      </w:r>
    </w:p>
    <w:p>
      <w:pPr>
        <w:spacing w:after="0" w:line="78" w:lineRule="exact"/>
        <w:rPr>
          <w:sz w:val="20"/>
          <w:szCs w:val="20"/>
          <w:color w:val="auto"/>
        </w:rPr>
      </w:pPr>
    </w:p>
    <w:p>
      <w:pPr>
        <w:ind w:right="20" w:firstLine="1033"/>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If we are unable to develop, introduce and market new and enhanced versions of our solutions and services, we may be put at a competitive disadvantage and our operating results could be adversely affected.</w:t>
      </w:r>
    </w:p>
    <w:p>
      <w:pPr>
        <w:spacing w:after="0" w:line="52" w:lineRule="exact"/>
        <w:rPr>
          <w:sz w:val="20"/>
          <w:szCs w:val="20"/>
          <w:color w:val="auto"/>
        </w:rPr>
      </w:pPr>
    </w:p>
    <w:p>
      <w:pPr>
        <w:ind w:right="20" w:firstLine="1033"/>
        <w:spacing w:after="0" w:line="271" w:lineRule="auto"/>
        <w:rPr>
          <w:sz w:val="20"/>
          <w:szCs w:val="20"/>
          <w:color w:val="auto"/>
        </w:rPr>
      </w:pPr>
      <w:r>
        <w:rPr>
          <w:rFonts w:ascii="Times New Roman" w:cs="Times New Roman" w:eastAsia="Times New Roman" w:hAnsi="Times New Roman"/>
          <w:sz w:val="16"/>
          <w:szCs w:val="16"/>
          <w:color w:val="auto"/>
        </w:rPr>
        <w:t>As technology continues to develop at a rapid pace, both within the P&amp;C insurance economy and more broadly across the insurance ecosystem, the possibility of the development of technological advancements made by other firms will increase. If we are unable to internally develop or acquire suitable alternatives to such developments or otherwise deploy competitive offerings our business and growth opportunities may be challenged. Additionally, certain P&amp;C insurance ecosystem customers may seek to develop internal solutions which could potentially compete with related offerings from us in whole or part. Technologies such as enhanced modeling, artificial intelligence and machine learning technology may offer certain firms, including insurance carriers, the opportunity to make rapid advancements in the development of tools which may impact the industry broadly.</w:t>
      </w:r>
    </w:p>
    <w:p>
      <w:pPr>
        <w:spacing w:after="0" w:line="76" w:lineRule="exact"/>
        <w:rPr>
          <w:sz w:val="20"/>
          <w:szCs w:val="20"/>
          <w:color w:val="auto"/>
        </w:rPr>
      </w:pPr>
    </w:p>
    <w:p>
      <w:pPr>
        <w:ind w:firstLine="1033"/>
        <w:spacing w:after="0" w:line="265" w:lineRule="auto"/>
        <w:rPr>
          <w:sz w:val="20"/>
          <w:szCs w:val="20"/>
          <w:color w:val="auto"/>
        </w:rPr>
      </w:pPr>
      <w:r>
        <w:rPr>
          <w:rFonts w:ascii="Times New Roman" w:cs="Times New Roman" w:eastAsia="Times New Roman" w:hAnsi="Times New Roman"/>
          <w:sz w:val="16"/>
          <w:szCs w:val="16"/>
          <w:color w:val="auto"/>
        </w:rPr>
        <w:t>New solutions utilize and will continue to be based on AI technologies in the future. As such, the market acceptance of AI-based solutions is critical to our continued success. In order for cloud-based AI solutions to be widely accepted, organizations must overcome any concerns with placing sensitive information on a cloud-based platform. Furthermore, our ability to effectively market and sell AI-based solutions to customers is partly dependent upon the pace at which enterprises undergo digital transformation as well as on our customers' (and their customers') acceptance of the use of AI. Customers' acceptance of the use of AI may be impacted by public perceptions of the use of AI generally, including concerns relating to its reliability, bias and other factors. If our customers do not accept the use of AI, or put significant limitations on how AI can be deployed in the solutions they purchase, it may have a material and adverse impact on our business, results of operations or financial condition. Additionally, as technologies continue to become more integrated with AI technologies, governments may implement data privacy and AI regulations with which we will need to comply, and which may result in the incurrence of additional costs and expenses.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17" w:name="page18"/>
    <w:bookmarkEnd w:id="17"/>
    <w:p>
      <w:pPr>
        <w:ind w:right="140" w:firstLine="1033"/>
        <w:spacing w:after="0" w:line="281" w:lineRule="auto"/>
        <w:rPr>
          <w:sz w:val="20"/>
          <w:szCs w:val="20"/>
          <w:color w:val="auto"/>
        </w:rPr>
      </w:pPr>
      <w:r>
        <w:rPr>
          <w:rFonts w:ascii="Times New Roman" w:cs="Times New Roman" w:eastAsia="Times New Roman" w:hAnsi="Times New Roman"/>
          <w:sz w:val="16"/>
          <w:szCs w:val="16"/>
          <w:color w:val="auto"/>
        </w:rPr>
        <w:t>We expect that the needs of our customers will continue to rapidly change and increase in complexity and we will need to improve the functionality and performance of our platform continually to meet these demands. If we are unable to continue to meet customer demands or to achieve more widespread market acceptance of enterprise AI solutions in general or our platform in particular, our business operations, financial results, and growth prospects will be materially and adversely affected.</w:t>
      </w:r>
    </w:p>
    <w:p>
      <w:pPr>
        <w:spacing w:after="0" w:line="65" w:lineRule="exact"/>
        <w:rPr>
          <w:sz w:val="20"/>
          <w:szCs w:val="20"/>
          <w:color w:val="auto"/>
        </w:rPr>
      </w:pPr>
    </w:p>
    <w:p>
      <w:pPr>
        <w:ind w:right="320" w:firstLine="1033"/>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Our sales and implementation cycles can be lengthy and variable, depend upon factors outside our control, and could cause us to expend significant time and resources prior to generating revenue.</w:t>
      </w:r>
    </w:p>
    <w:p>
      <w:pPr>
        <w:spacing w:after="0" w:line="52" w:lineRule="exact"/>
        <w:rPr>
          <w:sz w:val="20"/>
          <w:szCs w:val="20"/>
          <w:color w:val="auto"/>
        </w:rPr>
      </w:pPr>
    </w:p>
    <w:p>
      <w:pPr>
        <w:ind w:right="40" w:firstLine="1033"/>
        <w:spacing w:after="0" w:line="267" w:lineRule="auto"/>
        <w:rPr>
          <w:sz w:val="20"/>
          <w:szCs w:val="20"/>
          <w:color w:val="auto"/>
        </w:rPr>
      </w:pPr>
      <w:r>
        <w:rPr>
          <w:rFonts w:ascii="Times New Roman" w:cs="Times New Roman" w:eastAsia="Times New Roman" w:hAnsi="Times New Roman"/>
          <w:sz w:val="16"/>
          <w:szCs w:val="16"/>
          <w:color w:val="auto"/>
        </w:rPr>
        <w:t>Sales cycles for some of our solutions are complex and can be lengthy and unpredictable, requiring pre-purchase evaluation by a significant number of employees in our customers’ organizations, and can involve a significant operational decision by our customers. Our sales efforts involve educating our customers about the use and benefits of our solutions, including in the technical capabilities and the potential cost savings achievable by organizations using our solutions. For larger business opportunities, such as converting a new P&amp;C insurance customer, customers undertake a rigorous pre-purchase decision-making and evaluation process which typically involves due diligence and reference checks. We invest a substantial amount of time and resources in our sales efforts without any assurance that our efforts will produce sales. Even if we succeed at completing a sale, we may be unable to predict the size or term of an initial SaaS arrangement until very late in the sales cycle. In addition, we sometimes commit to include specific functions in our base solutions offering at the request of a customer or group of customers. Providing this additional functionality may be time consuming and may involve factors that are outside of our control. Customers may also insist that we commit to certain time frames in which systems built around our solutions will be operational, or that once implemented our solutions will be able to meet certain operational requirements. Our ability to meet such timeframes and requirements may involve factors that are outside of our control, and failure to meet such timeframes and requirements could result in us incurring penalties, costs and/or additional resource commitments, which would adversely affect our business and results of operations.</w:t>
      </w:r>
    </w:p>
    <w:p>
      <w:pPr>
        <w:spacing w:after="0" w:line="84" w:lineRule="exact"/>
        <w:rPr>
          <w:sz w:val="20"/>
          <w:szCs w:val="20"/>
          <w:color w:val="auto"/>
        </w:rPr>
      </w:pPr>
    </w:p>
    <w:p>
      <w:pPr>
        <w:ind w:right="20" w:firstLine="1033"/>
        <w:spacing w:after="0" w:line="271" w:lineRule="auto"/>
        <w:rPr>
          <w:sz w:val="20"/>
          <w:szCs w:val="20"/>
          <w:color w:val="auto"/>
        </w:rPr>
      </w:pPr>
      <w:r>
        <w:rPr>
          <w:rFonts w:ascii="Times New Roman" w:cs="Times New Roman" w:eastAsia="Times New Roman" w:hAnsi="Times New Roman"/>
          <w:sz w:val="16"/>
          <w:szCs w:val="16"/>
          <w:color w:val="auto"/>
        </w:rPr>
        <w:t>Unexpected delays and difficulties can occur as customers implement and test our solutions. Solutions can involve integration with our customers’ and third-party’s systems as well as the addition of customer and third-party data to our platform. This process can be complex, time-consuming and expensive for our customers and can result in delays in the implementation of our solutions, which could adversely affect our business, results of operations and financial condition. Time-consuming efforts such as client setups, training and transition of systems may also increase the amount of services personnel we must allocate to each customer, thereby increasing our costs for these services. These types of changes can also result in a shift in the timing of the recognition of revenue which could adversely affect results of operations and financial condition. The timing of when we sign a large contract can materially impact our results of operations for the period and can be difficult to predict.</w:t>
      </w:r>
    </w:p>
    <w:p>
      <w:pPr>
        <w:spacing w:after="0" w:line="7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b w:val="1"/>
          <w:bCs w:val="1"/>
          <w:i w:val="1"/>
          <w:iCs w:val="1"/>
          <w:color w:val="auto"/>
        </w:rPr>
        <w:t>Failure to manage our expanding operations effectively could harm our business.</w:t>
      </w:r>
    </w:p>
    <w:p>
      <w:pPr>
        <w:spacing w:after="0" w:line="131" w:lineRule="exact"/>
        <w:rPr>
          <w:sz w:val="20"/>
          <w:szCs w:val="20"/>
          <w:color w:val="auto"/>
        </w:rPr>
      </w:pPr>
    </w:p>
    <w:p>
      <w:pPr>
        <w:ind w:firstLine="1033"/>
        <w:spacing w:after="0" w:line="267" w:lineRule="auto"/>
        <w:rPr>
          <w:sz w:val="20"/>
          <w:szCs w:val="20"/>
          <w:color w:val="auto"/>
        </w:rPr>
      </w:pPr>
      <w:r>
        <w:rPr>
          <w:rFonts w:ascii="Times New Roman" w:cs="Times New Roman" w:eastAsia="Times New Roman" w:hAnsi="Times New Roman"/>
          <w:sz w:val="16"/>
          <w:szCs w:val="16"/>
          <w:color w:val="auto"/>
        </w:rPr>
        <w:t>We have expanded our operations over time and expect to continue to do so in the future. During the COVID-19 pandemic we transitioned to a hybrid working model of in-person and remote work, which brings challenges to managing our business and work force, including increased risk of cyberattacks due to more employees working remotely. For more information please see — “Public health outbreaks, epidemics or pandemics could harm our business and results of operations.” This expansion and changing work environment have placed, and will continue to place, challenges on our operations and our personnel. We will also need to identify, add and retain additional qualified personnel across our operations. To manage our anticipated future operational expansion effectively, we must maintain, and continue to enhance, our IT infrastructure and financial and accounting systems and controls, and manage expanded operations and employees in geographically distributed locations. Our growth could require significant capital expenditures and may divert financial resources from other projects, such as the development of new solutions. If we increase the size of our organization without experiencing an increase in sales of our solutions, we will experience reductions in our gross and operating margins and net income. We may also deem it advisable in the near-term or later to downsize certain of our offices in order to reduce costs, which may cause us to incur related charges. If we are unable to effectively manage our expanding operations or manage the increase in remote employees, our expenses may increase more than expected, our revenue could decline or grow more slowly than expected and we may be unable to implement our business strategy.</w:t>
      </w:r>
    </w:p>
    <w:p>
      <w:pPr>
        <w:spacing w:after="0" w:line="8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b w:val="1"/>
          <w:bCs w:val="1"/>
          <w:i w:val="1"/>
          <w:iCs w:val="1"/>
          <w:color w:val="auto"/>
        </w:rPr>
        <w:t>If we are unable to develop new markets or sell our solutions into these new and existing markets, our revenue will not grow as expected.</w:t>
      </w:r>
    </w:p>
    <w:p>
      <w:pPr>
        <w:spacing w:after="0" w:line="131" w:lineRule="exact"/>
        <w:rPr>
          <w:sz w:val="20"/>
          <w:szCs w:val="20"/>
          <w:color w:val="auto"/>
        </w:rPr>
      </w:pPr>
    </w:p>
    <w:p>
      <w:pPr>
        <w:ind w:firstLine="1033"/>
        <w:spacing w:after="0" w:line="266" w:lineRule="auto"/>
        <w:rPr>
          <w:sz w:val="20"/>
          <w:szCs w:val="20"/>
          <w:color w:val="auto"/>
        </w:rPr>
      </w:pPr>
      <w:r>
        <w:rPr>
          <w:rFonts w:ascii="Times New Roman" w:cs="Times New Roman" w:eastAsia="Times New Roman" w:hAnsi="Times New Roman"/>
          <w:sz w:val="16"/>
          <w:szCs w:val="16"/>
          <w:color w:val="auto"/>
        </w:rPr>
        <w:t>Our ability to increase revenue will depend, in large part, on our ability to further penetrate our existing markets and enter new markets, as well as our ability to increase sales from existing customers and attract new customers. The success of any enhancement or new solution or service depends on several factors, including the timely completion, introduction and market acceptance of enhanced or new solutions, adaptation to new industry standards and technological changes, the ability to maintain and to develop relationships with third parties and the ability to attract, retain and effectively train sales and marketing personnel. Any new solutions we develop or acquire may not be introduced in a timely or cost-effective manner and may not achieve the market acceptance necessary to generate significant revenue. Any new industry standards or practices that emerge, or any introduction by competitors of new solutions embodying new services or technologies, may cause our solutions to become obsolete. Any new markets in which we attempt to sell our solutions, including new countries or regions, may not be receptive or implementation may be delayed due to circumstances beyond our control, including economic and market factors, the applicable regulatory climate, public health outbreaks, epidemics and pandemics, natural disasters, war and terrorist attacks. Additionally, any expansion into new markets may require us to comply with new regulatory laws and regimes and increase our monitoring thereof on an ongoing basis, which will increase our costs, as well as the risk that we may not be in compliance on a timely basis or at all. Our ability to further penetrate our existing markets and enter new markets depends on the quality of our solutions and our ability to design our solutions to meet changing consumer demands and industry standards, as well as our ability to adopt to new markets and assure that our customers will be satisfied with our existing and new solutions. If we are unable to sell our solutions into new markets or attract new customers or to further penetrate existing markets, or to increase sales from existing customers by selling them additional solutions, our revenue will not grow as expected, which would have a material adverse effect on our business, financial condition and results of operations.</w:t>
      </w:r>
    </w:p>
    <w:p>
      <w:pPr>
        <w:spacing w:after="0" w:line="8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b w:val="1"/>
          <w:bCs w:val="1"/>
          <w:i w:val="1"/>
          <w:iCs w:val="1"/>
          <w:color w:val="auto"/>
        </w:rPr>
        <w:t>Developing significant revenue streams derived from our current research and development efforts may take several months or years, or may not be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achieved at all.</w:t>
      </w:r>
    </w:p>
    <w:p>
      <w:pPr>
        <w:spacing w:after="0" w:line="119" w:lineRule="exact"/>
        <w:rPr>
          <w:sz w:val="20"/>
          <w:szCs w:val="20"/>
          <w:color w:val="auto"/>
        </w:rPr>
      </w:pPr>
    </w:p>
    <w:p>
      <w:pPr>
        <w:ind w:right="500" w:firstLine="1033"/>
        <w:spacing w:after="0" w:line="269" w:lineRule="auto"/>
        <w:rPr>
          <w:sz w:val="20"/>
          <w:szCs w:val="20"/>
          <w:color w:val="auto"/>
        </w:rPr>
      </w:pPr>
      <w:r>
        <w:rPr>
          <w:rFonts w:ascii="Times New Roman" w:cs="Times New Roman" w:eastAsia="Times New Roman" w:hAnsi="Times New Roman"/>
          <w:sz w:val="16"/>
          <w:szCs w:val="16"/>
          <w:color w:val="auto"/>
        </w:rPr>
        <w:t>Developing software is time consuming and costly, and investment in development may involve a long payback cycle. Our research and development expenses were $173.1 million, or 20% of our total revenue, for the year ended December 31, 2023. Including the amount we</w:t>
      </w: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18" w:name="page19"/>
    <w:bookmarkEnd w:id="18"/>
    <w:p>
      <w:pPr>
        <w:jc w:val="both"/>
        <w:ind w:right="160"/>
        <w:spacing w:after="0" w:line="281" w:lineRule="auto"/>
        <w:rPr>
          <w:sz w:val="20"/>
          <w:szCs w:val="20"/>
          <w:color w:val="auto"/>
        </w:rPr>
      </w:pPr>
      <w:r>
        <w:rPr>
          <w:rFonts w:ascii="Times New Roman" w:cs="Times New Roman" w:eastAsia="Times New Roman" w:hAnsi="Times New Roman"/>
          <w:sz w:val="16"/>
          <w:szCs w:val="16"/>
          <w:color w:val="auto"/>
        </w:rPr>
        <w:t>capitalized for internal use software of $46.3 million, our total spend was 25% of total revenue for the year ended December 31, 2023. Our future plans include significant investments to develop, improve and expand the functionality of our solutions, which we believe is necessary to maintain our competitive position. However, we may not recognize significant revenue from these investments for several months or years, or the investments may not yield any additional revenue.</w:t>
      </w:r>
    </w:p>
    <w:p>
      <w:pPr>
        <w:spacing w:after="0" w:line="65" w:lineRule="exact"/>
        <w:rPr>
          <w:sz w:val="20"/>
          <w:szCs w:val="20"/>
          <w:color w:val="auto"/>
        </w:rPr>
      </w:pPr>
    </w:p>
    <w:p>
      <w:pPr>
        <w:ind w:right="420" w:firstLine="1033"/>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Changes in, or violations by us or our customers of, applicable government regulations could reduce demand for or limit our ability to provide our solutions and services in those jurisdictions.</w:t>
      </w:r>
    </w:p>
    <w:p>
      <w:pPr>
        <w:spacing w:after="0" w:line="52" w:lineRule="exact"/>
        <w:rPr>
          <w:sz w:val="20"/>
          <w:szCs w:val="20"/>
          <w:color w:val="auto"/>
        </w:rPr>
      </w:pPr>
    </w:p>
    <w:p>
      <w:pPr>
        <w:ind w:firstLine="1033"/>
        <w:spacing w:after="0" w:line="268" w:lineRule="auto"/>
        <w:rPr>
          <w:sz w:val="20"/>
          <w:szCs w:val="20"/>
          <w:color w:val="auto"/>
        </w:rPr>
      </w:pPr>
      <w:r>
        <w:rPr>
          <w:rFonts w:ascii="Times New Roman" w:cs="Times New Roman" w:eastAsia="Times New Roman" w:hAnsi="Times New Roman"/>
          <w:sz w:val="16"/>
          <w:szCs w:val="16"/>
          <w:color w:val="auto"/>
        </w:rPr>
        <w:t>Our P&amp;C insurance industry customers are subject to extensive government regulations, mainly at the state level in the United States and at the country level in our non-U.S. markets. Some of these regulations relate directly to our software and services, including regulations governing the use of total loss, casualty claims processing, and photo estimating software. If our insurance company customers fail to comply with new or existing insurance regulations, including those applicable to our software and services, they could lose their certifications to provide insurance and/or reduce their usage of our software and services, either of which would reduce our revenues. We have in the past and continue to spend considerable time and resources working with our customers to help them navigate these regulations, including Department of Insurance market conduct examinations and defending against class action lawsuits. If our solutions or services are found to be defective, we could be subject to liability. In addition, future regulations could force us to implement costly changes to our software and/or databases or have the effect of prohibiting or rendering less valuable one or more of our offerings. Also, we are subject to direct regulation in some markets, and our failure to comply with these regulations could significantly reduce our revenues or subject us to government sanctions.</w:t>
      </w:r>
    </w:p>
    <w:p>
      <w:pPr>
        <w:spacing w:after="0" w:line="7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b w:val="1"/>
          <w:bCs w:val="1"/>
          <w:i w:val="1"/>
          <w:iCs w:val="1"/>
          <w:color w:val="auto"/>
        </w:rPr>
        <w:t>Sales to customers or operations outside the United States may expose us to risks inherent in international sales.</w:t>
      </w:r>
    </w:p>
    <w:p>
      <w:pPr>
        <w:spacing w:after="0" w:line="131" w:lineRule="exact"/>
        <w:rPr>
          <w:sz w:val="20"/>
          <w:szCs w:val="20"/>
          <w:color w:val="auto"/>
        </w:rPr>
      </w:pPr>
    </w:p>
    <w:p>
      <w:pPr>
        <w:ind w:firstLine="1033"/>
        <w:spacing w:after="0" w:line="272" w:lineRule="auto"/>
        <w:rPr>
          <w:sz w:val="20"/>
          <w:szCs w:val="20"/>
          <w:color w:val="auto"/>
        </w:rPr>
      </w:pPr>
      <w:r>
        <w:rPr>
          <w:rFonts w:ascii="Times New Roman" w:cs="Times New Roman" w:eastAsia="Times New Roman" w:hAnsi="Times New Roman"/>
          <w:sz w:val="16"/>
          <w:szCs w:val="16"/>
          <w:color w:val="auto"/>
        </w:rPr>
        <w:t>Historically, transactions occurring outside of the U.S. have represented a small portion of our overall processed transactions. However, we may expand our international sales efforts. Operating in international markets, including in China, requires significant resources and management attention and will subject us to regulatory, economic, and political risks that are different from those in the U.S. Because of our limited experience operating internationally, our international expansion efforts may not be successful. We may rely heavily on third parties outside of the U.S., and as a result we may be adversely impacted if we invest time and resources into such business relationships but do not see significant sales from such efforts. Potential risks and challenges associated with sales to customers and operations outside the U.S. include:</w:t>
      </w:r>
    </w:p>
    <w:p>
      <w:pPr>
        <w:spacing w:after="0" w:line="78" w:lineRule="exact"/>
        <w:rPr>
          <w:sz w:val="20"/>
          <w:szCs w:val="20"/>
          <w:color w:val="auto"/>
        </w:rPr>
      </w:pPr>
    </w:p>
    <w:p>
      <w:pPr>
        <w:ind w:left="1020" w:right="480" w:hanging="503"/>
        <w:spacing w:after="0" w:line="298" w:lineRule="auto"/>
        <w:tabs>
          <w:tab w:leader="none" w:pos="10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with multiple conflicting and changing governmental laws and regulations, including employment, tax, money transmission, privacy, data protection, and AI laws and regulations;</w:t>
      </w:r>
    </w:p>
    <w:p>
      <w:pPr>
        <w:spacing w:after="0" w:line="5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laws and business practices favoring local competitors;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new and different sources of competition;</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securing new integrations for international technology platforms;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localization of our solutions, including translation into foreign languages, obtaining and maintaining local content, and customer care in such languages;</w:t>
      </w:r>
    </w:p>
    <w:p>
      <w:pPr>
        <w:spacing w:after="0" w:line="126" w:lineRule="exact"/>
        <w:rPr>
          <w:rFonts w:ascii="Times New Roman" w:cs="Times New Roman" w:eastAsia="Times New Roman" w:hAnsi="Times New Roman"/>
          <w:sz w:val="16"/>
          <w:szCs w:val="16"/>
          <w:color w:val="auto"/>
        </w:rPr>
      </w:pPr>
    </w:p>
    <w:p>
      <w:pPr>
        <w:ind w:left="1020" w:right="140" w:hanging="503"/>
        <w:spacing w:after="0" w:line="298" w:lineRule="auto"/>
        <w:tabs>
          <w:tab w:leader="none" w:pos="10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treatment of revenue from international sources and changes to tax rules, including being subject to foreign tax laws and liability for paying withholding or other taxes in foreign jurisdictions;</w:t>
      </w:r>
    </w:p>
    <w:p>
      <w:pPr>
        <w:spacing w:after="0" w:line="5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 of foreign currency exchange rates;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different pricing environments;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on the transfer of funds;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in staffing and managing foreign operations;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availability of reliable Internet connectivity in areas targeted for expansion;</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different or lesser protection of our intellectual property;</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longer sales cycles;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natural disasters, acts of war, terrorism, pandemics, or security breaches;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import and export license requirements, tariffs, taxes and other trade barriers;</w:t>
      </w:r>
    </w:p>
    <w:p>
      <w:pPr>
        <w:spacing w:after="0" w:line="126" w:lineRule="exact"/>
        <w:rPr>
          <w:rFonts w:ascii="Times New Roman" w:cs="Times New Roman" w:eastAsia="Times New Roman" w:hAnsi="Times New Roman"/>
          <w:sz w:val="16"/>
          <w:szCs w:val="16"/>
          <w:color w:val="auto"/>
        </w:rPr>
      </w:pPr>
    </w:p>
    <w:p>
      <w:pPr>
        <w:ind w:left="1020" w:right="100" w:hanging="503"/>
        <w:spacing w:after="0" w:line="298" w:lineRule="auto"/>
        <w:tabs>
          <w:tab w:leader="none" w:pos="10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with sanctions laws and regulations and trade embargos, including those administered by the Office of Foreign Assets Control (“OFAC”) of the U.S. Department of the Treasury;</w:t>
      </w:r>
    </w:p>
    <w:p>
      <w:pPr>
        <w:spacing w:after="0" w:line="56" w:lineRule="exact"/>
        <w:rPr>
          <w:rFonts w:ascii="Times New Roman" w:cs="Times New Roman" w:eastAsia="Times New Roman" w:hAnsi="Times New Roman"/>
          <w:sz w:val="16"/>
          <w:szCs w:val="16"/>
          <w:color w:val="auto"/>
        </w:rPr>
      </w:pPr>
    </w:p>
    <w:p>
      <w:pPr>
        <w:ind w:left="1020" w:hanging="503"/>
        <w:spacing w:after="0" w:line="298" w:lineRule="auto"/>
        <w:tabs>
          <w:tab w:leader="none" w:pos="10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burdens and costs of complying with a wide variety of foreign laws and legal standards, including the General Data Protection Regulation (EU 2016/679) (“GDPR”) in the European Union (“EU”);</w:t>
      </w:r>
    </w:p>
    <w:p>
      <w:pPr>
        <w:spacing w:after="0" w:line="5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with various anti-bribery and anti-corruption laws such as the U.S. Foreign Corrupt Practices Act (“FCPA”);</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regional or national economic and political conditions; and</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pressure on the creditworthiness of sovereign nations resulting from liquidity issues or political actions.</w:t>
      </w:r>
    </w:p>
    <w:p>
      <w:pPr>
        <w:spacing w:after="0" w:line="127"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16"/>
          <w:szCs w:val="16"/>
          <w:color w:val="auto"/>
        </w:rPr>
        <w:t>As we continue to expand our business globally, our success will depend, in large part, on our ability to anticipate and effectively manage these and other risks associated with our international operations. Any of these factors could negatively impact our business, results of operations, financial condition and growth prospects.</w:t>
      </w: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8" w:right="359" w:bottom="1440" w:gutter="0" w:footer="0" w:header="0"/>
        </w:sectPr>
      </w:pPr>
    </w:p>
    <w:bookmarkStart w:id="19" w:name="page20"/>
    <w:bookmarkEnd w:id="19"/>
    <w:p>
      <w:pPr>
        <w:ind w:right="360" w:firstLine="1033"/>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Changes in China’s economic, political or social conditions or government policies, as well as the corruption risks presented by operating in China, could have an adverse effect on our efforts to expand our business in China.</w:t>
      </w:r>
    </w:p>
    <w:p>
      <w:pPr>
        <w:spacing w:after="0" w:line="52" w:lineRule="exact"/>
        <w:rPr>
          <w:sz w:val="20"/>
          <w:szCs w:val="20"/>
          <w:color w:val="auto"/>
        </w:rPr>
      </w:pPr>
    </w:p>
    <w:p>
      <w:pPr>
        <w:ind w:firstLine="1033"/>
        <w:spacing w:after="0" w:line="267" w:lineRule="auto"/>
        <w:rPr>
          <w:sz w:val="20"/>
          <w:szCs w:val="20"/>
          <w:color w:val="auto"/>
        </w:rPr>
      </w:pPr>
      <w:r>
        <w:rPr>
          <w:rFonts w:ascii="Times New Roman" w:cs="Times New Roman" w:eastAsia="Times New Roman" w:hAnsi="Times New Roman"/>
          <w:sz w:val="16"/>
          <w:szCs w:val="16"/>
          <w:color w:val="auto"/>
        </w:rPr>
        <w:t>The Chinese economy differs from the economies of most developed countries in many respects, including the degree of government involvement, level of development, growth rate, control of foreign exchange and allocation of resources. Accordingly, our business, prospects, financial condition and results of operations may be affected to a significant degree by political, economic and social conditions in China generally. These conditions may be impacted by macroeconomic or geopolitical factors beyond our control, including any deterioration in the political and trade relationship between the U.S. and China. Although the Chinese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China are still owned or controlled by the government. By virtue of our serving customers in China that are at least partially owned or controlled by the government, there is also an increased risk of running afoul of the FCPA and other laws and regulations concerning anti-bribery and anti-corruption, including local Chinese laws, particularly given that China is perceived to present a heightened risk from an anti-corruption perspective. Any efforts to expand our business operations in China may include engaging with partners and third-party intermediaries who may have direct or indirect dealings with those deemed by anti-corruption laws to be government officials, further increasing the risk of violations of such laws that may result in fines and/or criminal sanctions against us, our officers, or our employees. In addition, the Chinese government continues to play a significant role in regulating industry development by imposing industrial policies. The Chinese government also exercises significant control over China’s economic growth by allocating resources, controlling payment of foreign currency-denominated obligations, setting monetary policy and providing preferential treatment to particular industries or companies.</w:t>
      </w:r>
    </w:p>
    <w:p>
      <w:pPr>
        <w:spacing w:after="0" w:line="80" w:lineRule="exact"/>
        <w:rPr>
          <w:sz w:val="20"/>
          <w:szCs w:val="20"/>
          <w:color w:val="auto"/>
        </w:rPr>
      </w:pPr>
    </w:p>
    <w:p>
      <w:pPr>
        <w:ind w:right="180" w:firstLine="1033"/>
        <w:spacing w:after="0" w:line="271" w:lineRule="auto"/>
        <w:rPr>
          <w:sz w:val="20"/>
          <w:szCs w:val="20"/>
          <w:color w:val="auto"/>
        </w:rPr>
      </w:pPr>
      <w:r>
        <w:rPr>
          <w:rFonts w:ascii="Times New Roman" w:cs="Times New Roman" w:eastAsia="Times New Roman" w:hAnsi="Times New Roman"/>
          <w:sz w:val="16"/>
          <w:szCs w:val="16"/>
          <w:color w:val="auto"/>
        </w:rPr>
        <w:t>While the Chinese economy has experienced significant growth over the past decades, growth has been uneven, both geographically and among various sectors of the economy. The Chinese government has implemented various measures to encourage economic growth and guide the allocation of resources. Some of these measures may benefit the overall Chinese economy, but may have a negative effect on us. For example, our financial condition and results of operations may be adversely affected by government control over capital investments or changes in tax regulations. The growth rate of the Chinese economy has gradually slowed since 2010. A continued slowdown in the Chinese economy may reduce the demand for our solutions and services and materially and adversely affect our business and results of operations.</w:t>
      </w:r>
    </w:p>
    <w:p>
      <w:pPr>
        <w:spacing w:after="0" w:line="7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b w:val="1"/>
          <w:bCs w:val="1"/>
          <w:i w:val="1"/>
          <w:iCs w:val="1"/>
          <w:color w:val="auto"/>
        </w:rPr>
        <w:t>Our business activities are subject to the FCPA and similar anti-bribery and anti-corruption laws.</w:t>
      </w:r>
    </w:p>
    <w:p>
      <w:pPr>
        <w:spacing w:after="0" w:line="131" w:lineRule="exact"/>
        <w:rPr>
          <w:sz w:val="20"/>
          <w:szCs w:val="20"/>
          <w:color w:val="auto"/>
        </w:rPr>
      </w:pPr>
    </w:p>
    <w:p>
      <w:pPr>
        <w:ind w:firstLine="1033"/>
        <w:spacing w:after="0" w:line="267" w:lineRule="auto"/>
        <w:rPr>
          <w:sz w:val="20"/>
          <w:szCs w:val="20"/>
          <w:color w:val="auto"/>
        </w:rPr>
      </w:pPr>
      <w:r>
        <w:rPr>
          <w:rFonts w:ascii="Times New Roman" w:cs="Times New Roman" w:eastAsia="Times New Roman" w:hAnsi="Times New Roman"/>
          <w:sz w:val="16"/>
          <w:szCs w:val="16"/>
          <w:color w:val="auto"/>
        </w:rPr>
        <w:t>Anti-corruption and anti-bribery laws have been enforced aggressively in recent years. Our business activities are subject to the FCPA and other similar anti-bribery and anti-corruption laws, regulations, or rules of other countries in which we operate, including the U.K. Bribery Act. These laws are interpreted broadly and prohibit companies, their employees, and third-party intermediaries from authorizing, promising, offering, or providing, either directly or indirectly, improper payments or anything else of value to recipients in the public or private sector. The FCPA also requires public companies to maintain accurate books and records and to devise and maintain an adequate system of internal accounting controls. While only representing a de minimis proportion of our total revenue, we count among our customers a number of government entities. We may have direct or indirect dealings with those deemed by anti-corruption laws to be government officials, which also include interactions in countries known or perceived to experience corruption, including China. Activities in such countries create the risk of unauthorized payments or offers of payments by one of our employees, consultants, partners, or third-party intermediaries that could be in violation of various anti-corruption laws. We have policies and controls intended to prevent these practices, including a Global Anti-Bribery Policy, Code of Ethics, mandatory anti-corruption trainings, financial controls, and a whistleblowing hotline, among others. While there is no certainty that all of our employees, consultants, partners, or third-party intermediaries will comply with all applicable laws and regulations, particularly given the high level of complexity of these laws, our policies and controls aim to satisfy our obligation to comply with them.</w:t>
      </w:r>
    </w:p>
    <w:p>
      <w:pPr>
        <w:spacing w:after="0" w:line="84" w:lineRule="exact"/>
        <w:rPr>
          <w:sz w:val="20"/>
          <w:szCs w:val="20"/>
          <w:color w:val="auto"/>
        </w:rPr>
      </w:pPr>
    </w:p>
    <w:p>
      <w:pPr>
        <w:ind w:right="40" w:firstLine="1033"/>
        <w:spacing w:after="0" w:line="272" w:lineRule="auto"/>
        <w:rPr>
          <w:sz w:val="20"/>
          <w:szCs w:val="20"/>
          <w:color w:val="auto"/>
        </w:rPr>
      </w:pPr>
      <w:r>
        <w:rPr>
          <w:rFonts w:ascii="Times New Roman" w:cs="Times New Roman" w:eastAsia="Times New Roman" w:hAnsi="Times New Roman"/>
          <w:sz w:val="16"/>
          <w:szCs w:val="16"/>
          <w:color w:val="auto"/>
        </w:rPr>
        <w:t>Any violation of these laws and regulations could result in fines, criminal sanctions against us, our officers, or our employees, and liability for the actions of corrupt or other illegal activities of such third-party intermediaries, their employees, representatives, contractors, partners, and agents, even if we do not explicitly authorize such activities. Additionally, any such violations could materially damage our reputation, brand, international expansion efforts, ability to attract and retain employees, and our business, prospects, operating results and financial condition. Responding to any enforcement action may result in a significant diversion of management’s attention and resources and significant defense costs and other professional fees.</w:t>
      </w:r>
    </w:p>
    <w:p>
      <w:pPr>
        <w:spacing w:after="0" w:line="7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b w:val="1"/>
          <w:bCs w:val="1"/>
          <w:i w:val="1"/>
          <w:iCs w:val="1"/>
          <w:color w:val="auto"/>
        </w:rPr>
        <w:t>We are subject to increasing global trade laws and regulations.</w:t>
      </w:r>
    </w:p>
    <w:p>
      <w:pPr>
        <w:spacing w:after="0" w:line="131" w:lineRule="exact"/>
        <w:rPr>
          <w:sz w:val="20"/>
          <w:szCs w:val="20"/>
          <w:color w:val="auto"/>
        </w:rPr>
      </w:pPr>
    </w:p>
    <w:p>
      <w:pPr>
        <w:ind w:right="640" w:firstLine="1033"/>
        <w:spacing w:after="0" w:line="281" w:lineRule="auto"/>
        <w:rPr>
          <w:sz w:val="20"/>
          <w:szCs w:val="20"/>
          <w:color w:val="auto"/>
        </w:rPr>
      </w:pPr>
      <w:r>
        <w:rPr>
          <w:rFonts w:ascii="Times New Roman" w:cs="Times New Roman" w:eastAsia="Times New Roman" w:hAnsi="Times New Roman"/>
          <w:sz w:val="16"/>
          <w:szCs w:val="16"/>
          <w:color w:val="auto"/>
        </w:rPr>
        <w:t>We are subject to U.S. trade laws and regulations, including economic sanctions, export controls, and import laws, as well as similar trade laws and regulations in other countries in which we operate. Failure to comply with global trade laws and regulations can result in penalties and/or reputational harm. Our international sales efforts expose us to increased risk under these laws and regulations, and increasing and evolving global trade laws could impact our business.</w:t>
      </w:r>
    </w:p>
    <w:p>
      <w:pPr>
        <w:spacing w:after="0" w:line="6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b w:val="1"/>
          <w:bCs w:val="1"/>
          <w:i w:val="1"/>
          <w:iCs w:val="1"/>
          <w:color w:val="auto"/>
        </w:rPr>
        <w:t>We may experience fluctuations in foreign currency exchange rates that could adversely impact our results of operations.</w:t>
      </w:r>
    </w:p>
    <w:p>
      <w:pPr>
        <w:spacing w:after="0" w:line="131" w:lineRule="exact"/>
        <w:rPr>
          <w:sz w:val="20"/>
          <w:szCs w:val="20"/>
          <w:color w:val="auto"/>
        </w:rPr>
      </w:pPr>
    </w:p>
    <w:p>
      <w:pPr>
        <w:ind w:right="40" w:firstLine="1033"/>
        <w:spacing w:after="0" w:line="269" w:lineRule="auto"/>
        <w:rPr>
          <w:sz w:val="20"/>
          <w:szCs w:val="20"/>
          <w:color w:val="auto"/>
        </w:rPr>
      </w:pPr>
      <w:r>
        <w:rPr>
          <w:rFonts w:ascii="Times New Roman" w:cs="Times New Roman" w:eastAsia="Times New Roman" w:hAnsi="Times New Roman"/>
          <w:sz w:val="16"/>
          <w:szCs w:val="16"/>
          <w:color w:val="auto"/>
        </w:rPr>
        <w:t>As we expand our business and operations internationally, our international sales may be denominated in foreign currencies, and this revenue could be materially affected by currency fluctuations. The volatility of exchange rates depends on many factors that we cannot forecast with reliable accuracy. We typically collect revenue and incur costs in the currency of the location in which we provide our solutions and services, but our contracts with our customers are long-term in nature so it is difficult to predict if our operating activities will provide a natural hedge in the future or as we expand internationally. Our results of operations may also be impacted by transaction gains or losses related to revaluing certain current asset and liability balances that are denominated in currencies other than the functional currency of the entities in which they are recorded. Moreover, significant and unforeseen changes in foreign currency exchange rates may cause us to fail to achieve our stated projections for revenue and operating income, which could have an adverse effect on our stock price. As we expand internationally, we will continue to experience fluctuations in foreign currency exchange rates, which, if material, may harm our revenue or results of operations.</w:t>
      </w:r>
    </w:p>
    <w:p>
      <w:pPr>
        <w:spacing w:after="0" w:line="74" w:lineRule="exact"/>
        <w:rPr>
          <w:sz w:val="20"/>
          <w:szCs w:val="20"/>
          <w:color w:val="auto"/>
        </w:rPr>
      </w:pPr>
    </w:p>
    <w:p>
      <w:pPr>
        <w:ind w:right="700" w:firstLine="1033"/>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We rely on data, technology, and intellectual property of third parties and our solutions rely on information generated by third parties and any interruption of our access to such information, technology, and intellectual property could materially harm our operating results.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4" w:right="359" w:bottom="1440" w:gutter="0" w:footer="0" w:header="0"/>
        </w:sectPr>
      </w:pPr>
    </w:p>
    <w:bookmarkStart w:id="20" w:name="page21"/>
    <w:bookmarkEnd w:id="20"/>
    <w:p>
      <w:pPr>
        <w:ind w:right="20" w:firstLine="1033"/>
        <w:spacing w:after="0" w:line="269" w:lineRule="auto"/>
        <w:rPr>
          <w:sz w:val="20"/>
          <w:szCs w:val="20"/>
          <w:color w:val="auto"/>
        </w:rPr>
      </w:pPr>
      <w:r>
        <w:rPr>
          <w:rFonts w:ascii="Times New Roman" w:cs="Times New Roman" w:eastAsia="Times New Roman" w:hAnsi="Times New Roman"/>
          <w:sz w:val="16"/>
          <w:szCs w:val="16"/>
          <w:color w:val="auto"/>
        </w:rPr>
        <w:t>We use data, technology, and intellectual property licensed from unaffiliated third parties in certain of our solutions, and we may license additional third-party data, technology, and intellectual property in the future. Any errors or defects in this third-party data, technology, and intellectual property could result in errors that could adversely impact our brand and business. In addition, licensed data, technology, and intellectual property may not continue to be available on commercially reasonable terms, or at all. The loss of the right to license and distribute this third-party data, technology, and intellectual property could limit the functionality of, or require us to redesign, our solutions. Our success depends significantly on our ability to provide our customers access to data from many different sources, including, for example, parts-related data for purposes of repair estimation. We obtain much of our data about vehicle parts and components and collision repair labor and costs through license agreements with third parties who may be sole-source suppliers of that data.</w:t>
      </w:r>
    </w:p>
    <w:p>
      <w:pPr>
        <w:spacing w:after="0" w:line="82" w:lineRule="exact"/>
        <w:rPr>
          <w:sz w:val="20"/>
          <w:szCs w:val="20"/>
          <w:color w:val="auto"/>
        </w:rPr>
      </w:pPr>
    </w:p>
    <w:p>
      <w:pPr>
        <w:ind w:right="60" w:firstLine="1033"/>
        <w:spacing w:after="0" w:line="271" w:lineRule="auto"/>
        <w:rPr>
          <w:sz w:val="20"/>
          <w:szCs w:val="20"/>
          <w:color w:val="auto"/>
        </w:rPr>
      </w:pPr>
      <w:r>
        <w:rPr>
          <w:rFonts w:ascii="Times New Roman" w:cs="Times New Roman" w:eastAsia="Times New Roman" w:hAnsi="Times New Roman"/>
          <w:sz w:val="16"/>
          <w:szCs w:val="16"/>
          <w:color w:val="auto"/>
        </w:rPr>
        <w:t>If one or more of our licenses are terminated, if our licenses are subject to material price increases, if we are unable to renew one or more of these licenses on favorable terms or at all, or if one or more licensor becomes subject to allegations of breach of third-party intellectual property rights with respect to the materials licensed by us, we may be unable to access the licensed materials without incurring additional costs or, for instance in the case of materials licensed from sole-service suppliers, unable to access alternative sources that would provide comparable materials. While we do not believe that our access to many of the individual sources of data is material to our operations, prolonged industry-wide price increases or reductions in data availability could make receiving certain data more difficult and could result in significant cost increases, which would materially harm our operating results.</w:t>
      </w:r>
    </w:p>
    <w:p>
      <w:pPr>
        <w:spacing w:after="0" w:line="7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b w:val="1"/>
          <w:bCs w:val="1"/>
          <w:i w:val="1"/>
          <w:iCs w:val="1"/>
          <w:color w:val="auto"/>
        </w:rPr>
        <w:t>Failure to protect our intellectual property could adversely impact our business and results of operations.</w:t>
      </w:r>
    </w:p>
    <w:p>
      <w:pPr>
        <w:spacing w:after="0" w:line="131" w:lineRule="exact"/>
        <w:rPr>
          <w:sz w:val="20"/>
          <w:szCs w:val="20"/>
          <w:color w:val="auto"/>
        </w:rPr>
      </w:pPr>
    </w:p>
    <w:p>
      <w:pPr>
        <w:ind w:right="360" w:firstLine="1033"/>
        <w:spacing w:after="0" w:line="298" w:lineRule="auto"/>
        <w:rPr>
          <w:sz w:val="20"/>
          <w:szCs w:val="20"/>
          <w:color w:val="auto"/>
        </w:rPr>
      </w:pPr>
      <w:r>
        <w:rPr>
          <w:rFonts w:ascii="Times New Roman" w:cs="Times New Roman" w:eastAsia="Times New Roman" w:hAnsi="Times New Roman"/>
          <w:sz w:val="16"/>
          <w:szCs w:val="16"/>
          <w:color w:val="auto"/>
        </w:rPr>
        <w:t>Our success depends in part on our ability to enforce and defend our intellectual property rights. We rely upon a combination of trademark, trade secret, copyright, patent and unfair competition laws, as well as license agreements and other contractual provisions, to do so.</w:t>
      </w:r>
    </w:p>
    <w:p>
      <w:pPr>
        <w:spacing w:after="0" w:line="56" w:lineRule="exact"/>
        <w:rPr>
          <w:sz w:val="20"/>
          <w:szCs w:val="20"/>
          <w:color w:val="auto"/>
        </w:rPr>
      </w:pPr>
    </w:p>
    <w:p>
      <w:pPr>
        <w:ind w:right="20" w:firstLine="1033"/>
        <w:spacing w:after="0" w:line="267" w:lineRule="auto"/>
        <w:rPr>
          <w:sz w:val="20"/>
          <w:szCs w:val="20"/>
          <w:color w:val="auto"/>
        </w:rPr>
      </w:pPr>
      <w:r>
        <w:rPr>
          <w:rFonts w:ascii="Times New Roman" w:cs="Times New Roman" w:eastAsia="Times New Roman" w:hAnsi="Times New Roman"/>
          <w:sz w:val="16"/>
          <w:szCs w:val="16"/>
          <w:color w:val="auto"/>
        </w:rPr>
        <w:t>In the future we may file patent applications related to certain of our innovations. We do not know whether those patent applications will result in the issuance of a patent or whether the examination process will require us to narrow our claims. In addition, we may not receive competitive advantages from the rights granted under our patents and other intellectual property. Our existing patents and any patents granted to us or that we otherwise acquire in the future, may be contested, circumvented or invalidated, and we may not be able to prevent third parties from infringing these patents. The validity, enforceability, scope and effective term of patents can be highly uncertain and often involve complex legal and factual questions and proceedings that vary based on the local law of the relevant jurisdiction. Our ability to enforce our patents also depends on the laws of individual countries and each country’s practice with respect to enforcement of intellectual property rights. Patent protection must be obtained on a jurisdiction-by-jurisdiction basis, and we only pursue patent protection in countries where we think it makes commercial sense for the given solution. In addition, if we are unable to maintain our existing license agreements or other agreements pursuant to which third parties grant us rights to intellectual property, including because such agreements terminate, our financial condition and results of operations could be materially adversely affected. Therefore, the extent of the protection afforded by these patents cannot be predicted with certainty. In addition, given the costs, effort, risks and downside of obtaining patent protection, including the requirement to ultimately disclose the invention to the public, we may choose not to seek patent protection for certain innovations; however, such patent protection could later prove to be important to our business.</w:t>
      </w:r>
    </w:p>
    <w:p>
      <w:pPr>
        <w:spacing w:after="0" w:line="286" w:lineRule="exact"/>
        <w:rPr>
          <w:sz w:val="20"/>
          <w:szCs w:val="20"/>
          <w:color w:val="auto"/>
        </w:rPr>
      </w:pPr>
    </w:p>
    <w:p>
      <w:pPr>
        <w:ind w:firstLine="1033"/>
        <w:spacing w:after="0" w:line="272" w:lineRule="auto"/>
        <w:rPr>
          <w:sz w:val="20"/>
          <w:szCs w:val="20"/>
          <w:color w:val="auto"/>
        </w:rPr>
      </w:pPr>
      <w:r>
        <w:rPr>
          <w:rFonts w:ascii="Times New Roman" w:cs="Times New Roman" w:eastAsia="Times New Roman" w:hAnsi="Times New Roman"/>
          <w:sz w:val="16"/>
          <w:szCs w:val="16"/>
          <w:color w:val="auto"/>
        </w:rPr>
        <w:t xml:space="preserve">Patent law reform in the U.S. and other countries may also weaken our ability to enforce our patent rights, or make such enforcement financially unattractive. For instance, in September 2011, the U.S. enacted the America Invents Act, which permits enhanced third-party actions for challenging patents and implements a first-to-file system. Further, the U.S. Supreme Court’s 2014 decision in </w:t>
      </w:r>
      <w:r>
        <w:rPr>
          <w:rFonts w:ascii="Times New Roman" w:cs="Times New Roman" w:eastAsia="Times New Roman" w:hAnsi="Times New Roman"/>
          <w:sz w:val="16"/>
          <w:szCs w:val="16"/>
          <w:i w:val="1"/>
          <w:iCs w:val="1"/>
          <w:color w:val="auto"/>
        </w:rPr>
        <w:t>Alice v. CLS Bank</w:t>
      </w:r>
      <w:r>
        <w:rPr>
          <w:rFonts w:ascii="Times New Roman" w:cs="Times New Roman" w:eastAsia="Times New Roman" w:hAnsi="Times New Roman"/>
          <w:sz w:val="16"/>
          <w:szCs w:val="16"/>
          <w:color w:val="auto"/>
        </w:rPr>
        <w:t xml:space="preserve"> made it easier to invalidate software patents, leading to us to scale back our patent prosecution strategy. These legal changes could result in increased costs to protect our intellectual property or limit our ability to obtain and maintain patent protection for our solutions in these jurisdictions.</w:t>
      </w:r>
    </w:p>
    <w:p>
      <w:pPr>
        <w:spacing w:after="0" w:line="78" w:lineRule="exact"/>
        <w:rPr>
          <w:sz w:val="20"/>
          <w:szCs w:val="20"/>
          <w:color w:val="auto"/>
        </w:rPr>
      </w:pPr>
    </w:p>
    <w:p>
      <w:pPr>
        <w:ind w:firstLine="1033"/>
        <w:spacing w:after="0" w:line="269" w:lineRule="auto"/>
        <w:rPr>
          <w:sz w:val="20"/>
          <w:szCs w:val="20"/>
          <w:color w:val="auto"/>
        </w:rPr>
      </w:pPr>
      <w:r>
        <w:rPr>
          <w:rFonts w:ascii="Times New Roman" w:cs="Times New Roman" w:eastAsia="Times New Roman" w:hAnsi="Times New Roman"/>
          <w:sz w:val="16"/>
          <w:szCs w:val="16"/>
          <w:color w:val="auto"/>
        </w:rPr>
        <w:t>We also rely on several registered and unregistered trademarks to protect our brand. We have pursued and will pursue the registration of trademarks, logos and service marks in the U.S. and internationally; however, enforcing rights against those who knowingly or unknowingly dilute or infringe our brands can be difficult. There can be no assurance that the steps we have taken and will take to protect our proprietary rights in our brands and trademarks will be adequate or that third parties will not infringe, dilute or misappropriate our brands, trademarks, trade dress or other similar proprietary rights. Competitors may adopt service names similar to ours, or use confusingly similar terms as keywords in Internet search engine advertising programs, thereby impeding our ability to build brand identity and possibly creating confusion in the marketplace. In addition, trade name or trademark infringement claims could be brought against us by owners of other registered trademarks or trademarks that incorporate variations of our trademarks. Any claims or customer confusion related to our trademarks could damage our reputation and brand and adversely impact our business and results of operations.</w:t>
      </w:r>
    </w:p>
    <w:p>
      <w:pPr>
        <w:spacing w:after="0" w:line="284" w:lineRule="exact"/>
        <w:rPr>
          <w:sz w:val="20"/>
          <w:szCs w:val="20"/>
          <w:color w:val="auto"/>
        </w:rPr>
      </w:pPr>
    </w:p>
    <w:p>
      <w:pPr>
        <w:ind w:right="20" w:firstLine="1033"/>
        <w:spacing w:after="0" w:line="267" w:lineRule="auto"/>
        <w:rPr>
          <w:sz w:val="20"/>
          <w:szCs w:val="20"/>
          <w:color w:val="auto"/>
        </w:rPr>
      </w:pPr>
      <w:r>
        <w:rPr>
          <w:rFonts w:ascii="Times New Roman" w:cs="Times New Roman" w:eastAsia="Times New Roman" w:hAnsi="Times New Roman"/>
          <w:sz w:val="16"/>
          <w:szCs w:val="16"/>
          <w:color w:val="auto"/>
        </w:rPr>
        <w:t>We attempt to protect our intellectual property, technology and confidential information by generally requiring our employees, contractors, and consultants to enter into confidentiality and assignment of inventions agreements and third parties to enter into nondisclosure agreements, all of which offer only limited protection. These agreements may not effectively prevent, or provide an adequate remedy in the event of unauthorized use or disclosure of our confidential information, intellectual property or technology. Similarly, our customers, contractors, consultants and vendors may allege ownership of, or other rights in or to, confidential information, intellectual property or technology which we consider to be proprietary. Despite our efforts to protect our confidential information, intellectual property, and technology, unauthorized third parties may gain access to our confidential proprietary information, develop and market solutions similar to ours, or use trademarks similar to ours, any of which could materially impact our business and results of operations. In addition, others may independently discover our trade secrets and confidential information, and in such cases, we could not assert any trade secret rights against such parties. Existing U.S. federal, state and international intellectual property laws offer only limited protection. The laws of some foreign countries do not protect our intellectual property rights to as great an extent as the laws of the U.S., and many foreign countries do not enforce these laws as diligently as governmental agencies and private parties in the U.S. More broadly, enforcing intellectual property protections outside the U.S., including in some countries we operate in, can be more challenging than enforcement in the U.S. The Company takes certain actions when operating in countries where protection of IP, technology and confidential information, is not as well protected, including steps such as preventing placing sensitive IP in such countries, as an example. Moreover, policing our intellectual property rights is difficult, costly and may not always be effective.</w:t>
      </w:r>
    </w:p>
    <w:p>
      <w:pPr>
        <w:spacing w:after="0" w:line="80" w:lineRule="exact"/>
        <w:rPr>
          <w:sz w:val="20"/>
          <w:szCs w:val="20"/>
          <w:color w:val="auto"/>
        </w:rPr>
      </w:pPr>
    </w:p>
    <w:p>
      <w:pPr>
        <w:ind w:right="80" w:firstLine="1033"/>
        <w:spacing w:after="0" w:line="269" w:lineRule="auto"/>
        <w:rPr>
          <w:sz w:val="20"/>
          <w:szCs w:val="20"/>
          <w:color w:val="auto"/>
        </w:rPr>
      </w:pPr>
      <w:r>
        <w:rPr>
          <w:rFonts w:ascii="Times New Roman" w:cs="Times New Roman" w:eastAsia="Times New Roman" w:hAnsi="Times New Roman"/>
          <w:sz w:val="16"/>
          <w:szCs w:val="16"/>
          <w:color w:val="auto"/>
        </w:rPr>
        <w:t>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Even</w:t>
      </w: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21" w:name="page22"/>
    <w:bookmarkEnd w:id="21"/>
    <w:p>
      <w:pPr>
        <w:spacing w:after="0" w:line="267" w:lineRule="auto"/>
        <w:rPr>
          <w:sz w:val="20"/>
          <w:szCs w:val="20"/>
          <w:color w:val="auto"/>
        </w:rPr>
      </w:pPr>
      <w:r>
        <w:rPr>
          <w:rFonts w:ascii="Times New Roman" w:cs="Times New Roman" w:eastAsia="Times New Roman" w:hAnsi="Times New Roman"/>
          <w:sz w:val="16"/>
          <w:szCs w:val="16"/>
          <w:color w:val="auto"/>
        </w:rPr>
        <w:t>if we are successful in defending our claims, litigation could result in substantial costs and diversion of resources and could negatively affect our business, reputation, results of operations and financial condition. To the extent that we seek to enforce our rights, we could be subject to claims that an intellectual property right is invalid, otherwise not enforceable, or is licensed to the party against whom we are pursuing a claim. In addition, our assertion of intellectual property rights may result in the other party seeking to assert alleged intellectual property rights or assert other claims against us, which could adversely impact our business. If we are not successful in defending such claims in litigation, we may not be able to sell or license a particular solution due to an injunction, or we may have to pay damages that could, in turn, adversely impact our results of operations. In addition, governments may adopt regulations, or courts may render decisions, requiring compulsory licensing of intellectual property to others, or governments may require that products meet specified standards that serve to favor local companies. Our inability to enforce our intellectual property rights under these circumstances may adversely impact our competitive position and our business. If we are unable to protect our technology and to adequately maintain and protect our intellectual property rights, we may find ourselves at a competitive disadvantage to others who need not incur the additional expense, time and effort required to create the innovative solutions that have enabled us to be successful to date.</w:t>
      </w:r>
    </w:p>
    <w:p>
      <w:pPr>
        <w:spacing w:after="0" w:line="82" w:lineRule="exact"/>
        <w:rPr>
          <w:sz w:val="20"/>
          <w:szCs w:val="20"/>
          <w:color w:val="auto"/>
        </w:rPr>
      </w:pPr>
    </w:p>
    <w:p>
      <w:pPr>
        <w:ind w:right="200" w:firstLine="1033"/>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We may enter into joint ventures, collaborations or sponsored developments for intellectual property and, as a result, some of our intellectual property may, in the future, be jointly-owned by third parties.</w:t>
      </w:r>
    </w:p>
    <w:p>
      <w:pPr>
        <w:spacing w:after="0" w:line="52" w:lineRule="exact"/>
        <w:rPr>
          <w:sz w:val="20"/>
          <w:szCs w:val="20"/>
          <w:color w:val="auto"/>
        </w:rPr>
      </w:pPr>
    </w:p>
    <w:p>
      <w:pPr>
        <w:ind w:right="60" w:firstLine="1033"/>
        <w:spacing w:after="0" w:line="275" w:lineRule="auto"/>
        <w:rPr>
          <w:sz w:val="20"/>
          <w:szCs w:val="20"/>
          <w:color w:val="auto"/>
        </w:rPr>
      </w:pPr>
      <w:r>
        <w:rPr>
          <w:rFonts w:ascii="Times New Roman" w:cs="Times New Roman" w:eastAsia="Times New Roman" w:hAnsi="Times New Roman"/>
          <w:sz w:val="16"/>
          <w:szCs w:val="16"/>
          <w:color w:val="auto"/>
        </w:rPr>
        <w:t>Engagement in any type of intellectual property collaboration agreement requires diligent management of intellectual property rights. Other than in specific, limited circumstances, we do not currently engage in joint ventures, collaborations or sponsored development agreements. Should we enter into such agreements in future, the development of joint intellectual property would create additional administrative and financial burdens, and may place us at heightened risk of disputes or litigation regarding ownership, maintenance or enforcement of such joint intellectual property.</w:t>
      </w:r>
    </w:p>
    <w:p>
      <w:pPr>
        <w:spacing w:after="0" w:line="71" w:lineRule="exact"/>
        <w:rPr>
          <w:sz w:val="20"/>
          <w:szCs w:val="20"/>
          <w:color w:val="auto"/>
        </w:rPr>
      </w:pPr>
    </w:p>
    <w:p>
      <w:pPr>
        <w:ind w:right="120" w:firstLine="1033"/>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Assertions by third parties of infringement or other violation by us of their intellectual property rights could result in significant costs and substantially harm our business and results of operations.</w:t>
      </w:r>
    </w:p>
    <w:p>
      <w:pPr>
        <w:spacing w:after="0" w:line="52" w:lineRule="exact"/>
        <w:rPr>
          <w:sz w:val="20"/>
          <w:szCs w:val="20"/>
          <w:color w:val="auto"/>
        </w:rPr>
      </w:pPr>
    </w:p>
    <w:p>
      <w:pPr>
        <w:ind w:firstLine="1033"/>
        <w:spacing w:after="0" w:line="272" w:lineRule="auto"/>
        <w:rPr>
          <w:sz w:val="20"/>
          <w:szCs w:val="20"/>
          <w:color w:val="auto"/>
        </w:rPr>
      </w:pPr>
      <w:r>
        <w:rPr>
          <w:rFonts w:ascii="Times New Roman" w:cs="Times New Roman" w:eastAsia="Times New Roman" w:hAnsi="Times New Roman"/>
          <w:sz w:val="16"/>
          <w:szCs w:val="16"/>
          <w:color w:val="auto"/>
        </w:rPr>
        <w:t>The software industry is characterized by the existence of a large number of patents and frequent claims and related litigation regarding patents and other intellectual property rights. In particular, leading companies in the software industry own large numbers of patents, copyrights, trademarks and trade secrets, which they may use to assert claims against us. From time to time, third parties holding such intellectual property rights, including companies, competitors, patent holding companies, customers and/or non-practicing entities, may assert patent, copyright, trademark or other intellectual property claims against us, our customers and partners, and those from whom we license technology and intellectual property.</w:t>
      </w:r>
    </w:p>
    <w:p>
      <w:pPr>
        <w:spacing w:after="0" w:line="78" w:lineRule="exact"/>
        <w:rPr>
          <w:sz w:val="20"/>
          <w:szCs w:val="20"/>
          <w:color w:val="auto"/>
        </w:rPr>
      </w:pPr>
    </w:p>
    <w:p>
      <w:pPr>
        <w:ind w:right="60" w:firstLine="1033"/>
        <w:spacing w:after="0" w:line="269" w:lineRule="auto"/>
        <w:rPr>
          <w:sz w:val="20"/>
          <w:szCs w:val="20"/>
          <w:color w:val="auto"/>
        </w:rPr>
      </w:pPr>
      <w:r>
        <w:rPr>
          <w:rFonts w:ascii="Times New Roman" w:cs="Times New Roman" w:eastAsia="Times New Roman" w:hAnsi="Times New Roman"/>
          <w:sz w:val="16"/>
          <w:szCs w:val="16"/>
          <w:color w:val="auto"/>
        </w:rPr>
        <w:t>Although we believe that our solutions do not infringe upon the intellectual property rights of third parties, any such assertions may require us to enter into royalty arrangements or result in costly litigation, or result in us being unable to use certain intellectual property. Infringement assertions by third parties may involve patent holding companies or other patent owners who have no relevant product revenue, and therefore our own issued and pending patents may provide little or no deterrence to these patent owners in bringing intellectual property rights claims against us. The intellectual property ownership and license rights, including copyright, surrounding AI technologies has not been fully addressed by U.S. courts or other federal or state laws or regulations, and the use or adoption of third-party AI technologies into our solutions and business may result in exposure to claims of copyright infringement or other intellectual property misappropriation, the impacts of which we may not be fully able to mitigate by contract or otherwise.</w:t>
      </w:r>
    </w:p>
    <w:p>
      <w:pPr>
        <w:spacing w:after="0" w:line="82" w:lineRule="exact"/>
        <w:rPr>
          <w:sz w:val="20"/>
          <w:szCs w:val="20"/>
          <w:color w:val="auto"/>
        </w:rPr>
      </w:pPr>
    </w:p>
    <w:p>
      <w:pPr>
        <w:ind w:right="60" w:firstLine="1033"/>
        <w:spacing w:after="0" w:line="269" w:lineRule="auto"/>
        <w:rPr>
          <w:sz w:val="20"/>
          <w:szCs w:val="20"/>
          <w:color w:val="auto"/>
        </w:rPr>
      </w:pPr>
      <w:r>
        <w:rPr>
          <w:rFonts w:ascii="Times New Roman" w:cs="Times New Roman" w:eastAsia="Times New Roman" w:hAnsi="Times New Roman"/>
          <w:sz w:val="16"/>
          <w:szCs w:val="16"/>
          <w:color w:val="auto"/>
        </w:rPr>
        <w:t>If we are forced to defend against any infringement or misappropriation claims, whether they are with or without merit, are settled out of court, or are determined in our favor, we may be required to expend significant time and financial resources on the defense of such claims. Regardless of the merits or eventual outcome, such a claim could adversely impact our brand and business. Furthermore, an adverse outcome of a dispute may require us to pay damages, potentially including treble damages and attorneys’ fees, if we are found to have willfully infringed a party’s intellectual property; cease making, licensing or using our solutions that are alleged to infringe or misappropriate the intellectual property of others; expend additional development resources to redesign our solutions; enter into potentially unfavorable royalty or license agreements in order to obtain the right to use necessary technologies or works; and to indemnify our partners, customers and other third parties. Any of these events could adversely impact our business, results of operations and financial condition.</w:t>
      </w:r>
    </w:p>
    <w:p>
      <w:pPr>
        <w:spacing w:after="0" w:line="78" w:lineRule="exact"/>
        <w:rPr>
          <w:sz w:val="20"/>
          <w:szCs w:val="20"/>
          <w:color w:val="auto"/>
        </w:rPr>
      </w:pPr>
    </w:p>
    <w:p>
      <w:pPr>
        <w:ind w:right="200" w:firstLine="1033"/>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Our solutions or our third-party cloud providers have experienced in the past, and could experience in the future, data security breaches, which could adversely impact our reputation, business, and ongoing operations.</w:t>
      </w:r>
    </w:p>
    <w:p>
      <w:pPr>
        <w:spacing w:after="0" w:line="52" w:lineRule="exact"/>
        <w:rPr>
          <w:sz w:val="20"/>
          <w:szCs w:val="20"/>
          <w:color w:val="auto"/>
        </w:rPr>
      </w:pPr>
    </w:p>
    <w:p>
      <w:pPr>
        <w:ind w:firstLine="1033"/>
        <w:spacing w:after="0" w:line="264" w:lineRule="auto"/>
        <w:rPr>
          <w:sz w:val="20"/>
          <w:szCs w:val="20"/>
          <w:color w:val="auto"/>
        </w:rPr>
      </w:pPr>
      <w:r>
        <w:rPr>
          <w:rFonts w:ascii="Times New Roman" w:cs="Times New Roman" w:eastAsia="Times New Roman" w:hAnsi="Times New Roman"/>
          <w:sz w:val="16"/>
          <w:szCs w:val="16"/>
          <w:color w:val="auto"/>
        </w:rPr>
        <w:t>As a software business, we face risks of cyber-attacks, including ransomware and phishing attacks, social engineering attacks, computer break-ins, theft, fraud, misappropriation, misuse, denial-of-service attacks, and other improper activity that could jeopardize the performance of our platform and solutions and expose us to financial and reputational impact and legal liability, especially with regards to regulators such as the Federal Trade Commission, which has become increasingly aggressive in prosecuting alleged failure to secure personal data as unfair and deceptive acts or practices under the Federal Trade Commission Act. Furthermore, such adverse impact could be in the form of theft of our or our customers’ confidential information, the inability of our customers to access our systems, or the improper re-routing of customer funds through fraudulent transactions or other frauds perpetrated to obtain inappropriate payments and may result from accidental events (such as human error) or deliberate attacks. To protect the information we collect and our systems, we have implemented and maintain commercially reasonable security measures and information security policies and procedures informed by requirements under applicable law and recommended practices, in each case, as applicable to the data collected, but we cannot be sure that such security measures will be sufficient. In some cases, we must rely on the safeguards put in place by third parties to protect against security threats. These third parties, including vendors that provide products and services for our operations, could also be a source of security risk to us in the event of a failure of their own security systems and infrastructure. Our network of business application providers could also be a source of vulnerability to the extent their business applications interface with ours, whether unintentionally or through a malicious backdoor. We cannot, in all instances, review the software code included in third-party integrations. Although we vet and oversee such vendors, we cannot be sure such vetting and oversight will be sufficient. We also exercise limited control over these vendors, which increases our vulnerability to problems with services they provide. Any errors, failures, interruptions or delays experienced in connection with these vendor technologies and information services or our own systems could negatively impact our relationships with partners and adversely affect our business and could expose us to liabilities. Because the techniques used to obtain unauthorized access, or to sabotage systems, change frequently and generally are not recognized until launched against a target, and may be difficult to detect for long periods of time, we or these third parties may be unable to</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8" w:right="359" w:bottom="1440" w:gutter="0" w:footer="0" w:header="0"/>
        </w:sectPr>
      </w:pPr>
    </w:p>
    <w:bookmarkStart w:id="22" w:name="page23"/>
    <w:bookmarkEnd w:id="22"/>
    <w:p>
      <w:pPr>
        <w:ind w:right="320"/>
        <w:spacing w:after="0" w:line="275" w:lineRule="auto"/>
        <w:rPr>
          <w:sz w:val="20"/>
          <w:szCs w:val="20"/>
          <w:color w:val="auto"/>
        </w:rPr>
      </w:pPr>
      <w:r>
        <w:rPr>
          <w:rFonts w:ascii="Times New Roman" w:cs="Times New Roman" w:eastAsia="Times New Roman" w:hAnsi="Times New Roman"/>
          <w:sz w:val="16"/>
          <w:szCs w:val="16"/>
          <w:color w:val="auto"/>
        </w:rPr>
        <w:t>anticipate these techniques or to implement adequate preventative measures. With the increasing frequency of cyber-related frauds to obtain inappropriate payments, we need to ensure our internal controls related to authorizing the transfer of funds are adequate. We may also be required to expend resources to remediate cyber-related incidents or to enhance and strengthen our cyber security. Any of these occurrences could create liability for us, put our reputation in jeopardy, and adversely impact our business.</w:t>
      </w:r>
    </w:p>
    <w:p>
      <w:pPr>
        <w:spacing w:after="0" w:line="75" w:lineRule="exact"/>
        <w:rPr>
          <w:sz w:val="20"/>
          <w:szCs w:val="20"/>
          <w:color w:val="auto"/>
        </w:rPr>
      </w:pPr>
    </w:p>
    <w:p>
      <w:pPr>
        <w:ind w:right="60" w:firstLine="1033"/>
        <w:spacing w:after="0" w:line="267" w:lineRule="auto"/>
        <w:rPr>
          <w:sz w:val="20"/>
          <w:szCs w:val="20"/>
          <w:color w:val="auto"/>
        </w:rPr>
      </w:pPr>
      <w:r>
        <w:rPr>
          <w:rFonts w:ascii="Times New Roman" w:cs="Times New Roman" w:eastAsia="Times New Roman" w:hAnsi="Times New Roman"/>
          <w:sz w:val="16"/>
          <w:szCs w:val="16"/>
          <w:color w:val="auto"/>
        </w:rPr>
        <w:t>Our customers provide us with information that our solutions store, some of which is sensitive or confidential information about them or their financial transactions. In addition, we store personal information about our employees and, to a lesser extent, those who purchase or utilize products or services from our customers. We have security systems and information technology infrastructure designed to protect against unauthorized access to and disclosure of such information. The security systems and infrastructure we maintain may not be successful in protecting against all security breaches and cyber-attacks, including ransomware and phishing attacks, social-engineering attacks, computer break-ins, theft, fraud, misappropriation, misuse, denial-of-service attacks and other improper activity. Threats to our information technology security can take various forms, including viruses, worms, and other malicious software programs that attempt to attack our solutions or platform or to gain access to the data of our customers or their customers. Non-technical means, for example, actions or omissions by an employee or trespasser, can also result in a security breach. Any significant violations of data privacy could result in the loss of business, litigation, regulatory fines or investigations, loss of customers, and penalties that could damage our reputation and adversely affect the growth of our business. In addition, we maintain liability insurance coverage, including coverage for cyber-liability. It is possible, however, that claims could be denied or exceed the amount of our applicable insurance coverage, if any, or that this coverage may not continue to be available on acceptable terms or in sufficient amounts. Even if these claims do not result in liability to us, investigating and defending against them could be expensive and time consuming and could divert management’s attention away from our operations. In addition, negative publicity caused by these events may negatively impact our customer relationships, market acceptance of our solutions, including unrelated solutions, or our reputation and business.</w:t>
      </w:r>
    </w:p>
    <w:p>
      <w:pPr>
        <w:spacing w:after="0" w:line="76" w:lineRule="exact"/>
        <w:rPr>
          <w:sz w:val="20"/>
          <w:szCs w:val="20"/>
          <w:color w:val="auto"/>
        </w:rPr>
      </w:pPr>
    </w:p>
    <w:p>
      <w:pPr>
        <w:ind w:firstLine="1033"/>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Real or perceived failures in our solutions, an inability to meet contractual service levels, or unsatisfactory performance of our solutions, could adversely affect our business, results of operations and financial condition.</w:t>
      </w:r>
    </w:p>
    <w:p>
      <w:pPr>
        <w:spacing w:after="0" w:line="52" w:lineRule="exact"/>
        <w:rPr>
          <w:sz w:val="20"/>
          <w:szCs w:val="20"/>
          <w:color w:val="auto"/>
        </w:rPr>
      </w:pPr>
    </w:p>
    <w:p>
      <w:pPr>
        <w:ind w:right="20" w:firstLine="1033"/>
        <w:spacing w:after="0" w:line="267" w:lineRule="auto"/>
        <w:rPr>
          <w:sz w:val="20"/>
          <w:szCs w:val="20"/>
          <w:color w:val="auto"/>
        </w:rPr>
      </w:pPr>
      <w:r>
        <w:rPr>
          <w:rFonts w:ascii="Times New Roman" w:cs="Times New Roman" w:eastAsia="Times New Roman" w:hAnsi="Times New Roman"/>
          <w:sz w:val="16"/>
          <w:szCs w:val="16"/>
          <w:color w:val="auto"/>
        </w:rPr>
        <w:t>Because we offer solutions that operate in complex environments, undetected errors or failures may exist or occur, especially when solutions are first introduced or when new versions are released, implemented or integrated into other systems. Our solutions are often used in large-scale computing environments with different operating systems, system management software and equipment and networking configurations, which may cause errors or failures in our solutions or may expose undetected errors, failures or bugs in our solutions. Despite testing by us, we may not identify all errors, failures or bugs in new solutions or releases until after commencement of commercial sales or installation. In the past, we have discovered errors, failures and bugs in some of our solutions after their introduction. We may not be able to fix errors, failures and bugs without incurring significant costs or an adverse impact to our business. The occurrence of errors in our solutions or the detection of bugs by our customers may damage our reputation in the market and our relationships with our existing customers, and as a result, we may be unable to attract or retain customers. We believe that our reputation and name recognition are critical factors in our ability to compete and generate additional sales. Promotion and enhancement of our name will depend largely on our success in continuing to provide effective solutions and services. The failure to do so may result in the loss of, or delay in, market acceptance of our solutions and services, which could adversely impact our sales, results of operations and financial condition.</w:t>
      </w:r>
    </w:p>
    <w:p>
      <w:pPr>
        <w:spacing w:after="0" w:line="86" w:lineRule="exact"/>
        <w:rPr>
          <w:sz w:val="20"/>
          <w:szCs w:val="20"/>
          <w:color w:val="auto"/>
        </w:rPr>
      </w:pPr>
    </w:p>
    <w:p>
      <w:pPr>
        <w:ind w:right="100" w:firstLine="1033"/>
        <w:spacing w:after="0" w:line="275" w:lineRule="auto"/>
        <w:rPr>
          <w:sz w:val="20"/>
          <w:szCs w:val="20"/>
          <w:color w:val="auto"/>
        </w:rPr>
      </w:pPr>
      <w:r>
        <w:rPr>
          <w:rFonts w:ascii="Times New Roman" w:cs="Times New Roman" w:eastAsia="Times New Roman" w:hAnsi="Times New Roman"/>
          <w:sz w:val="16"/>
          <w:szCs w:val="16"/>
          <w:color w:val="auto"/>
        </w:rPr>
        <w:t>The license and support of our software creates the risk of significant liability claims against us. Our SaaS arrangements and licenses with our customers contain provisions designed to limit our exposure to potential liability claims. It is possible, however, that the limitation of liability provisions contained in such agreements may not be enforced as a result of international, federal, state and local laws or ordinances or unfavorable judicial decisions. Breach of warranty or damage liability, or injunctive relief resulting from such claims, could adversely impact our results of operations and financial condition.</w:t>
      </w:r>
    </w:p>
    <w:p>
      <w:pPr>
        <w:spacing w:after="0" w:line="71" w:lineRule="exact"/>
        <w:rPr>
          <w:sz w:val="20"/>
          <w:szCs w:val="20"/>
          <w:color w:val="auto"/>
        </w:rPr>
      </w:pPr>
    </w:p>
    <w:p>
      <w:pPr>
        <w:ind w:right="220" w:firstLine="1033"/>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Some of our services and technologies use “open source” software, which may restrict how we use or distribute our services or require that we release the source code of certain solutions subject to those licenses.</w:t>
      </w:r>
    </w:p>
    <w:p>
      <w:pPr>
        <w:spacing w:after="0" w:line="52" w:lineRule="exact"/>
        <w:rPr>
          <w:sz w:val="20"/>
          <w:szCs w:val="20"/>
          <w:color w:val="auto"/>
        </w:rPr>
      </w:pPr>
    </w:p>
    <w:p>
      <w:pPr>
        <w:ind w:right="180" w:firstLine="1033"/>
        <w:spacing w:after="0" w:line="271" w:lineRule="auto"/>
        <w:rPr>
          <w:sz w:val="20"/>
          <w:szCs w:val="20"/>
          <w:color w:val="auto"/>
        </w:rPr>
      </w:pPr>
      <w:r>
        <w:rPr>
          <w:rFonts w:ascii="Times New Roman" w:cs="Times New Roman" w:eastAsia="Times New Roman" w:hAnsi="Times New Roman"/>
          <w:sz w:val="16"/>
          <w:szCs w:val="16"/>
          <w:color w:val="auto"/>
        </w:rPr>
        <w:t>Some of our services and technologies incorporate software licensed under so-called “open source” licenses. In addition to risks related to license requirements, usage of open source software can lead to greater risks than use of third-party commercial software, as open source licensors generally do not provide warranties or controls on origin of the software. Additionally, some open source licenses require that source code subject to the license be made available to the public and that any modifications or derivative works to open source software continue to be licensed under open source licenses. These open source licenses typically mandate that proprietary software, when combined in specific ways with open source software, become subject to the open source license. If we combine our proprietary software with open source software, we could be required to release the source code of our proprietary software.</w:t>
      </w:r>
    </w:p>
    <w:p>
      <w:pPr>
        <w:spacing w:after="0" w:line="76" w:lineRule="exact"/>
        <w:rPr>
          <w:sz w:val="20"/>
          <w:szCs w:val="20"/>
          <w:color w:val="auto"/>
        </w:rPr>
      </w:pPr>
    </w:p>
    <w:p>
      <w:pPr>
        <w:ind w:right="20" w:firstLine="1033"/>
        <w:spacing w:after="0" w:line="267" w:lineRule="auto"/>
        <w:rPr>
          <w:sz w:val="20"/>
          <w:szCs w:val="20"/>
          <w:color w:val="auto"/>
        </w:rPr>
      </w:pPr>
      <w:r>
        <w:rPr>
          <w:rFonts w:ascii="Times New Roman" w:cs="Times New Roman" w:eastAsia="Times New Roman" w:hAnsi="Times New Roman"/>
          <w:sz w:val="16"/>
          <w:szCs w:val="16"/>
          <w:color w:val="auto"/>
        </w:rPr>
        <w:t>We take steps to ensure that our proprietary software is not combined with, and does not incorporate, open source software in ways that would require our proprietary software to be subject to many of the restrictions in an open source license. However, few courts have interpreted open source licenses, and the manner in which these licenses may be interpreted and enforced is therefore subject to some uncertainty. Additionally, we rely on hundreds of software programmers to design our proprietary technologies, and although we take steps to prevent our programmers from including objectionable open source software in the technologies and software code that they design, write and modify, we do not exercise complete control over the development efforts of our programmers, the technical controls we have put in place may not be able to identify all instances of the incorporation of open source software, and we cannot be certain that our programmers have not incorporated such open source software into our proprietary solutions and technologies or that they will not do so in the future. In the event that portions of our proprietary technology are determined to be subject to an open source license, we could be required to publicly release the affected portions of our source code, re-engineer all or a portion of our technologies, or otherwise be limited in the licensing of our technologies, each of which could reduce or eliminate the value of our services and technologies and materially and adversely affect our business, results of operations, and prospects.</w:t>
      </w:r>
    </w:p>
    <w:p>
      <w:pPr>
        <w:spacing w:after="0" w:line="86" w:lineRule="exact"/>
        <w:rPr>
          <w:sz w:val="20"/>
          <w:szCs w:val="20"/>
          <w:color w:val="auto"/>
        </w:rPr>
      </w:pPr>
    </w:p>
    <w:p>
      <w:pPr>
        <w:ind w:right="80" w:firstLine="1033"/>
        <w:spacing w:after="0" w:line="267" w:lineRule="auto"/>
        <w:rPr>
          <w:sz w:val="20"/>
          <w:szCs w:val="20"/>
          <w:color w:val="auto"/>
        </w:rPr>
      </w:pPr>
      <w:r>
        <w:rPr>
          <w:rFonts w:ascii="Times New Roman" w:cs="Times New Roman" w:eastAsia="Times New Roman" w:hAnsi="Times New Roman"/>
          <w:sz w:val="16"/>
          <w:szCs w:val="16"/>
          <w:color w:val="auto"/>
        </w:rPr>
        <w:t>In the past, companies that have incorporated open source software into their products have faced claims challenging the ownership of open source software or compliance with open source license terms. Accordingly, we could be subject to suits by parties claiming ownership of what we believe to be open source software or claiming noncompliance with open source licensing terms.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23" w:name="page24"/>
    <w:bookmarkEnd w:id="23"/>
    <w:p>
      <w:pPr>
        <w:ind w:right="460" w:firstLine="1033"/>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Issues in the development and use of artificial intelligence, combined with an uncertain regulatory environment, may result in reputational harm, liability, or other adverse consequences to our business operations.</w:t>
      </w:r>
    </w:p>
    <w:p>
      <w:pPr>
        <w:spacing w:after="0" w:line="52" w:lineRule="exact"/>
        <w:rPr>
          <w:sz w:val="20"/>
          <w:szCs w:val="20"/>
          <w:color w:val="auto"/>
        </w:rPr>
      </w:pPr>
    </w:p>
    <w:p>
      <w:pPr>
        <w:ind w:firstLine="1033"/>
        <w:spacing w:after="0" w:line="266" w:lineRule="auto"/>
        <w:rPr>
          <w:sz w:val="20"/>
          <w:szCs w:val="20"/>
          <w:color w:val="auto"/>
        </w:rPr>
      </w:pPr>
      <w:r>
        <w:rPr>
          <w:rFonts w:ascii="Times New Roman" w:cs="Times New Roman" w:eastAsia="Times New Roman" w:hAnsi="Times New Roman"/>
          <w:sz w:val="16"/>
          <w:szCs w:val="16"/>
          <w:color w:val="auto"/>
        </w:rPr>
        <w:t>We use machine learning and artificial intelligence (AI) technologies in our solutions and business, and we are making investments in expanding the use of AI solutions, including ongoing deployment and improvement of features using AI technologies. The introduction of AI technologies into new or existing solutions may result in new or enhanced governmental or regulatory scrutiny (such as the recent White House executive order on the development and use of AI, the proposed EU AI Act, and other proposed state and federal regulations), litigation, confidentiality or security risks, ethical concerns, legal liability, or other complications. Compliance with new or changing laws, regulations or industry standards relating to AI may impose significant operational costs and may limit our ability to develop, deploy or use AI technologies. A failure on our part to develop solutions to permit compliance with regulatory regimes and/or our customers’ requirements may result in unforeseen costs or delays deploying new and improved features using AI technologies. Furthermore, while we aim to develop and use AI responsibly and attempt to mitigate ethical and legal issues presented by its use, we may ultimately be unsuccessful in identifying or resolving issues before they arise. Uncertainty around new and emerging AI technologies may require additional investment in the development and maintenance of proprietary datasets and machine learning models, development of new approaches and processes to provide related to the collection and use of training data, and development of appropriate protections and safeguards for handling the use of customer data with AI technologies, which may be costly and could impact our expenses. AI technologies incorporated into our solutions and business processes may use algorithms, datasets, or training methodologies that may be flawed or contain deficiencies that may be difficult or impossible for us to detect during testing, including as a result of the use of biased or insufficient training data. Any of the foregoing may result in decreased demand for our solutions, harm to our business, results of operations or reputation, legal liability, regulatory action or failure to achieve expected results including if use products or enable or offer solutions that draw scrutiny or controversy due to their perceived or actual impact on customers or on society as a whole. In addition, third parties may deploy AI technologies in a manner that reduces customer demand for our solutions.</w:t>
      </w:r>
    </w:p>
    <w:p>
      <w:pPr>
        <w:spacing w:after="0" w:line="8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b w:val="1"/>
          <w:bCs w:val="1"/>
          <w:i w:val="1"/>
          <w:iCs w:val="1"/>
          <w:color w:val="auto"/>
        </w:rPr>
        <w:t>Any disruption of our, our third-party service providers’ or our customers’ Internet connections could affect the success of our SaaS solutions.</w:t>
      </w:r>
    </w:p>
    <w:p>
      <w:pPr>
        <w:spacing w:after="0" w:line="131" w:lineRule="exact"/>
        <w:rPr>
          <w:sz w:val="20"/>
          <w:szCs w:val="20"/>
          <w:color w:val="auto"/>
        </w:rPr>
      </w:pPr>
    </w:p>
    <w:p>
      <w:pPr>
        <w:ind w:right="40" w:firstLine="1033"/>
        <w:spacing w:after="0" w:line="269" w:lineRule="auto"/>
        <w:rPr>
          <w:sz w:val="20"/>
          <w:szCs w:val="20"/>
          <w:color w:val="auto"/>
        </w:rPr>
      </w:pPr>
      <w:r>
        <w:rPr>
          <w:rFonts w:ascii="Times New Roman" w:cs="Times New Roman" w:eastAsia="Times New Roman" w:hAnsi="Times New Roman"/>
          <w:sz w:val="16"/>
          <w:szCs w:val="16"/>
          <w:color w:val="auto"/>
        </w:rPr>
        <w:t>Any system failure, including network, software or hardware failure, that causes an interruption in our or our third-party service providers’ network or a decrease in the responsiveness of our website or our SaaS solutions could result in reduced user traffic, reduced revenue and potential breaches of our SaaS arrangements. Continued growth in Internet usage could cause a decrease in the quality of Internet connection services. Websites have experienced service interruptions as a result of outages and other delays occurring throughout the worldwide Internet network infrastructure. In addition, there have been several incidents in which individuals have intentionally caused service disruptions of major e-commerce websites. If these outages, delays or service disruptions occur frequently in the future, usage of our web-based services could grow more slowly than anticipated or decline and we may lose customers and revenue. In addition, our users depend on Internet service providers, online service providers and other website operators for access to our website. These providers could experience outages, delays and other difficulties due to system failures unrelated to our systems. Any of these events could adversely impact our business, results of operations and financial condition.</w:t>
      </w:r>
    </w:p>
    <w:p>
      <w:pPr>
        <w:spacing w:after="0" w:line="74" w:lineRule="exact"/>
        <w:rPr>
          <w:sz w:val="20"/>
          <w:szCs w:val="20"/>
          <w:color w:val="auto"/>
        </w:rPr>
      </w:pPr>
    </w:p>
    <w:p>
      <w:pPr>
        <w:ind w:right="420" w:firstLine="1033"/>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There may be adverse tax and/or employment law consequences if the independent contractor status of our consultants or the exempt status of our employees is successfully challenged.</w:t>
      </w:r>
    </w:p>
    <w:p>
      <w:pPr>
        <w:spacing w:after="0" w:line="52" w:lineRule="exact"/>
        <w:rPr>
          <w:sz w:val="20"/>
          <w:szCs w:val="20"/>
          <w:color w:val="auto"/>
        </w:rPr>
      </w:pPr>
    </w:p>
    <w:p>
      <w:pPr>
        <w:ind w:right="80" w:firstLine="1033"/>
        <w:spacing w:after="0" w:line="269" w:lineRule="auto"/>
        <w:rPr>
          <w:sz w:val="20"/>
          <w:szCs w:val="20"/>
          <w:color w:val="auto"/>
        </w:rPr>
      </w:pPr>
      <w:r>
        <w:rPr>
          <w:rFonts w:ascii="Times New Roman" w:cs="Times New Roman" w:eastAsia="Times New Roman" w:hAnsi="Times New Roman"/>
          <w:sz w:val="16"/>
          <w:szCs w:val="16"/>
          <w:color w:val="auto"/>
        </w:rPr>
        <w:t>We rely on independent third parties to provide certain services to us. The state of the law regarding independent contractor status varies and is subject to change based on court decisions, legislation, and regulation. For example, at the federal level, the DOL published a final rule in January 2024 on independent contractor status. Meanwhile, the National Labor Relation Board (“NLRB”) modified its own independent contractor standard under the National Labor Relations Act (“NLRA”) in a decision published in June 2023. Furthermore, the tests governing the determination of whether an individual is considered to be an independent contractor or an employee are typically fact sensitive and vary from jurisdiction to jurisdiction. We may be subject to claims that certain independent contractors should be treated as our employees. Adverse determinations regarding the status of any of our independent contractors could, among other things, entitle such individuals to the reimbursement of certain expenses and to the benefit of wage-and-hour laws, and could result in the Company being liable for income taxes, employment, social security, and withholding taxes and benefits for such individuals, and penalties and interest related to any unpaid amounts.</w:t>
      </w:r>
    </w:p>
    <w:p>
      <w:pPr>
        <w:spacing w:after="0" w:line="78" w:lineRule="exact"/>
        <w:rPr>
          <w:sz w:val="20"/>
          <w:szCs w:val="20"/>
          <w:color w:val="auto"/>
        </w:rPr>
      </w:pPr>
    </w:p>
    <w:p>
      <w:pPr>
        <w:ind w:firstLine="1033"/>
        <w:spacing w:after="0" w:line="272" w:lineRule="auto"/>
        <w:rPr>
          <w:sz w:val="20"/>
          <w:szCs w:val="20"/>
          <w:color w:val="auto"/>
        </w:rPr>
      </w:pPr>
      <w:r>
        <w:rPr>
          <w:rFonts w:ascii="Times New Roman" w:cs="Times New Roman" w:eastAsia="Times New Roman" w:hAnsi="Times New Roman"/>
          <w:sz w:val="16"/>
          <w:szCs w:val="16"/>
          <w:color w:val="auto"/>
        </w:rPr>
        <w:t>Additionally, we have classified many of our U.S. employees as “exempt” under the Fair Labor Standards Act (“FLSA”) and corresponding state laws. We may be subject to claims that the employees we have classified as “exempt” should be classified as “non-exempt” under relevant laws. Adverse determinations regarding the status of our employees could, among other things, entitle such employees to unpaid overtime, back wages and other benefits and could result in our being liable for additional taxes for such individuals, and penalties and interest related to any unpaid amounts. Any adverse determinations regarding our independent contractors or employees could require us to change our operating model or result in increased costs and could negatively affect our business, reputation, results of operations and financial condition.</w:t>
      </w:r>
    </w:p>
    <w:p>
      <w:pPr>
        <w:spacing w:after="0" w:line="276" w:lineRule="exact"/>
        <w:rPr>
          <w:sz w:val="20"/>
          <w:szCs w:val="20"/>
          <w:color w:val="auto"/>
        </w:rPr>
      </w:pPr>
    </w:p>
    <w:p>
      <w:pPr>
        <w:ind w:right="60" w:firstLine="1033"/>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We may acquire or invest in companies, or pursue business partnerships, which may divert our management’s attention or result in dilution to our stockholders, and we may be unable to integrate acquired businesses and technologies successfully or achieve the expected benefits of such acquisitions, investments or partnerships.</w:t>
      </w:r>
    </w:p>
    <w:p>
      <w:pPr>
        <w:spacing w:after="0" w:line="69" w:lineRule="exact"/>
        <w:rPr>
          <w:sz w:val="20"/>
          <w:szCs w:val="20"/>
          <w:color w:val="auto"/>
        </w:rPr>
      </w:pPr>
    </w:p>
    <w:p>
      <w:pPr>
        <w:ind w:right="240" w:firstLine="1033"/>
        <w:spacing w:after="0" w:line="275" w:lineRule="auto"/>
        <w:rPr>
          <w:sz w:val="20"/>
          <w:szCs w:val="20"/>
          <w:color w:val="auto"/>
        </w:rPr>
      </w:pPr>
      <w:r>
        <w:rPr>
          <w:rFonts w:ascii="Times New Roman" w:cs="Times New Roman" w:eastAsia="Times New Roman" w:hAnsi="Times New Roman"/>
          <w:sz w:val="16"/>
          <w:szCs w:val="16"/>
          <w:color w:val="auto"/>
        </w:rPr>
        <w:t>We expect to continue to grow, in part, by making targeted acquisitions in addition to our organic growth strategy. Our business strategy includes the potential acquisition of shares or assets of companies with software, technologies or businesses complementary to ours, both domestically and globally. Our strategy also includes alliances with such companies. Acquisitions and alliances may result in unforeseen operating difficulties and expenditures and may not result in the benefits anticipated by such corporate activity.</w:t>
      </w:r>
    </w:p>
    <w:p>
      <w:pPr>
        <w:spacing w:after="0" w:line="75" w:lineRule="exact"/>
        <w:rPr>
          <w:sz w:val="20"/>
          <w:szCs w:val="20"/>
          <w:color w:val="auto"/>
        </w:rPr>
      </w:pPr>
    </w:p>
    <w:p>
      <w:pPr>
        <w:ind w:right="20" w:firstLine="1033"/>
        <w:spacing w:after="0" w:line="270" w:lineRule="auto"/>
        <w:rPr>
          <w:sz w:val="20"/>
          <w:szCs w:val="20"/>
          <w:color w:val="auto"/>
        </w:rPr>
      </w:pPr>
      <w:r>
        <w:rPr>
          <w:rFonts w:ascii="Times New Roman" w:cs="Times New Roman" w:eastAsia="Times New Roman" w:hAnsi="Times New Roman"/>
          <w:sz w:val="16"/>
          <w:szCs w:val="16"/>
          <w:color w:val="auto"/>
        </w:rPr>
        <w:t>In particular, we may fail to assimilate or integrate the businesses, technologies, services, solutions, personnel or operations of the acquired companies, retain key personnel necessary to favorably execute the combined companies’ business plan, or retain existing customers or sell acquired solutions to new customers. Additionally, the assumptions we use to evaluate acquisition opportunities may not prove to be accurate, and intended benefits may not be realized. Our due diligence investigations may fail to identify all of the problems, liabilities or other challenges associated with an acquired business which could result in increased risk of unanticipated or unknown issues or liabilities, including with respect to environmental, competition and other regulatory matters, and our mitigation strategies for such risks that are identified may not be effective. As a result, we may overpay for, or otherwise not achieve some or any of the benefits, including anticipated synergies or accretion to earnings, that we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4" w:right="359" w:bottom="1440" w:gutter="0" w:footer="0" w:header="0"/>
        </w:sectPr>
      </w:pPr>
    </w:p>
    <w:bookmarkStart w:id="24" w:name="page25"/>
    <w:bookmarkEnd w:id="24"/>
    <w:p>
      <w:pPr>
        <w:jc w:val="both"/>
        <w:ind w:right="60"/>
        <w:spacing w:after="0" w:line="272" w:lineRule="auto"/>
        <w:rPr>
          <w:sz w:val="20"/>
          <w:szCs w:val="20"/>
          <w:color w:val="auto"/>
        </w:rPr>
      </w:pPr>
      <w:r>
        <w:rPr>
          <w:rFonts w:ascii="Times New Roman" w:cs="Times New Roman" w:eastAsia="Times New Roman" w:hAnsi="Times New Roman"/>
          <w:sz w:val="16"/>
          <w:szCs w:val="16"/>
          <w:color w:val="auto"/>
        </w:rPr>
        <w:t>expect to achieve in connection with our acquisitions, we may not accurately anticipate the fixed and other costs associated with such acquisitions, or the business may not achieve the performance we anticipated, any of which may materially adversely affect our business, prospects, financial condition, results of operations, cash flows, as well as our stock price. Further, if we fail to achieve the expected synergies from our acquisitions and alliances, we may experience impairment charges with respect to goodwill, intangible assets or other items, particularly if business performance declines or expected growth is not realized. Any future impairment of our goodwill or other intangible assets could have an adverse effect on our financial condition and results of operations.</w:t>
      </w:r>
    </w:p>
    <w:p>
      <w:pPr>
        <w:spacing w:after="0" w:line="78" w:lineRule="exact"/>
        <w:rPr>
          <w:sz w:val="20"/>
          <w:szCs w:val="20"/>
          <w:color w:val="auto"/>
        </w:rPr>
      </w:pPr>
    </w:p>
    <w:p>
      <w:pPr>
        <w:ind w:firstLine="1033"/>
        <w:spacing w:after="0" w:line="268" w:lineRule="auto"/>
        <w:rPr>
          <w:sz w:val="20"/>
          <w:szCs w:val="20"/>
          <w:color w:val="auto"/>
        </w:rPr>
      </w:pPr>
      <w:r>
        <w:rPr>
          <w:rFonts w:ascii="Times New Roman" w:cs="Times New Roman" w:eastAsia="Times New Roman" w:hAnsi="Times New Roman"/>
          <w:sz w:val="16"/>
          <w:szCs w:val="16"/>
          <w:color w:val="auto"/>
        </w:rPr>
        <w:t>Acquisitions and alliances may also disrupt our ongoing business, divert our resources and require significant management attention that would otherwise be available for ongoing development of our current business. In addition, we may be required to make additional capital investments or undertake remediation efforts to ensure the success of our acquisitions, which may reduce the benefits of such acquisitions. We also may be required to use a substantial amount of our cash or issue debt or equity securities to complete an acquisition or realize the potential of an alliance, which could deplete our cash reserves and/or dilute our existing stockholders and newly-issued securities may have rights, preferences or privileges senior to those of existing stockholders. Following an acquisition or the establishment of an alliance offering new solutions, we may be required to defer the recognition of revenue that we receive from the sale of solutions that we acquired or that result from the alliance, or from the sale of a bundle of solutions that includes such new solutions. In addition, our ability to maintain favorable pricing of new solutions may be challenging if we bundle such solutions with sales of existing solutions. A delay in the recognition of revenue from sales of acquired or alliance solutions, or reduced pricing due to bundled sales, may cause fluctuations in our quarterly financial results, may adversely affect our operating margins and may reduce the benefits of such acquisitions or alliances.</w:t>
      </w:r>
    </w:p>
    <w:p>
      <w:pPr>
        <w:spacing w:after="0" w:line="81" w:lineRule="exact"/>
        <w:rPr>
          <w:sz w:val="20"/>
          <w:szCs w:val="20"/>
          <w:color w:val="auto"/>
        </w:rPr>
      </w:pPr>
    </w:p>
    <w:p>
      <w:pPr>
        <w:ind w:right="20" w:firstLine="1033"/>
        <w:spacing w:after="0" w:line="275" w:lineRule="auto"/>
        <w:rPr>
          <w:sz w:val="20"/>
          <w:szCs w:val="20"/>
          <w:color w:val="auto"/>
        </w:rPr>
      </w:pPr>
      <w:r>
        <w:rPr>
          <w:rFonts w:ascii="Times New Roman" w:cs="Times New Roman" w:eastAsia="Times New Roman" w:hAnsi="Times New Roman"/>
          <w:sz w:val="16"/>
          <w:szCs w:val="16"/>
          <w:color w:val="auto"/>
        </w:rPr>
        <w:t>Additionally, competition within the software industry for acquisitions of businesses, technologies and assets has been, and is expected to continue to be, intense. Acquisitions could become the target of regulatory reviews, which could lead to increased legal costs, or could potentially jeopardize the consummation of the acquisition. As such, even if we are able to identify an acquisition that we would like to pursue, the target may be acquired by another strategic buyer or financial buyer such as a private equity firm, or we may otherwise not be able to complete the acquisition on commercially reasonable terms, if at all.</w:t>
      </w:r>
    </w:p>
    <w:p>
      <w:pPr>
        <w:spacing w:after="0" w:line="7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b w:val="1"/>
          <w:bCs w:val="1"/>
          <w:i w:val="1"/>
          <w:iCs w:val="1"/>
          <w:color w:val="auto"/>
        </w:rPr>
        <w:t>Corporate responsibility, specifically related to environmental, social and governance matters, may impose additional costs and expose us to new risks.</w:t>
      </w:r>
    </w:p>
    <w:p>
      <w:pPr>
        <w:spacing w:after="0" w:line="131" w:lineRule="exact"/>
        <w:rPr>
          <w:sz w:val="20"/>
          <w:szCs w:val="20"/>
          <w:color w:val="auto"/>
        </w:rPr>
      </w:pPr>
    </w:p>
    <w:p>
      <w:pPr>
        <w:ind w:right="20" w:firstLine="1033"/>
        <w:spacing w:after="0" w:line="266" w:lineRule="auto"/>
        <w:rPr>
          <w:sz w:val="20"/>
          <w:szCs w:val="20"/>
          <w:color w:val="auto"/>
        </w:rPr>
      </w:pPr>
      <w:r>
        <w:rPr>
          <w:rFonts w:ascii="Times New Roman" w:cs="Times New Roman" w:eastAsia="Times New Roman" w:hAnsi="Times New Roman"/>
          <w:sz w:val="16"/>
          <w:szCs w:val="16"/>
          <w:color w:val="auto"/>
        </w:rPr>
        <w:t>Public ESG and sustainability reporting is becoming more broadly expected by investors, shareholders and other third parties, while other investors, shareholders and third parties consider companies' focus on such efforts to be a distraction. Certain organizations that provide corporate governance and other corporate risk information to investors and shareholders have developed, and others may in the future develop, scores and ratings to evaluate companies and investment funds based upon ESG or “sustainability” metrics. Many investment funds focus on positive ESG business practices and sustainability scores when making investments and may consider a company’s ESG or sustainability scores as a reputational or other factor in making an investment decision. In addition, investors, particularly institutional investors, use these scores to benchmark companies against their peers and if a company is perceived as lagging, these investors may engage with such company to improve ESG disclosure or performance and may also make voting decisions, or take other actions, to hold these corporations and their boards of directors accountable. Additionally, credit rating agencies may use these scores, or their own scores and ratings, as a consideration in their evaluation of our credit risk. If our credit rating is downgraded on the basis of ESG or “sustainability” metrics, we may face increased costs of capital. We may face reputational damage in the event our corporate responsibility initiatives or objectives, including with respect to diversity and inclusion, do not meet the standards set by our investors, shareholders, lawmakers, listing exchanges, credit rating agencies or other constituencies, if we are unable to achieve an acceptable ESG or sustainability rating from third-party rating services, or if we a viewed by certain investors, shareholders or third parties as putting too heavy a focus on ESG and/or sustainability initiatives. A low ESG or sustainability rating by a third-party rating service could also result in the exclusion of our ordinary shares from consideration by certain investors who may elect to invest with our competition instead. Ongoing focus on corporate responsibility matters by investors and other parties as described above may impose additional costs or expose us to new risks.</w:t>
      </w:r>
    </w:p>
    <w:p>
      <w:pPr>
        <w:spacing w:after="0" w:line="84" w:lineRule="exact"/>
        <w:rPr>
          <w:sz w:val="20"/>
          <w:szCs w:val="20"/>
          <w:color w:val="auto"/>
        </w:rPr>
      </w:pPr>
    </w:p>
    <w:p>
      <w:pPr>
        <w:ind w:right="160" w:firstLine="1033"/>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We evaluate our capital structure from time to time and may seek to repurchase our securities, refinance our indebtedness or raise debt or equity to finance our operations. However, we may not be able to do so when desired on favorable terms, if at all, or without dilution to our stockholders and we may not realize the anticipated benefits of these transactions.</w:t>
      </w:r>
    </w:p>
    <w:p>
      <w:pPr>
        <w:spacing w:after="0" w:line="69" w:lineRule="exact"/>
        <w:rPr>
          <w:sz w:val="20"/>
          <w:szCs w:val="20"/>
          <w:color w:val="auto"/>
        </w:rPr>
      </w:pPr>
    </w:p>
    <w:p>
      <w:pPr>
        <w:ind w:right="60" w:firstLine="1033"/>
        <w:spacing w:after="0" w:line="275" w:lineRule="auto"/>
        <w:rPr>
          <w:sz w:val="20"/>
          <w:szCs w:val="20"/>
          <w:color w:val="auto"/>
        </w:rPr>
      </w:pPr>
      <w:r>
        <w:rPr>
          <w:rFonts w:ascii="Times New Roman" w:cs="Times New Roman" w:eastAsia="Times New Roman" w:hAnsi="Times New Roman"/>
          <w:sz w:val="16"/>
          <w:szCs w:val="16"/>
          <w:color w:val="auto"/>
        </w:rPr>
        <w:t>We may seek to repurchase our securities, refinance our indebtedness or may need to obtain additional financing to execute on our current or future business strategies, including to develop new or enhance existing solutions, acquire businesses and technologies or otherwise respond to competitive pressures. We may not be successful in managing our capital structure through these scenarios, or they may have an adverse impact on our financial position or the price of our common stock. Our ability to raise capital in the future may be limited, and if we fail to raise capital when needed, we could be prevented from growing and executing our business strategy.</w:t>
      </w:r>
    </w:p>
    <w:p>
      <w:pPr>
        <w:spacing w:after="0" w:line="75" w:lineRule="exact"/>
        <w:rPr>
          <w:sz w:val="20"/>
          <w:szCs w:val="20"/>
          <w:color w:val="auto"/>
        </w:rPr>
      </w:pPr>
    </w:p>
    <w:p>
      <w:pPr>
        <w:ind w:right="40" w:firstLine="1033"/>
        <w:spacing w:after="0" w:line="271" w:lineRule="auto"/>
        <w:rPr>
          <w:sz w:val="20"/>
          <w:szCs w:val="20"/>
          <w:color w:val="auto"/>
        </w:rPr>
      </w:pPr>
      <w:r>
        <w:rPr>
          <w:rFonts w:ascii="Times New Roman" w:cs="Times New Roman" w:eastAsia="Times New Roman" w:hAnsi="Times New Roman"/>
          <w:sz w:val="16"/>
          <w:szCs w:val="16"/>
          <w:color w:val="auto"/>
        </w:rPr>
        <w:t>If we raise additional funds through the issuance of equity or convertible debt securities, the percentage ownership of our stockholders could be significantly diluted. If we accumulate additional funds through debt financing, a substantial portion of our operating cash flow may be dedicated to the payment of principal and interest on such indebtedness, thus limiting funds available for our business activities. We cannot assure stockholders that additional financing will be available on terms favorable to us, or at all. If adequate funds are not available or are not available on acceptable terms, when we desire them, our ability to fund our operations, take advantage of unanticipated opportunities, develop or enhance our solutions, invest in future growth opportunities or otherwise respond to competitive pressures would be significantly limited. Any of these factors could adversely impact our results of operations.</w:t>
      </w:r>
    </w:p>
    <w:p>
      <w:pPr>
        <w:spacing w:after="0" w:line="7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b w:val="1"/>
          <w:bCs w:val="1"/>
          <w:i w:val="1"/>
          <w:iCs w:val="1"/>
          <w:color w:val="auto"/>
        </w:rPr>
        <w:t>We rely on information systems in managing our operations and any system failure or deficiencies of such systems may have an adverse impact on our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business.</w:t>
      </w:r>
    </w:p>
    <w:p>
      <w:pPr>
        <w:spacing w:after="0" w:line="119" w:lineRule="exact"/>
        <w:rPr>
          <w:sz w:val="20"/>
          <w:szCs w:val="20"/>
          <w:color w:val="auto"/>
        </w:rPr>
      </w:pPr>
    </w:p>
    <w:p>
      <w:pPr>
        <w:ind w:right="40" w:firstLine="1033"/>
        <w:spacing w:after="0" w:line="266" w:lineRule="auto"/>
        <w:rPr>
          <w:sz w:val="20"/>
          <w:szCs w:val="20"/>
          <w:color w:val="auto"/>
        </w:rPr>
      </w:pPr>
      <w:r>
        <w:rPr>
          <w:rFonts w:ascii="Times New Roman" w:cs="Times New Roman" w:eastAsia="Times New Roman" w:hAnsi="Times New Roman"/>
          <w:sz w:val="16"/>
          <w:szCs w:val="16"/>
          <w:color w:val="auto"/>
        </w:rPr>
        <w:t>We rely on our financial, accounting, compliance and other data processing systems, and those of our third-party vendors or service providers who support these functions. Any failure or interruption of these systems, whether caused by fire, other natural disaster (including those associated with climate change), power or telecommunications failure, act of terrorism or war, system modification or upgrade, or otherwise, could materially adversely affect our business. Although back-up systems are in place, our back-up procedures and capabilities in the event of a failure or interruption may not be adequate.</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25" w:name="page26"/>
    <w:bookmarkEnd w:id="25"/>
    <w:p>
      <w:pPr>
        <w:ind w:firstLine="1033"/>
        <w:spacing w:after="0" w:line="272" w:lineRule="auto"/>
        <w:rPr>
          <w:sz w:val="20"/>
          <w:szCs w:val="20"/>
          <w:color w:val="auto"/>
        </w:rPr>
      </w:pPr>
      <w:r>
        <w:rPr>
          <w:rFonts w:ascii="Times New Roman" w:cs="Times New Roman" w:eastAsia="Times New Roman" w:hAnsi="Times New Roman"/>
          <w:sz w:val="16"/>
          <w:szCs w:val="16"/>
          <w:color w:val="auto"/>
        </w:rPr>
        <w:t>We are engaged in an implementation of a new billing system. Such an implementation is a major undertaking from a financial, management, and personnel perspective. The implementation of the billing system may prove to be more difficult, costly, or time consuming than expected, and there can be no assurance that this system will continue to be beneficial to the extent anticipated. Any disruptions, delays or deficiencies in the design and implementation of our new billing system could adversely affect our ability to process orders, send invoices, produce financial reports, or otherwise operate our business. If we are unable to implement the billing system smoothly or successfully, or we otherwise do not capture anticipated benefits, our business, results of operations and financial condition for future periods could be adversely impacted.</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Regulatory Risk Factors</w:t>
      </w:r>
    </w:p>
    <w:p>
      <w:pPr>
        <w:spacing w:after="0" w:line="125" w:lineRule="exact"/>
        <w:rPr>
          <w:sz w:val="20"/>
          <w:szCs w:val="20"/>
          <w:color w:val="auto"/>
        </w:rPr>
      </w:pPr>
    </w:p>
    <w:p>
      <w:pPr>
        <w:ind w:right="360" w:firstLine="1033"/>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Failure to comply with the CCPA, CPRA, GDPR, FCRA or other data privacy legislation could subject us to fines, sanctions or litigation, and could potentially damage our brand and reputation and adversely impact our business, results of operations or financial condition.</w:t>
      </w:r>
    </w:p>
    <w:p>
      <w:pPr>
        <w:spacing w:after="0" w:line="52" w:lineRule="exact"/>
        <w:rPr>
          <w:sz w:val="20"/>
          <w:szCs w:val="20"/>
          <w:color w:val="auto"/>
        </w:rPr>
      </w:pPr>
    </w:p>
    <w:p>
      <w:pPr>
        <w:ind w:right="160" w:firstLine="1033"/>
        <w:spacing w:after="0" w:line="272" w:lineRule="auto"/>
        <w:rPr>
          <w:sz w:val="20"/>
          <w:szCs w:val="20"/>
          <w:color w:val="auto"/>
        </w:rPr>
      </w:pPr>
      <w:r>
        <w:rPr>
          <w:rFonts w:ascii="Times New Roman" w:cs="Times New Roman" w:eastAsia="Times New Roman" w:hAnsi="Times New Roman"/>
          <w:sz w:val="16"/>
          <w:szCs w:val="16"/>
          <w:color w:val="auto"/>
        </w:rPr>
        <w:t>Data privacy legislation, enforcement and policy activity are rapidly expanding around the world and creating a complex data privacy compliance environment that poses greater compliance risks and costs, as well as the potential for high profile negative publicity in the event of any data breach. The vast majority of our customers are subject to many privacy and data protection laws and regulations in the U.S. and around the world, and we have also agreed in our contracts with certain of our customers to additional data privacy compliance obligations related to data privacy laws and regulations that may be applicable to them. Some of these privacy and data protection laws and regulations place restrictions on our ability to process personal information across our business.</w:t>
      </w:r>
    </w:p>
    <w:p>
      <w:pPr>
        <w:spacing w:after="0" w:line="78" w:lineRule="exact"/>
        <w:rPr>
          <w:sz w:val="20"/>
          <w:szCs w:val="20"/>
          <w:color w:val="auto"/>
        </w:rPr>
      </w:pPr>
    </w:p>
    <w:p>
      <w:pPr>
        <w:ind w:firstLine="1033"/>
        <w:spacing w:after="0" w:line="267" w:lineRule="auto"/>
        <w:rPr>
          <w:sz w:val="20"/>
          <w:szCs w:val="20"/>
          <w:color w:val="auto"/>
        </w:rPr>
      </w:pPr>
      <w:r>
        <w:rPr>
          <w:rFonts w:ascii="Times New Roman" w:cs="Times New Roman" w:eastAsia="Times New Roman" w:hAnsi="Times New Roman"/>
          <w:sz w:val="16"/>
          <w:szCs w:val="16"/>
          <w:color w:val="auto"/>
        </w:rPr>
        <w:t>For example, the California Consumer Privacy Act (“CCPA”), which went into effect on January 1, 2020, imposes a number of privacy and security obligations on companies who collect, use, disclose, or otherwise process personal information of California residents. The CCPA created an expanded definition of personal information, established certain new data privacy rights for California residents and created a new and potentially severe statutory damages framework and private rights of action for violations of the CCPA, including for failing to implement reasonable security procedures and practices to prevent data breaches. In November 2020, California voters passed the California Privacy Rights Act (the “CPRA”). The CPRA, which took effect on January 1, 2023, significantly expands the CCPA, including by introducing additional data protection obligations such as data minimization and storage limitations, granting additional rights to consumers such as correction of personal information and additional opt-out rights, and creating a new entity to implement and enforce the CPRA. While we do not yet know the extent of the impact the CPRA will have on our business or operations, such laws will require us to modify our data processing practices and policies in certain respects. The uncertainty and evolving legal requirements in California and other jurisdictions may increase the cost of compliance, restrict our ability to offer services in certain locations or subject us to sanctions by federal, regional, state, local and international data protection regulators, all of which could adversely impact our business, results of operations or financial condition.</w:t>
      </w:r>
    </w:p>
    <w:p>
      <w:pPr>
        <w:spacing w:after="0" w:line="86" w:lineRule="exact"/>
        <w:rPr>
          <w:sz w:val="20"/>
          <w:szCs w:val="20"/>
          <w:color w:val="auto"/>
        </w:rPr>
      </w:pPr>
    </w:p>
    <w:p>
      <w:pPr>
        <w:ind w:right="80" w:firstLine="1033"/>
        <w:spacing w:after="0" w:line="267" w:lineRule="auto"/>
        <w:rPr>
          <w:sz w:val="20"/>
          <w:szCs w:val="20"/>
          <w:color w:val="auto"/>
        </w:rPr>
      </w:pPr>
      <w:r>
        <w:rPr>
          <w:rFonts w:ascii="Times New Roman" w:cs="Times New Roman" w:eastAsia="Times New Roman" w:hAnsi="Times New Roman"/>
          <w:sz w:val="16"/>
          <w:szCs w:val="16"/>
          <w:color w:val="auto"/>
        </w:rPr>
        <w:t>In addition, the GDPR took direct effect across the EU member states on May 25, 2018. The GDPR seeks to harmonize national data protection laws across the EU, while at the same time, modernizing the law to address new technological developments. Compared to the previous EU data protection laws, the GDPR notably has a greater extra-territorial reach and has a significant impact on data controllers and data processors which either have an establishment in the EU, or offer goods or services to EU data subjects or monitor EU data subjects’ behavior within the EU. The regime imposes more stringent operational requirements on both data controllers and data processors, and introduces significant penalties for non-compliance with fines of up to 4% of total annual worldwide turnover or €20 million (whichever is higher), depending on the type and severity of the breach. Although our presence in Europe is currently in the early stages of expansion, and we have taken and will continue to take steps to comply with the EU data privacy legislation, there are a significant number of obligations under the GDPR, many of which are operational, and compliance is an ongoing exercise which is never complete. We are aware that we need to monitor the latest legal and regulatory developments, which may involve compliance costs to address any changes required. We may also experience hesitancy, reluctance, refusal or other challenges engaging with European or multi-national customers due to the potential risk exposure, cost, or difficulty in demonstrating to our customers that the Company is in compliance with various regulatory requirements.</w:t>
      </w:r>
    </w:p>
    <w:p>
      <w:pPr>
        <w:spacing w:after="0" w:line="86" w:lineRule="exact"/>
        <w:rPr>
          <w:sz w:val="20"/>
          <w:szCs w:val="20"/>
          <w:color w:val="auto"/>
        </w:rPr>
      </w:pPr>
    </w:p>
    <w:p>
      <w:pPr>
        <w:ind w:right="40" w:firstLine="1033"/>
        <w:spacing w:after="0" w:line="272" w:lineRule="auto"/>
        <w:rPr>
          <w:sz w:val="20"/>
          <w:szCs w:val="20"/>
          <w:color w:val="auto"/>
        </w:rPr>
      </w:pPr>
      <w:r>
        <w:rPr>
          <w:rFonts w:ascii="Times New Roman" w:cs="Times New Roman" w:eastAsia="Times New Roman" w:hAnsi="Times New Roman"/>
          <w:sz w:val="16"/>
          <w:szCs w:val="16"/>
          <w:color w:val="auto"/>
        </w:rPr>
        <w:t>Furthermore, the Fair Credit Reporting Act (“FCRA”) may one day limit how we use consumer information. The federal law was passed in 1970 to provide consumers with protections relating to the consumer information held by credit reporting agencies. Although we do not believe we are currently subject to the FCRA, we may be in the future, depending on changes to our solutions and services or on additional legislative or regulatory efforts that could further regulate credit reporting agencies and the collection, use, communication, access, accuracy, obsolescence, sharing, correction and security of such personal information. Similar initiatives are underway in other countries.</w:t>
      </w:r>
    </w:p>
    <w:p>
      <w:pPr>
        <w:spacing w:after="0" w:line="78" w:lineRule="exact"/>
        <w:rPr>
          <w:sz w:val="20"/>
          <w:szCs w:val="20"/>
          <w:color w:val="auto"/>
        </w:rPr>
      </w:pPr>
    </w:p>
    <w:p>
      <w:pPr>
        <w:ind w:right="160" w:firstLine="1033"/>
        <w:spacing w:after="0" w:line="269" w:lineRule="auto"/>
        <w:rPr>
          <w:sz w:val="20"/>
          <w:szCs w:val="20"/>
          <w:color w:val="auto"/>
        </w:rPr>
      </w:pPr>
      <w:r>
        <w:rPr>
          <w:rFonts w:ascii="Times New Roman" w:cs="Times New Roman" w:eastAsia="Times New Roman" w:hAnsi="Times New Roman"/>
          <w:sz w:val="16"/>
          <w:szCs w:val="16"/>
          <w:color w:val="auto"/>
        </w:rPr>
        <w:t>Although we take reasonable efforts to comply with all applicable laws and regulations and have invested and continue to invest human and technology resources into data privacy compliance efforts, there can be no assurance that we will not be subject to regulatory action, including fines, audits or investigations by government agencies relating to our compliance with these laws and regulations. An adverse outcome under any such investigation or audit could result in fines, penalties, other liability, adverse publicity, or a loss of reputation, and could adversely affect our business. Moreover, we or our third-party service providers could be adversely affected if legislation or regulations are expanded to require changes in our or our third-party service providers’ business practices or if governing jurisdictions interpret or implement their legislation or regulations in a manner that is adverse to our business, such as by expanding data privacy-related liability into areas to which we and our third-party service providers currently do not and previously did not have exposure, consequently increasing the compliance-related costs borne by us and our third-party service providers.</w:t>
      </w:r>
    </w:p>
    <w:p>
      <w:pPr>
        <w:spacing w:after="0" w:line="78" w:lineRule="exact"/>
        <w:rPr>
          <w:sz w:val="20"/>
          <w:szCs w:val="20"/>
          <w:color w:val="auto"/>
        </w:rPr>
      </w:pPr>
    </w:p>
    <w:p>
      <w:pPr>
        <w:ind w:right="20" w:firstLine="1033"/>
        <w:spacing w:after="0" w:line="272" w:lineRule="auto"/>
        <w:rPr>
          <w:sz w:val="20"/>
          <w:szCs w:val="20"/>
          <w:color w:val="auto"/>
        </w:rPr>
      </w:pPr>
      <w:r>
        <w:rPr>
          <w:rFonts w:ascii="Times New Roman" w:cs="Times New Roman" w:eastAsia="Times New Roman" w:hAnsi="Times New Roman"/>
          <w:sz w:val="16"/>
          <w:szCs w:val="16"/>
          <w:color w:val="auto"/>
        </w:rPr>
        <w:t>The current data protection landscape may subject us and our third-party service providers to greater risk of potential inquiries and/or enforcement actions. For example, we may find it necessary to establish alternative systems to collect, use, share, retain and safeguard personal information originating from the European Economic Area and caught by the extra-territorial reach of the GDPR, which may involve substantial expense and may cause us to divert resources from other aspects of our business, all of which may adversely affect our results from operations. Further, any inability to adequately address privacy concerns in connection with our SaaS solutions, or comply with applicable privacy or data protection laws, regulations and policies, could result in additional cost and liability to us, and adversely affect our ability to offer SaaS solutions.</w:t>
      </w:r>
    </w:p>
    <w:p>
      <w:pPr>
        <w:spacing w:after="0" w:line="280" w:lineRule="exact"/>
        <w:rPr>
          <w:sz w:val="20"/>
          <w:szCs w:val="20"/>
          <w:color w:val="auto"/>
        </w:rPr>
      </w:pPr>
    </w:p>
    <w:p>
      <w:pPr>
        <w:ind w:right="280" w:firstLine="1033"/>
        <w:spacing w:after="0" w:line="269" w:lineRule="auto"/>
        <w:rPr>
          <w:sz w:val="20"/>
          <w:szCs w:val="20"/>
          <w:color w:val="auto"/>
        </w:rPr>
      </w:pPr>
      <w:r>
        <w:rPr>
          <w:rFonts w:ascii="Times New Roman" w:cs="Times New Roman" w:eastAsia="Times New Roman" w:hAnsi="Times New Roman"/>
          <w:sz w:val="16"/>
          <w:szCs w:val="16"/>
          <w:color w:val="auto"/>
        </w:rPr>
        <w:t>Further changes to data privacy legislation may substantially increase the penalties to which we could be subject in the event of any non-compliance. We may incur substantial expense in complying with the new obligations to be imposed by new regulations and we may be required</w:t>
      </w: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color w:val="auto"/>
        </w:rPr>
        <w:t>to make significant changes to our solutions and expanding business operations, all of which may adversely affect our business, results of operations or financial condition.</w:t>
      </w:r>
    </w:p>
    <w:p>
      <w:pPr>
        <w:spacing w:after="0" w:line="123" w:lineRule="exact"/>
        <w:rPr>
          <w:sz w:val="20"/>
          <w:szCs w:val="20"/>
          <w:color w:val="auto"/>
        </w:rPr>
      </w:pPr>
    </w:p>
    <w:p>
      <w:pPr>
        <w:ind w:right="580" w:firstLine="1033"/>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The enactment of new data privacy legislation and evolution of current privacy legislation could cause us to incur incremental cost and liability, adversely affecting our business operations and ability to deliver our financial plans.</w:t>
      </w:r>
    </w:p>
    <w:p>
      <w:pPr>
        <w:spacing w:after="0" w:line="52" w:lineRule="exact"/>
        <w:rPr>
          <w:sz w:val="20"/>
          <w:szCs w:val="20"/>
          <w:color w:val="auto"/>
        </w:rPr>
      </w:pPr>
    </w:p>
    <w:p>
      <w:pPr>
        <w:ind w:right="80" w:firstLine="1033"/>
        <w:spacing w:after="0" w:line="271" w:lineRule="auto"/>
        <w:rPr>
          <w:sz w:val="20"/>
          <w:szCs w:val="20"/>
          <w:color w:val="auto"/>
        </w:rPr>
      </w:pPr>
      <w:r>
        <w:rPr>
          <w:rFonts w:ascii="Times New Roman" w:cs="Times New Roman" w:eastAsia="Times New Roman" w:hAnsi="Times New Roman"/>
          <w:sz w:val="16"/>
          <w:szCs w:val="16"/>
          <w:color w:val="auto"/>
        </w:rPr>
        <w:t>As we continue to focus on our SaaS solutions, the amount of personal information we or our third-party cloud providers collect, use, disclose, or otherwise process will likely continue to increase significantly. In addition, a limited number of our solutions collect, use, disclose, or otherwise process transaction-level data aggregated across our customers. We anticipate that over time we will expand our use and collection of personal information as greater amounts of such personal information may be transferred from our customers to us. We recognize that personal privacy has become a significant issue in the U.S., and other jurisdictions where we operate. Many federal, regional, state, local and international legislatures and government agencies have imposed or are considering imposing restrictions and requirements regarding the collection, use, disclosure, and processing of personal data, including the California Privacy Protection Agency and the Federal Trade Commission.</w:t>
      </w:r>
    </w:p>
    <w:p>
      <w:pPr>
        <w:spacing w:after="0" w:line="76" w:lineRule="exact"/>
        <w:rPr>
          <w:sz w:val="20"/>
          <w:szCs w:val="20"/>
          <w:color w:val="auto"/>
        </w:rPr>
      </w:pPr>
    </w:p>
    <w:p>
      <w:pPr>
        <w:ind w:right="20" w:firstLine="1033"/>
        <w:spacing w:after="0" w:line="267" w:lineRule="auto"/>
        <w:rPr>
          <w:sz w:val="20"/>
          <w:szCs w:val="20"/>
          <w:color w:val="auto"/>
        </w:rPr>
      </w:pPr>
      <w:r>
        <w:rPr>
          <w:rFonts w:ascii="Times New Roman" w:cs="Times New Roman" w:eastAsia="Times New Roman" w:hAnsi="Times New Roman"/>
          <w:sz w:val="16"/>
          <w:szCs w:val="16"/>
          <w:color w:val="auto"/>
        </w:rPr>
        <w:t>Changes to laws or regulations affecting privacy could impose additional costs and liabilities, including fines, sanctions or other penalties on us and our third-party service providers, which could materially and adversely affect results of operations, business and reputation and could limit our ability to use such information to add value for customers. If we are required to change our business activities or revise or eliminate services, or to implement burdensome compliance measures, our business and results of operations could be adversely impacted. Such changes are a possibility, especially given that consumer advocates, media and elected officials, among others, have increasingly publicly criticized data-focused companies and industries regarding their collection, storage and use of personal data. Additionally, in the case of information from our websites and web-based services that is stored with third-party cloud providers that we do not control, our third-party cloud providers may not adequately implement compliance measures concerning the privacy and/or security of any stored personal information. We may be subject to fines, penalties and potential litigation if we or our third-party cloud providers fail to comply with applicable privacy and/or data security laws, regulations, standards and other requirements and the costs of compliance with and other burdens imposed by privacy-related laws, regulations and standards may limit the use and adoption of our solutions and reduce their overall demand for our solutions. Furthermore, any determination by a court or agency that our data practices, solutions or services violate, or cause our customers to violate, applicable laws, regulations or other requirements could subject us or our customers to civil or criminal penalties. Such a determination also could require us to modify or terminate portions of our business, disqualify us from serving certain customers or cause us to refund some or all of our fees or otherwise compensate our customers, or alter our business practices, potentially at great expense.</w:t>
      </w:r>
    </w:p>
    <w:p>
      <w:pPr>
        <w:spacing w:after="0" w:line="80" w:lineRule="exact"/>
        <w:rPr>
          <w:sz w:val="20"/>
          <w:szCs w:val="20"/>
          <w:color w:val="auto"/>
        </w:rPr>
      </w:pPr>
    </w:p>
    <w:p>
      <w:pPr>
        <w:jc w:val="both"/>
        <w:ind w:right="60" w:firstLine="1033"/>
        <w:spacing w:after="0" w:line="275" w:lineRule="auto"/>
        <w:rPr>
          <w:sz w:val="20"/>
          <w:szCs w:val="20"/>
          <w:color w:val="auto"/>
        </w:rPr>
      </w:pPr>
      <w:r>
        <w:rPr>
          <w:rFonts w:ascii="Times New Roman" w:cs="Times New Roman" w:eastAsia="Times New Roman" w:hAnsi="Times New Roman"/>
          <w:sz w:val="16"/>
          <w:szCs w:val="16"/>
          <w:color w:val="auto"/>
        </w:rPr>
        <w:t>Furthermore, concerns regarding data privacy and/or security may cause our customers and end-users to resist providing the data and information necessary to use our solutions effectively. Even the perception that the privacy and/or security of personal information is not satisfactorily managed, or does not meet applicable legal, regulatory and other requirements, could inhibit sales or adoption of our solutions, or could give rise to private class action, or claims by regulators, in each case potentially resulting in a negative impact on our sales and results from operations.</w:t>
      </w:r>
    </w:p>
    <w:p>
      <w:pPr>
        <w:spacing w:after="0" w:line="7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b w:val="1"/>
          <w:bCs w:val="1"/>
          <w:i w:val="1"/>
          <w:iCs w:val="1"/>
          <w:color w:val="auto"/>
        </w:rPr>
        <w:t>Changes in tax laws or adverse outcomes resulting from examination of our income tax returns could adversely affect our results of operations.</w:t>
      </w:r>
    </w:p>
    <w:p>
      <w:pPr>
        <w:spacing w:after="0" w:line="131" w:lineRule="exact"/>
        <w:rPr>
          <w:sz w:val="20"/>
          <w:szCs w:val="20"/>
          <w:color w:val="auto"/>
        </w:rPr>
      </w:pPr>
    </w:p>
    <w:p>
      <w:pPr>
        <w:ind w:firstLine="1033"/>
        <w:spacing w:after="0" w:line="267" w:lineRule="auto"/>
        <w:rPr>
          <w:sz w:val="20"/>
          <w:szCs w:val="20"/>
          <w:color w:val="auto"/>
        </w:rPr>
      </w:pPr>
      <w:r>
        <w:rPr>
          <w:rFonts w:ascii="Times New Roman" w:cs="Times New Roman" w:eastAsia="Times New Roman" w:hAnsi="Times New Roman"/>
          <w:sz w:val="16"/>
          <w:szCs w:val="16"/>
          <w:color w:val="auto"/>
        </w:rPr>
        <w:t>We are subject to federal, state and local income taxes in the U.S. and in foreign jurisdictions. Our future effective tax rates and the value of our deferred tax assets could be adversely affected by changes in tax laws, including impacts of the Tax Cuts and Jobs Act (the “Tax Act”) enacted in December 2017, the Coronavirus Aid, Relief, and Economic Security Act (also known as the “CARES Act”) of 2020 and the Inflation Reduction Act of 2022 (the "Inflation Reduction Act"). The Inflation Reduction Act introduces a 15% minimum tax for corporations whose average annual adjusted financial statement income for any consecutive three-tax-year period preceding the tax year exceeds $1 billion and a 1% excise tax on the fair market value of stock repurchased by certain corporations after December 31, 2022. We do not currently expect that the Inflation Reduction Act will have a material impact on our tax liabilities for 2022 or 2023; however, we will continue to evaluate their impact as further information becomes available. The U.S. Treasury Department and the IRS are expected to continue to interpret or issue guidance on how provisions of the Tax Act, the CARES Act and the Inflation Reduction Act will be applied or otherwise administered. As guidance is issued, we may make adjustments to amounts that we have previously recorded that may materially impact our financial statements in the period in which the adjustments are made, and the amount of taxes that we may be required to pay could significantly increase.</w:t>
      </w:r>
    </w:p>
    <w:p>
      <w:pPr>
        <w:spacing w:after="0" w:line="86" w:lineRule="exact"/>
        <w:rPr>
          <w:sz w:val="20"/>
          <w:szCs w:val="20"/>
          <w:color w:val="auto"/>
        </w:rPr>
      </w:pPr>
    </w:p>
    <w:p>
      <w:pPr>
        <w:ind w:right="220" w:firstLine="1033"/>
        <w:spacing w:after="0" w:line="275" w:lineRule="auto"/>
        <w:rPr>
          <w:sz w:val="20"/>
          <w:szCs w:val="20"/>
          <w:color w:val="auto"/>
        </w:rPr>
      </w:pPr>
      <w:r>
        <w:rPr>
          <w:rFonts w:ascii="Times New Roman" w:cs="Times New Roman" w:eastAsia="Times New Roman" w:hAnsi="Times New Roman"/>
          <w:sz w:val="16"/>
          <w:szCs w:val="16"/>
          <w:color w:val="auto"/>
        </w:rPr>
        <w:t>Further, we are subject to the examination of our income tax returns by the IRS and other taxing authorities. We regularly assess the likelihood of adverse outcomes resulting from such examinations to determine the adequacy of our provision for income taxes. Although we believe we have made appropriate provisions for taxes in the jurisdictions in which we operate, changes in the tax laws or challenges from taxing authorities under existing tax laws could adversely affect our business, financial condition and results of operations.</w:t>
      </w:r>
    </w:p>
    <w:p>
      <w:pPr>
        <w:spacing w:after="0" w:line="7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b w:val="1"/>
          <w:bCs w:val="1"/>
          <w:i w:val="1"/>
          <w:iCs w:val="1"/>
          <w:color w:val="auto"/>
        </w:rPr>
        <w:t>Future government regulation of the Internet could create incremental costs or business disruption, harming our results of operations.</w:t>
      </w:r>
    </w:p>
    <w:p>
      <w:pPr>
        <w:spacing w:after="0" w:line="131" w:lineRule="exact"/>
        <w:rPr>
          <w:sz w:val="20"/>
          <w:szCs w:val="20"/>
          <w:color w:val="auto"/>
        </w:rPr>
      </w:pPr>
    </w:p>
    <w:p>
      <w:pPr>
        <w:ind w:right="100" w:firstLine="1033"/>
        <w:spacing w:after="0" w:line="271" w:lineRule="auto"/>
        <w:rPr>
          <w:sz w:val="20"/>
          <w:szCs w:val="20"/>
          <w:color w:val="auto"/>
        </w:rPr>
      </w:pPr>
      <w:r>
        <w:rPr>
          <w:rFonts w:ascii="Times New Roman" w:cs="Times New Roman" w:eastAsia="Times New Roman" w:hAnsi="Times New Roman"/>
          <w:sz w:val="16"/>
          <w:szCs w:val="16"/>
          <w:color w:val="auto"/>
        </w:rPr>
        <w:t>The future success of our business depends upon the continued use of the Internet as a primary medium for commerce, communication and business services. Because of the Internet’s popularity and increasing use, federal, state or foreign government bodies or agencies have adopted, and may in the future adopt, laws or regulations affecting the use of the Internet as a commercial medium. These laws and regulations cover issues such as the collection and use of data from website visitors and related privacy issues; pricing; taxation; telecommunications over the Internet; content; copyrights; distribution; and domain name piracy. The enactment of any additional laws or regulations of the Internet, including international laws and regulations, could impede the growth of subscription revenue and place additional financial burdens on our business.</w:t>
      </w:r>
    </w:p>
    <w:p>
      <w:pPr>
        <w:spacing w:after="0" w:line="72" w:lineRule="exact"/>
        <w:rPr>
          <w:sz w:val="20"/>
          <w:szCs w:val="20"/>
          <w:color w:val="auto"/>
        </w:rPr>
      </w:pPr>
    </w:p>
    <w:p>
      <w:pPr>
        <w:jc w:val="both"/>
        <w:ind w:right="80" w:firstLine="1033"/>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Changes to financial accounting standards may affect our results of operations and could cause us to change our business practices. The nature of our business requires the application of accounting guidance that requires management to make estimates and assumptions. Additionally, changes in accounting guidance may cause us to experience greater volatility in our quarterly and annual results. If we are unsuccessful in adapting to the requirements of new guidance, or in clearly explaining to stockholders how new guidance affects reporting of our results of operations, our stock price may decline.</w:t>
      </w: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8" w:right="359" w:bottom="1440" w:gutter="0" w:footer="0" w:header="0"/>
        </w:sectPr>
      </w:pPr>
    </w:p>
    <w:bookmarkStart w:id="27" w:name="page28"/>
    <w:bookmarkEnd w:id="27"/>
    <w:p>
      <w:pPr>
        <w:ind w:right="80" w:firstLine="1033"/>
        <w:spacing w:after="0" w:line="272" w:lineRule="auto"/>
        <w:rPr>
          <w:sz w:val="20"/>
          <w:szCs w:val="20"/>
          <w:color w:val="auto"/>
        </w:rPr>
      </w:pPr>
      <w:r>
        <w:rPr>
          <w:rFonts w:ascii="Times New Roman" w:cs="Times New Roman" w:eastAsia="Times New Roman" w:hAnsi="Times New Roman"/>
          <w:sz w:val="16"/>
          <w:szCs w:val="16"/>
          <w:color w:val="auto"/>
        </w:rPr>
        <w:t>We prepare our consolidated financial statements to conform to U.S. Generally Accepted Accounting Principles (“GAAP”). These accounting principles are subject to interpretation by the Securities and Exchange Commission ("SEC"), Financial Accounting Standards Board ("FASB"), and various bodies formed to interpret and create accounting rules and regulations. Recent accounting standards, such as Accounting Standards Codification (“ASC”) 842, Leases (“ASC 842”), which we adopted in fiscal year 2021, or the guidance relating to interpretation and adoption of standards could have a significant effect on our financial results and could affect our business. Additionally, the FASB and the SEC are focused on the integrity of financial reporting, and our accounting policies are subject to scrutiny by regulators and the public.</w:t>
      </w:r>
    </w:p>
    <w:p>
      <w:pPr>
        <w:spacing w:after="0" w:line="78" w:lineRule="exact"/>
        <w:rPr>
          <w:sz w:val="20"/>
          <w:szCs w:val="20"/>
          <w:color w:val="auto"/>
        </w:rPr>
      </w:pPr>
    </w:p>
    <w:p>
      <w:pPr>
        <w:ind w:right="160" w:firstLine="1033"/>
        <w:spacing w:after="0" w:line="281" w:lineRule="auto"/>
        <w:rPr>
          <w:sz w:val="20"/>
          <w:szCs w:val="20"/>
          <w:color w:val="auto"/>
        </w:rPr>
      </w:pPr>
      <w:r>
        <w:rPr>
          <w:rFonts w:ascii="Times New Roman" w:cs="Times New Roman" w:eastAsia="Times New Roman" w:hAnsi="Times New Roman"/>
          <w:sz w:val="16"/>
          <w:szCs w:val="16"/>
          <w:color w:val="auto"/>
        </w:rPr>
        <w:t>We cannot predict the impact of future changes to accounting principles or our accounting policies on our financial statements going forward. If we are not able to successfully adopt to new accounting requirements, or if changes to our go-to-market strategy create new risks, then we may experience greater volatility in our quarterly and annual results, which may cause our stock price to decline.</w:t>
      </w:r>
    </w:p>
    <w:p>
      <w:pPr>
        <w:spacing w:after="0" w:line="69" w:lineRule="exact"/>
        <w:rPr>
          <w:sz w:val="20"/>
          <w:szCs w:val="20"/>
          <w:color w:val="auto"/>
        </w:rPr>
      </w:pPr>
    </w:p>
    <w:p>
      <w:pPr>
        <w:jc w:val="both"/>
        <w:ind w:right="220" w:firstLine="1033"/>
        <w:spacing w:after="0" w:line="281" w:lineRule="auto"/>
        <w:rPr>
          <w:sz w:val="20"/>
          <w:szCs w:val="20"/>
          <w:color w:val="auto"/>
        </w:rPr>
      </w:pPr>
      <w:r>
        <w:rPr>
          <w:rFonts w:ascii="Times New Roman" w:cs="Times New Roman" w:eastAsia="Times New Roman" w:hAnsi="Times New Roman"/>
          <w:sz w:val="16"/>
          <w:szCs w:val="16"/>
          <w:color w:val="auto"/>
        </w:rPr>
        <w:t>In addition, GAAP requires management to make estimates and assumptions that affect the amounts reported in the consolidated financial statements.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w:t>
      </w:r>
    </w:p>
    <w:p>
      <w:pPr>
        <w:spacing w:after="0" w:line="69" w:lineRule="exact"/>
        <w:rPr>
          <w:sz w:val="20"/>
          <w:szCs w:val="20"/>
          <w:color w:val="auto"/>
        </w:rPr>
      </w:pPr>
    </w:p>
    <w:p>
      <w:pPr>
        <w:ind w:right="140" w:firstLine="1033"/>
        <w:spacing w:after="0" w:line="298" w:lineRule="auto"/>
        <w:rPr>
          <w:sz w:val="20"/>
          <w:szCs w:val="20"/>
          <w:color w:val="auto"/>
        </w:rPr>
      </w:pPr>
      <w:r>
        <w:rPr>
          <w:rFonts w:ascii="Times New Roman" w:cs="Times New Roman" w:eastAsia="Times New Roman" w:hAnsi="Times New Roman"/>
          <w:sz w:val="16"/>
          <w:szCs w:val="16"/>
          <w:color w:val="auto"/>
        </w:rPr>
        <w:t>Further, some accounting standards require significant judgment and estimates that impact our results of operations. The use of judgment and estimates can potentially result in differences between forecast figures and subsequently reported actual amounts, which may cause volatility in our stock price.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Litigation Risk Factors</w:t>
      </w:r>
    </w:p>
    <w:p>
      <w:pPr>
        <w:spacing w:after="0" w:line="1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b w:val="1"/>
          <w:bCs w:val="1"/>
          <w:i w:val="1"/>
          <w:iCs w:val="1"/>
          <w:color w:val="auto"/>
        </w:rPr>
        <w:t>We are currently, and have been in the past, a party to litigation, which could result in damage to our reputation and harm our future results of</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operations.</w:t>
      </w:r>
    </w:p>
    <w:p>
      <w:pPr>
        <w:spacing w:after="0" w:line="119" w:lineRule="exact"/>
        <w:rPr>
          <w:sz w:val="20"/>
          <w:szCs w:val="20"/>
          <w:color w:val="auto"/>
        </w:rPr>
      </w:pPr>
    </w:p>
    <w:p>
      <w:pPr>
        <w:ind w:right="20" w:firstLine="1033"/>
        <w:spacing w:after="0" w:line="268" w:lineRule="auto"/>
        <w:rPr>
          <w:sz w:val="20"/>
          <w:szCs w:val="20"/>
          <w:color w:val="auto"/>
        </w:rPr>
      </w:pPr>
      <w:r>
        <w:rPr>
          <w:rFonts w:ascii="Times New Roman" w:cs="Times New Roman" w:eastAsia="Times New Roman" w:hAnsi="Times New Roman"/>
          <w:sz w:val="16"/>
          <w:szCs w:val="16"/>
          <w:color w:val="auto"/>
        </w:rPr>
        <w:t>From time to time, we may become involved in legal proceedings or be subject to claims arising in the ordinary course of our business. Litigation might result in substantial costs and may divert management’s attention and resources, which might harm our business, financial condition, and results of operations. For example, we have been named in several putative class action lawsuits, which generally allege that the total loss vehicle valuation generated by the Company’s total loss valuation solution undervalues the actual total loss incurred by the insured and improper adjustment of claims by insurance carriers. While we believe that we can partially mitigate the risk and severity of exposure from these lawsuits through contractual provisions in certain of our agreements with insurance carriers, and carrying our own insurance that we believe is adequate to cover adverse claims arising from these lawsuits or similar lawsuits that may be brought against us, we may not have adequate contractual protection in all of our contracts and defending these and similar litigation is costly, diverts management from day-to-day operations, and could harm our brand and reputation. As a result, we may ultimately be subject to a damages judgment, which could be significant and exceed our insurance policy limits or otherwise be excluded from coverage.</w:t>
      </w:r>
    </w:p>
    <w:p>
      <w:pPr>
        <w:spacing w:after="0" w:line="287" w:lineRule="exact"/>
        <w:rPr>
          <w:sz w:val="20"/>
          <w:szCs w:val="20"/>
          <w:color w:val="auto"/>
        </w:rPr>
      </w:pPr>
    </w:p>
    <w:p>
      <w:pPr>
        <w:ind w:right="80" w:firstLine="1033"/>
        <w:spacing w:after="0" w:line="298" w:lineRule="auto"/>
        <w:rPr>
          <w:sz w:val="20"/>
          <w:szCs w:val="20"/>
          <w:color w:val="auto"/>
        </w:rPr>
      </w:pPr>
      <w:r>
        <w:rPr>
          <w:rFonts w:ascii="Times New Roman" w:cs="Times New Roman" w:eastAsia="Times New Roman" w:hAnsi="Times New Roman"/>
          <w:sz w:val="16"/>
          <w:szCs w:val="16"/>
          <w:color w:val="auto"/>
        </w:rPr>
        <w:t>Regardless of the outcome of any existing or future litigation, litigation can have an adverse impact on us because of defense and settlement costs, diversion of management resources, harm to our reputation, and other factors. See "Item 3 —Legal Proceedings."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Reliance on Third Parties and Key Personnel Risk Factors</w:t>
      </w:r>
    </w:p>
    <w:p>
      <w:pPr>
        <w:spacing w:after="0" w:line="1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b w:val="1"/>
          <w:bCs w:val="1"/>
          <w:i w:val="1"/>
          <w:iCs w:val="1"/>
          <w:color w:val="auto"/>
        </w:rPr>
        <w:t>If we are unable to retain our personnel and hire and integrate additional skilled personnel, we may be unable to achieve our goals and our business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may suffer.</w:t>
      </w:r>
    </w:p>
    <w:p>
      <w:pPr>
        <w:spacing w:after="0" w:line="119" w:lineRule="exact"/>
        <w:rPr>
          <w:sz w:val="20"/>
          <w:szCs w:val="20"/>
          <w:color w:val="auto"/>
        </w:rPr>
      </w:pPr>
    </w:p>
    <w:p>
      <w:pPr>
        <w:ind w:right="40" w:firstLine="1033"/>
        <w:spacing w:after="0" w:line="271" w:lineRule="auto"/>
        <w:rPr>
          <w:sz w:val="20"/>
          <w:szCs w:val="20"/>
          <w:color w:val="auto"/>
        </w:rPr>
      </w:pPr>
      <w:r>
        <w:rPr>
          <w:rFonts w:ascii="Times New Roman" w:cs="Times New Roman" w:eastAsia="Times New Roman" w:hAnsi="Times New Roman"/>
          <w:sz w:val="16"/>
          <w:szCs w:val="16"/>
          <w:color w:val="auto"/>
        </w:rPr>
        <w:t>Our future success depends upon our ability to continue to attract, train, integrate and retain highly skilled employees, particularly those on our management team, and our sales and marketing personnel, SaaS operations personnel, professional services personnel and software engineers. Additionally, our stakeholders increasingly expect us to have a culture that embraces diversity and inclusion in the workplace. Our inability to attract and retain diverse and qualified personnel, or delays in hiring required personnel, including attrition, retention and delay issues due to macroeconomic and other factors beyond our control, may adversely impact our business, results of operations and financial condition. If U.S. immigration policy related to skilled foreign workers were materially adjusted, such a change could hamper our efforts to hire highly skilled foreign employees, including highly specialized engineers, which would adversely impact our business.</w:t>
      </w:r>
    </w:p>
    <w:p>
      <w:pPr>
        <w:spacing w:after="0" w:line="76" w:lineRule="exact"/>
        <w:rPr>
          <w:sz w:val="20"/>
          <w:szCs w:val="20"/>
          <w:color w:val="auto"/>
        </w:rPr>
      </w:pPr>
    </w:p>
    <w:p>
      <w:pPr>
        <w:jc w:val="both"/>
        <w:ind w:right="600" w:firstLine="1033"/>
        <w:spacing w:after="0" w:line="281" w:lineRule="auto"/>
        <w:rPr>
          <w:sz w:val="20"/>
          <w:szCs w:val="20"/>
          <w:color w:val="auto"/>
        </w:rPr>
      </w:pPr>
      <w:r>
        <w:rPr>
          <w:rFonts w:ascii="Times New Roman" w:cs="Times New Roman" w:eastAsia="Times New Roman" w:hAnsi="Times New Roman"/>
          <w:sz w:val="16"/>
          <w:szCs w:val="16"/>
          <w:color w:val="auto"/>
        </w:rPr>
        <w:t>Our executive officers and other key employees are generally employed on an at-will basis, which means that these personnel could terminate their relationship with us at any time. The loss of any member of our senior management team could significantly delay or prevent us from achieving our business and/or development objectives and could materially impact our business.</w:t>
      </w:r>
    </w:p>
    <w:p>
      <w:pPr>
        <w:spacing w:after="0" w:line="69" w:lineRule="exact"/>
        <w:rPr>
          <w:sz w:val="20"/>
          <w:szCs w:val="20"/>
          <w:color w:val="auto"/>
        </w:rPr>
      </w:pPr>
    </w:p>
    <w:p>
      <w:pPr>
        <w:ind w:right="40" w:firstLine="1033"/>
        <w:spacing w:after="0" w:line="281" w:lineRule="auto"/>
        <w:rPr>
          <w:sz w:val="20"/>
          <w:szCs w:val="20"/>
          <w:color w:val="auto"/>
        </w:rPr>
      </w:pPr>
      <w:r>
        <w:rPr>
          <w:rFonts w:ascii="Times New Roman" w:cs="Times New Roman" w:eastAsia="Times New Roman" w:hAnsi="Times New Roman"/>
          <w:sz w:val="16"/>
          <w:szCs w:val="16"/>
          <w:color w:val="auto"/>
        </w:rPr>
        <w:t>We face competition for qualified individuals from numerous software and other technology companies. Further, significant amounts of time and resources are required to train technical, sales, services and other personnel. We may incur significant costs to attract, train and retain such personnel, and we may lose new employees to our competitors or other technology companies before we realize the benefit of our investment after recruiting and training them.</w:t>
      </w:r>
    </w:p>
    <w:p>
      <w:pPr>
        <w:spacing w:after="0" w:line="69" w:lineRule="exact"/>
        <w:rPr>
          <w:sz w:val="20"/>
          <w:szCs w:val="20"/>
          <w:color w:val="auto"/>
        </w:rPr>
      </w:pPr>
    </w:p>
    <w:p>
      <w:pPr>
        <w:ind w:firstLine="1033"/>
        <w:spacing w:after="0" w:line="265" w:lineRule="auto"/>
        <w:rPr>
          <w:sz w:val="20"/>
          <w:szCs w:val="20"/>
          <w:color w:val="auto"/>
        </w:rPr>
      </w:pPr>
      <w:r>
        <w:rPr>
          <w:rFonts w:ascii="Times New Roman" w:cs="Times New Roman" w:eastAsia="Times New Roman" w:hAnsi="Times New Roman"/>
          <w:sz w:val="16"/>
          <w:szCs w:val="16"/>
          <w:color w:val="auto"/>
        </w:rPr>
        <w:t>To the extent that we hire personnel from competitors, we may be subject to allegations that such personnel are restricted from working for us because of their non-competition or non-solicitation obligations to these competitors, have been improperly solicited or have divulged proprietary or other confidential information. In addition, we have a limited number of salespeople and the loss of several salespeople within a short period of time could have a negative impact on our sales efforts. We may be unable to attract and retain suitably qualified individuals who are capable of meeting our growing technical, operational and managerial requirements, or we may be required to pay increased compensation in order to do so. The Federal Trade Commission has recently proposed new rules that would ban employers from imposing noncompete clauses in employment agreements. If such rules are implemented, our profitability could be harmed if our employees leave to work for our competitors and we may also face increased allegations by third-parties that our employees have disclosed to us, or improperly used for our benefit, proprietary or confidential information of third parties, and may need to expend additional resources to protect our own proprietary and other confidential information.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28" w:name="page29"/>
    <w:bookmarkEnd w:id="28"/>
    <w:p>
      <w:pPr>
        <w:ind w:right="60" w:firstLine="1033"/>
        <w:spacing w:after="0" w:line="275" w:lineRule="auto"/>
        <w:rPr>
          <w:sz w:val="20"/>
          <w:szCs w:val="20"/>
          <w:color w:val="auto"/>
        </w:rPr>
      </w:pPr>
      <w:r>
        <w:rPr>
          <w:rFonts w:ascii="Times New Roman" w:cs="Times New Roman" w:eastAsia="Times New Roman" w:hAnsi="Times New Roman"/>
          <w:sz w:val="16"/>
          <w:szCs w:val="16"/>
          <w:color w:val="auto"/>
        </w:rPr>
        <w:t>Our ability to expand geographically depends, in large part, on our ability to attract, retain and integrate managers to lead the local business and employees with the appropriate skills. Similarly, our profitability depends on our ability to effectively utilize personnel with the right mix of skills and experience to perform services for our customers, including our ability to transition employees to new assignments on a timely basis. If we are unable to effectively deploy our employees on a timely basis to fulfill the needs of our customers, our reputation could suffer and our ability to attract new customers may be adversely impacted.</w:t>
      </w:r>
    </w:p>
    <w:p>
      <w:pPr>
        <w:spacing w:after="0" w:line="75" w:lineRule="exact"/>
        <w:rPr>
          <w:sz w:val="20"/>
          <w:szCs w:val="20"/>
          <w:color w:val="auto"/>
        </w:rPr>
      </w:pPr>
    </w:p>
    <w:p>
      <w:pPr>
        <w:ind w:right="120" w:firstLine="1033"/>
        <w:spacing w:after="0" w:line="281" w:lineRule="auto"/>
        <w:rPr>
          <w:sz w:val="20"/>
          <w:szCs w:val="20"/>
          <w:color w:val="auto"/>
        </w:rPr>
      </w:pPr>
      <w:r>
        <w:rPr>
          <w:rFonts w:ascii="Times New Roman" w:cs="Times New Roman" w:eastAsia="Times New Roman" w:hAnsi="Times New Roman"/>
          <w:sz w:val="16"/>
          <w:szCs w:val="16"/>
          <w:color w:val="auto"/>
        </w:rPr>
        <w:t>Because of the technical nature of our solutions and the dynamic market in which we compete, any failure to attract, integrate and retain qualified sales and product development personnel, as well as our contract workers, could adversely impact our ability to generate sales or successfully develop new solutions and enhancements of existing solutions.</w:t>
      </w:r>
    </w:p>
    <w:p>
      <w:pPr>
        <w:spacing w:after="0" w:line="65" w:lineRule="exact"/>
        <w:rPr>
          <w:sz w:val="20"/>
          <w:szCs w:val="20"/>
          <w:color w:val="auto"/>
        </w:rPr>
      </w:pPr>
    </w:p>
    <w:p>
      <w:pPr>
        <w:ind w:right="700" w:firstLine="1033"/>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We rely on third-party service providers, including third-party cloud providers, to host and deliver our websites, web-based solutions, and other information technology systems and any interruptions or delays in these services could negatively impact our business.</w:t>
      </w:r>
    </w:p>
    <w:p>
      <w:pPr>
        <w:spacing w:after="0" w:line="52" w:lineRule="exact"/>
        <w:rPr>
          <w:sz w:val="20"/>
          <w:szCs w:val="20"/>
          <w:color w:val="auto"/>
        </w:rPr>
      </w:pPr>
    </w:p>
    <w:p>
      <w:pPr>
        <w:ind w:right="40" w:firstLine="1033"/>
        <w:spacing w:after="0" w:line="268" w:lineRule="auto"/>
        <w:rPr>
          <w:sz w:val="20"/>
          <w:szCs w:val="20"/>
          <w:color w:val="auto"/>
        </w:rPr>
      </w:pPr>
      <w:r>
        <w:rPr>
          <w:rFonts w:ascii="Times New Roman" w:cs="Times New Roman" w:eastAsia="Times New Roman" w:hAnsi="Times New Roman"/>
          <w:sz w:val="16"/>
          <w:szCs w:val="16"/>
          <w:color w:val="auto"/>
        </w:rPr>
        <w:t>We currently serve our customers from third-party data center and cloud hosting facilities. Our operations depend in part on these third-party providers’ ability to protect these facilities against damage or interruption from natural disasters, power or telecommunications failures, criminal acts, and similar events. In the event that our arrangements with these third-party providers are terminated, or if there are any lapses of service or damage to a provider’s facilities, we would likely experience significant interruptions in our cloud-based applications or other business operations as well as delays and additional expenses in making new arrangements to restore services. Any interruptions or delays in our service, whether as a result of third-party error, our own error, fire, floods, earthquakes, acts of terrorism, power loss, telecommunications failures, break-ins and similar events, or security breaches, whether accidental or willful, could impair our ability to deliver our solutions to our customers, resulting in customer dissatisfaction, damage to our reputation, loss of customers and adverse impact to our operations and our business and could cause our revenue to decrease and/or our expenses to increase. Also, in the event of damage or interruption, our contractual agreements with third party vendors and insurance policies may not adequately compensate us for any losses that we may incur.</w:t>
      </w:r>
    </w:p>
    <w:p>
      <w:pPr>
        <w:spacing w:after="0" w:line="81" w:lineRule="exact"/>
        <w:rPr>
          <w:sz w:val="20"/>
          <w:szCs w:val="20"/>
          <w:color w:val="auto"/>
        </w:rPr>
      </w:pPr>
    </w:p>
    <w:p>
      <w:pPr>
        <w:ind w:right="20" w:firstLine="1033"/>
        <w:spacing w:after="0" w:line="267" w:lineRule="auto"/>
        <w:rPr>
          <w:sz w:val="20"/>
          <w:szCs w:val="20"/>
          <w:color w:val="auto"/>
        </w:rPr>
      </w:pPr>
      <w:r>
        <w:rPr>
          <w:rFonts w:ascii="Times New Roman" w:cs="Times New Roman" w:eastAsia="Times New Roman" w:hAnsi="Times New Roman"/>
          <w:sz w:val="16"/>
          <w:szCs w:val="16"/>
          <w:color w:val="auto"/>
        </w:rPr>
        <w:t>The controls implemented by our current or future third-party service providers may not prevent or timely detect system failures and we do not control the operations of third-party service providers that we use. Any changes in service levels by our current or future third-party service providers could result in loss or damage to our customers’ stored information and any service interruptions at these third-party service providers could hurt our reputation, cause us to lose customers, adversely impact our ability to attract new customers or subject us to potential liability. Our current or future third-party service providers could decide to close their facilities without adequate notice. In addition, financial difficulties, such as bankruptcy, faced by our current or future third-party service providers, or any of the service providers with whom we or they contract, may have negative effects on our business. If our current or future third-party service providers are unable to keep up with our growing needs for capacity or any spikes in customer demand, it could have an adverse effect on our business. Our contractual agreements with third party vendors, property and business interruption insurance coverage may not be adequate to fully compensate us for losses that may occur. Additionally, our systems redundancies and disaster recovery and business continuity plans may not be sufficient to overcome the failures of third-party service providers hosting our SaaS solutions. In addition, the infrastructure that connects our networks to each other, or to the Internet and other external networks, may become insufficient, including with respect to latency, capacity, reliability and connectivity.</w:t>
      </w:r>
    </w:p>
    <w:p>
      <w:pPr>
        <w:spacing w:after="0" w:line="289" w:lineRule="exact"/>
        <w:rPr>
          <w:sz w:val="20"/>
          <w:szCs w:val="20"/>
          <w:color w:val="auto"/>
        </w:rPr>
      </w:pPr>
    </w:p>
    <w:p>
      <w:pPr>
        <w:ind w:firstLine="1033"/>
        <w:spacing w:after="0" w:line="269" w:lineRule="auto"/>
        <w:rPr>
          <w:sz w:val="20"/>
          <w:szCs w:val="20"/>
          <w:color w:val="auto"/>
        </w:rPr>
      </w:pPr>
      <w:r>
        <w:rPr>
          <w:rFonts w:ascii="Times New Roman" w:cs="Times New Roman" w:eastAsia="Times New Roman" w:hAnsi="Times New Roman"/>
          <w:sz w:val="16"/>
          <w:szCs w:val="16"/>
          <w:color w:val="auto"/>
        </w:rPr>
        <w:t>In the ordinary course of business, our information technology systems will continue to require modification and refinements to address growth and changing business requirements, including technological advancement that could result in our solutions being run less expensively on a different platform or could accelerate obsolescence of our existing systems and infrastructure. If it should be needed, a change in service provider for our data center housing or other third-party solutions would be costly and time-consuming to implement, which could negatively impact our operating results. In addition to the financial impacts, a transition of this type would be a complex effort, which could result in errors or service interruptions for customers and could require considerable staff and management’s attention being dedicated to the effort, potentially limiting our capacity for undertaking other projects. If we are not able to adapt to changing technologies or meet customer demands for new processes or technologies in a timely and cost-effective manner, or if our existing information technology systems and infrastructure becomes, or is perceived as being, outdated or less sophisticated than our competitors’, we may not be able to retain existing customers and attract new customers necessary to sustain and grow our business.</w:t>
      </w:r>
    </w:p>
    <w:p>
      <w:pPr>
        <w:spacing w:after="0" w:line="78" w:lineRule="exact"/>
        <w:rPr>
          <w:sz w:val="20"/>
          <w:szCs w:val="20"/>
          <w:color w:val="auto"/>
        </w:rPr>
      </w:pPr>
    </w:p>
    <w:p>
      <w:pPr>
        <w:ind w:right="100" w:firstLine="1033"/>
        <w:spacing w:after="0" w:line="269" w:lineRule="auto"/>
        <w:rPr>
          <w:sz w:val="20"/>
          <w:szCs w:val="20"/>
          <w:color w:val="auto"/>
        </w:rPr>
      </w:pPr>
      <w:r>
        <w:rPr>
          <w:rFonts w:ascii="Times New Roman" w:cs="Times New Roman" w:eastAsia="Times New Roman" w:hAnsi="Times New Roman"/>
          <w:sz w:val="16"/>
          <w:szCs w:val="16"/>
          <w:color w:val="auto"/>
        </w:rPr>
        <w:t>We are currently in the process of migrating certain core information technology systems and customer-facing applications to third-party cloud providers. If we do not complete the transition or fail to administer these new environments in a well-managed, secure and effective manner, if the platform(s) we migrate to become unavailable or do not meet their service level agreements for any reason, if our solutions do not perform as we expect them to within these new environments or are unable to integrate efficiently with other environments, or if we are unable to appropriately balance the introduction of new capabilities and systems with the management of existing systems, we may experience unplanned service disruption or unforeseen costs which could result in material harm to our business and results of operations. Our third-party cloud providers, or other service providers, could experience system breakdowns or failures, outages, downtime, cyber-attacks, adverse changes to financial condition, bankruptcy, or other adverse conditions, which could have a material adverse effect on our business and reputation.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Indebtedness</w:t>
      </w:r>
    </w:p>
    <w:p>
      <w:pPr>
        <w:spacing w:after="0" w:line="125" w:lineRule="exact"/>
        <w:rPr>
          <w:sz w:val="20"/>
          <w:szCs w:val="20"/>
          <w:color w:val="auto"/>
        </w:rPr>
      </w:pPr>
    </w:p>
    <w:p>
      <w:pPr>
        <w:ind w:right="360" w:firstLine="1033"/>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Our financial leverage could adversely affect our ability to raise additional capital to fund our operations, limit our ability to react to changes in the economy or our market, expose us to interest rate risk, and prevent us from timely satisfying our obligations.</w:t>
      </w:r>
    </w:p>
    <w:p>
      <w:pPr>
        <w:spacing w:after="0" w:line="52" w:lineRule="exact"/>
        <w:rPr>
          <w:sz w:val="20"/>
          <w:szCs w:val="20"/>
          <w:color w:val="auto"/>
        </w:rPr>
      </w:pPr>
    </w:p>
    <w:p>
      <w:pPr>
        <w:ind w:right="160" w:firstLine="1033"/>
        <w:spacing w:after="0" w:line="266" w:lineRule="auto"/>
        <w:rPr>
          <w:sz w:val="20"/>
          <w:szCs w:val="20"/>
          <w:color w:val="auto"/>
        </w:rPr>
      </w:pPr>
      <w:r>
        <w:rPr>
          <w:rFonts w:ascii="Times New Roman" w:cs="Times New Roman" w:eastAsia="Times New Roman" w:hAnsi="Times New Roman"/>
          <w:sz w:val="16"/>
          <w:szCs w:val="16"/>
          <w:color w:val="auto"/>
        </w:rPr>
        <w:t>As of December 31, 2023, our total debt outstanding under the 2021 Credit Agreement (as defined below) was $784.0 million under our Term B Loan (as defined below) and we had additional unused borrowing capacity under our 2021 Revolving Credit Facility (as defined below) of $249.3 million. For a description of our 2021 Credit Facilities (as defined below) see “Management’s Discussion and Analysis of Financial Condition and Results of Operations—Liquidity and Capital Resources —Debt.” If we cannot generate sufficient cash flow from operations to service the 2021 Credit Facilities, we may need to refinance the 2021 Credit Facilities, dispose of assets, or issue equity to obtain necessary funds; we do not know whether we will be able to take any such actions on a timely basis or on terms satisfactory to us or at all.</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29" w:name="page30"/>
    <w:bookmarkEnd w:id="29"/>
    <w:p>
      <w:pPr>
        <w:ind w:left="1040"/>
        <w:spacing w:after="0"/>
        <w:rPr>
          <w:sz w:val="20"/>
          <w:szCs w:val="20"/>
          <w:color w:val="auto"/>
        </w:rPr>
      </w:pPr>
      <w:r>
        <w:rPr>
          <w:rFonts w:ascii="Times New Roman" w:cs="Times New Roman" w:eastAsia="Times New Roman" w:hAnsi="Times New Roman"/>
          <w:sz w:val="16"/>
          <w:szCs w:val="16"/>
          <w:color w:val="auto"/>
        </w:rPr>
        <w:t>Our leverage and the covenant restrictions under the 2021 Credit Agreement could have important consequences, including, without limitation:</w:t>
      </w:r>
    </w:p>
    <w:p>
      <w:pPr>
        <w:spacing w:after="0" w:line="127"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making it more difficult for us to make payments on outstanding principal and interest owed under the 2021 Credit Agreement;</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increasing our vulnerability to general economic and market conditions and to changes in the industries in which we compete;</w:t>
      </w:r>
    </w:p>
    <w:p>
      <w:pPr>
        <w:spacing w:after="0" w:line="126" w:lineRule="exact"/>
        <w:rPr>
          <w:rFonts w:ascii="Times New Roman" w:cs="Times New Roman" w:eastAsia="Times New Roman" w:hAnsi="Times New Roman"/>
          <w:sz w:val="16"/>
          <w:szCs w:val="16"/>
          <w:color w:val="auto"/>
        </w:rPr>
      </w:pPr>
    </w:p>
    <w:p>
      <w:pPr>
        <w:ind w:left="1020" w:right="380" w:hanging="503"/>
        <w:spacing w:after="0" w:line="281" w:lineRule="auto"/>
        <w:tabs>
          <w:tab w:leader="none" w:pos="10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requiring a substantial portion of cash flow from operations to be dedicated to the payment of principal and interest owed under the Credit Agreement, thereby reducing our ability to use our cash flow to fund our operations, future working capital, capital expenditures, investments or acquisitions, future strategic business opportunities, or other general corporate requirements;</w:t>
      </w:r>
    </w:p>
    <w:p>
      <w:pPr>
        <w:spacing w:after="0" w:line="69"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restricting us from making acquisitions or causing us to make divestitures or similar transactions;</w:t>
      </w:r>
    </w:p>
    <w:p>
      <w:pPr>
        <w:spacing w:after="0" w:line="126" w:lineRule="exact"/>
        <w:rPr>
          <w:rFonts w:ascii="Times New Roman" w:cs="Times New Roman" w:eastAsia="Times New Roman" w:hAnsi="Times New Roman"/>
          <w:sz w:val="16"/>
          <w:szCs w:val="16"/>
          <w:color w:val="auto"/>
        </w:rPr>
      </w:pPr>
    </w:p>
    <w:p>
      <w:pPr>
        <w:ind w:left="1020" w:right="220" w:hanging="503"/>
        <w:spacing w:after="0" w:line="298" w:lineRule="auto"/>
        <w:tabs>
          <w:tab w:leader="none" w:pos="10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limiting our ability to obtain additional financing for the purpose of funding working capital, capital expenditures, debt service requirements, investments, acquisitions, and general corporate purposes;</w:t>
      </w:r>
    </w:p>
    <w:p>
      <w:pPr>
        <w:spacing w:after="0" w:line="56" w:lineRule="exact"/>
        <w:rPr>
          <w:rFonts w:ascii="Times New Roman" w:cs="Times New Roman" w:eastAsia="Times New Roman" w:hAnsi="Times New Roman"/>
          <w:sz w:val="16"/>
          <w:szCs w:val="16"/>
          <w:color w:val="auto"/>
        </w:rPr>
      </w:pPr>
    </w:p>
    <w:p>
      <w:pPr>
        <w:ind w:left="1020" w:right="240" w:hanging="503"/>
        <w:spacing w:after="0" w:line="298" w:lineRule="auto"/>
        <w:tabs>
          <w:tab w:leader="none" w:pos="10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limiting our ability to adjust to changing market conditions and placing us at a competitive disadvantage compared to our competitors who are less highly leveraged; and</w:t>
      </w:r>
    </w:p>
    <w:p>
      <w:pPr>
        <w:spacing w:after="0" w:line="5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increasing our cost of borrowing.</w:t>
      </w:r>
    </w:p>
    <w:p>
      <w:pPr>
        <w:spacing w:after="0" w:line="127" w:lineRule="exact"/>
        <w:rPr>
          <w:sz w:val="20"/>
          <w:szCs w:val="20"/>
          <w:color w:val="auto"/>
        </w:rPr>
      </w:pPr>
    </w:p>
    <w:p>
      <w:pPr>
        <w:ind w:right="660" w:firstLine="1033"/>
        <w:spacing w:after="0" w:line="298" w:lineRule="auto"/>
        <w:rPr>
          <w:sz w:val="20"/>
          <w:szCs w:val="20"/>
          <w:color w:val="auto"/>
        </w:rPr>
      </w:pPr>
      <w:r>
        <w:rPr>
          <w:rFonts w:ascii="Times New Roman" w:cs="Times New Roman" w:eastAsia="Times New Roman" w:hAnsi="Times New Roman"/>
          <w:sz w:val="16"/>
          <w:szCs w:val="16"/>
          <w:color w:val="auto"/>
        </w:rPr>
        <w:t>Borrowings under the 2021 Credit Facilities bear interest at rates based on the ratio of the Company's and its subsidiaries' consolidated first lien net indebtedness to the Company’s and its subsidiaries’ consolidated EBITDA for applicable periods specified in the 2021 Credit Facilities.</w:t>
      </w:r>
    </w:p>
    <w:p>
      <w:pPr>
        <w:spacing w:after="0" w:line="56" w:lineRule="exact"/>
        <w:rPr>
          <w:sz w:val="20"/>
          <w:szCs w:val="20"/>
          <w:color w:val="auto"/>
        </w:rPr>
      </w:pPr>
    </w:p>
    <w:p>
      <w:pPr>
        <w:ind w:right="80" w:firstLine="1033"/>
        <w:spacing w:after="0" w:line="298" w:lineRule="auto"/>
        <w:rPr>
          <w:sz w:val="20"/>
          <w:szCs w:val="20"/>
          <w:color w:val="auto"/>
        </w:rPr>
      </w:pPr>
      <w:r>
        <w:rPr>
          <w:rFonts w:ascii="Times New Roman" w:cs="Times New Roman" w:eastAsia="Times New Roman" w:hAnsi="Times New Roman"/>
          <w:sz w:val="16"/>
          <w:szCs w:val="16"/>
          <w:color w:val="auto"/>
        </w:rPr>
        <w:t>If interest rates increase, our debt service obligations may increase even though the amount borrowed remains the same, and our net income and cash flows, including cash available for servicing our indebtedness, will correspondingly decrease.</w:t>
      </w:r>
    </w:p>
    <w:p>
      <w:pPr>
        <w:spacing w:after="0" w:line="56" w:lineRule="exact"/>
        <w:rPr>
          <w:sz w:val="20"/>
          <w:szCs w:val="20"/>
          <w:color w:val="auto"/>
        </w:rPr>
      </w:pPr>
    </w:p>
    <w:p>
      <w:pPr>
        <w:ind w:firstLine="1033"/>
        <w:spacing w:after="0" w:line="271" w:lineRule="auto"/>
        <w:rPr>
          <w:sz w:val="20"/>
          <w:szCs w:val="20"/>
          <w:color w:val="auto"/>
        </w:rPr>
      </w:pPr>
      <w:r>
        <w:rPr>
          <w:rFonts w:ascii="Times New Roman" w:cs="Times New Roman" w:eastAsia="Times New Roman" w:hAnsi="Times New Roman"/>
          <w:sz w:val="16"/>
          <w:szCs w:val="16"/>
          <w:color w:val="auto"/>
        </w:rPr>
        <w:t>While we have implemented an interest rate hedging strategy intended to provide a level of protection against interest rate risks, no strategy can protect us completely from such risks. Furthermore, the nature and timing of hedging transactions influence the effectiveness of these strategies. Poorly designed strategies, improperly executed and documented transactions or inaccurate assumptions could increase our risks and exposure in the event of interest rate fluctuations. In addition, hedging strategies involve transaction and other costs. Our hedging strategies may not be able to adequately offset the risks of interest rate volatility, and our hedging transactions may result in or magnify losses. Furthermore, interest rate derivatives may not be available on favorable terms or at all, particularly during periods of heightened volatility or economic downturns. Any of the foregoing risks could adversely affect our business, financial condition and results of operations.</w:t>
      </w:r>
    </w:p>
    <w:p>
      <w:pPr>
        <w:spacing w:after="0" w:line="72" w:lineRule="exact"/>
        <w:rPr>
          <w:sz w:val="20"/>
          <w:szCs w:val="20"/>
          <w:color w:val="auto"/>
        </w:rPr>
      </w:pPr>
    </w:p>
    <w:p>
      <w:pPr>
        <w:ind w:right="80" w:firstLine="1033"/>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Restrictions imposed by the covenants in the 2021 Credit Agreement, and any covenants in any future credit facilities documentation, limit our ability to operate our business and to finance our future operations or capital needs or our ability to engage in acquisitions or other business activities necessary to achieve growth.</w:t>
      </w:r>
    </w:p>
    <w:p>
      <w:pPr>
        <w:spacing w:after="0" w:line="69" w:lineRule="exact"/>
        <w:rPr>
          <w:sz w:val="20"/>
          <w:szCs w:val="20"/>
          <w:color w:val="auto"/>
        </w:rPr>
      </w:pPr>
    </w:p>
    <w:p>
      <w:pPr>
        <w:ind w:right="400" w:firstLine="1033"/>
        <w:spacing w:after="0" w:line="298" w:lineRule="auto"/>
        <w:rPr>
          <w:sz w:val="20"/>
          <w:szCs w:val="20"/>
          <w:color w:val="auto"/>
        </w:rPr>
      </w:pPr>
      <w:r>
        <w:rPr>
          <w:rFonts w:ascii="Times New Roman" w:cs="Times New Roman" w:eastAsia="Times New Roman" w:hAnsi="Times New Roman"/>
          <w:sz w:val="16"/>
          <w:szCs w:val="16"/>
          <w:color w:val="auto"/>
        </w:rPr>
        <w:t>The 2021 Credit Agreement restrict us from engaging in certain activities. Such covenants, which are generally customary and generally reflect market terms, restrict our ability to, among other things:</w:t>
      </w:r>
    </w:p>
    <w:p>
      <w:pPr>
        <w:spacing w:after="0" w:line="56"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incur additional indebtedness;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create or incur liens;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 dividends and distributions on, or purchase, redeem, decrease, or otherwise acquire or retire for value, our capital stock;</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repayments or repurchases of debt that is contractually subordinated with respect to right of payment and/or security;</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create negative pledges with respect to the Credit Facilities or restrictions on the payment of dividends or payment of other amounts owed from subsidiaries;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acquisitions, investments, loans (including guarantees), advance or capital contributions;</w:t>
      </w:r>
    </w:p>
    <w:p>
      <w:pPr>
        <w:spacing w:after="0" w:line="126" w:lineRule="exact"/>
        <w:rPr>
          <w:rFonts w:ascii="Times New Roman" w:cs="Times New Roman" w:eastAsia="Times New Roman" w:hAnsi="Times New Roman"/>
          <w:sz w:val="16"/>
          <w:szCs w:val="16"/>
          <w:color w:val="auto"/>
        </w:rPr>
      </w:pPr>
    </w:p>
    <w:p>
      <w:pPr>
        <w:ind w:left="1020" w:right="400" w:hanging="503"/>
        <w:spacing w:after="0" w:line="298" w:lineRule="auto"/>
        <w:tabs>
          <w:tab w:leader="none" w:pos="10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engage in consolidations, amalgamations, mergers, liquidations, dissolutions, dispositions and/or sell, transfer, or otherwise dispose of assets, including capital stock of subsidiaries;</w:t>
      </w:r>
    </w:p>
    <w:p>
      <w:pPr>
        <w:spacing w:after="0" w:line="5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certain sale and leaseback transactions;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engage in certain transactions with affiliates;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 our material lines of business;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modify certain documents governing certain debt that is subordinated with respect to right of payment;</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 our fiscal year; and</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conduct material operations at Holdings.</w:t>
      </w:r>
    </w:p>
    <w:p>
      <w:pPr>
        <w:spacing w:after="0" w:line="127" w:lineRule="exact"/>
        <w:rPr>
          <w:sz w:val="20"/>
          <w:szCs w:val="20"/>
          <w:color w:val="auto"/>
        </w:rPr>
      </w:pPr>
    </w:p>
    <w:p>
      <w:pPr>
        <w:ind w:right="120" w:firstLine="1033"/>
        <w:spacing w:after="0" w:line="266" w:lineRule="auto"/>
        <w:rPr>
          <w:sz w:val="20"/>
          <w:szCs w:val="20"/>
          <w:color w:val="auto"/>
        </w:rPr>
      </w:pPr>
      <w:r>
        <w:rPr>
          <w:rFonts w:ascii="Times New Roman" w:cs="Times New Roman" w:eastAsia="Times New Roman" w:hAnsi="Times New Roman"/>
          <w:sz w:val="16"/>
          <w:szCs w:val="16"/>
          <w:color w:val="auto"/>
        </w:rPr>
        <w:t>The 2021 Credit Agreement contains representations and warranties, and affirmative and negative covenants, customary for a financing of the type. With respect to the 2021 Revolving Credit Facility, beginning with the fiscal quarter ending March 31, 2022, the Company is subject to a springing first lien leverage test, tested each fiscal quarter, only if a minimum of 35.0% of the 2021 Revolving Credit Facility is (subject to certain exclusions set forth in the 2021 Credit Agreement) drawn at the end of such fiscal quarter. The Company was not subject to the first lien leverage test as of December 31, 2023.</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30" w:name="page31"/>
    <w:bookmarkEnd w:id="30"/>
    <w:p>
      <w:pPr>
        <w:ind w:right="20" w:firstLine="1033"/>
        <w:spacing w:after="0" w:line="266" w:lineRule="auto"/>
        <w:rPr>
          <w:sz w:val="20"/>
          <w:szCs w:val="20"/>
          <w:color w:val="auto"/>
        </w:rPr>
      </w:pPr>
      <w:r>
        <w:rPr>
          <w:rFonts w:ascii="Times New Roman" w:cs="Times New Roman" w:eastAsia="Times New Roman" w:hAnsi="Times New Roman"/>
          <w:sz w:val="16"/>
          <w:szCs w:val="16"/>
          <w:color w:val="auto"/>
        </w:rPr>
        <w:t>We cannot guarantee that we will be able to maintain compliance with these covenants or, if we fail to do so, that we will be able to obtain waivers from the Administrative Agent and/or the required lenders and/or amend the covenants. Even if we comply with all of the applicable covenants, the restrictions on the conduct of our business could adversely affect our business by, among other things, limiting our ability to take advantage of financings, mergers, acquisitions, investments, and other corporate opportunities that may be beneficial to our business. Even if the 2021 Credit Agreement is terminated, any additional debt that we incur in the future could subject us to similar or additional covenants. A breach of any of the covenants in the 2021 Credit Agreement could result in an event of default, which, if not cured or waived, could trigger acceleration of our indebtedness and an increase in the interest rates applicable to such indebtedness, and may result in the acceleration of or default under any other debt we may incur in the future to which a cross-acceleration or cross-default provision applies. The acceleration of the indebtedness under the 2021 Credit Agreement or under any other indebtedness incurred by the Company and/or its subsidiaries in the future could have a material adverse effect on our business, results of operations, and financial condition. In the event of any event of default under the 2021 Credit Agreement or any additional future credit facilities, the applicable lenders could elect to terminate borrowing commitments and declare all borrowings and loans outstanding, together with accrued and unpaid interest and any fees and other obligations, to be due and payable. In addition, we have granted a security interest in a significant portion of our assets to secure our obligations under the 2021 Credit Agreement. During the existence of an event of default under the 2021 Credit Agreement, if not cured or waived, the Administrative Agent and Collateral Agent, acting on behalf of the relevant lenders, could exercise their rights and remedies thereunder, including by way of initiating foreclosure proceedings against any assets constituting collateral for our obligations under the 2021 Credit Agreement.</w:t>
      </w:r>
    </w:p>
    <w:p>
      <w:pPr>
        <w:spacing w:after="0" w:line="84" w:lineRule="exact"/>
        <w:rPr>
          <w:sz w:val="20"/>
          <w:szCs w:val="20"/>
          <w:color w:val="auto"/>
        </w:rPr>
      </w:pPr>
    </w:p>
    <w:p>
      <w:pPr>
        <w:ind w:right="180" w:firstLine="1033"/>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We may be unable to generate sufficient cash flow to satisfy our significant debt service obligations, which could have a material adverse effect on our business, financial condition, results of operations, and cash flows.</w:t>
      </w:r>
    </w:p>
    <w:p>
      <w:pPr>
        <w:spacing w:after="0" w:line="52" w:lineRule="exact"/>
        <w:rPr>
          <w:sz w:val="20"/>
          <w:szCs w:val="20"/>
          <w:color w:val="auto"/>
        </w:rPr>
      </w:pPr>
    </w:p>
    <w:p>
      <w:pPr>
        <w:ind w:right="20" w:firstLine="1033"/>
        <w:spacing w:after="0" w:line="268" w:lineRule="auto"/>
        <w:rPr>
          <w:sz w:val="20"/>
          <w:szCs w:val="20"/>
          <w:color w:val="auto"/>
        </w:rPr>
      </w:pPr>
      <w:r>
        <w:rPr>
          <w:rFonts w:ascii="Times New Roman" w:cs="Times New Roman" w:eastAsia="Times New Roman" w:hAnsi="Times New Roman"/>
          <w:sz w:val="16"/>
          <w:szCs w:val="16"/>
          <w:color w:val="auto"/>
        </w:rPr>
        <w:t>Our ability to make scheduled payments on or to refinance our debt obligations depends on our financial condition and operating performance, which are subject to prevailing economic and competitive conditions and to certain financial, business, legislative, regulatory, and other factors beyond our control. We may not be able to maintain a level of cash flows from operating activities sufficient to permit us to pay the principal, premium, if any, and/or interest on our indebtedness. If our cash flows and capital resources are insufficient to fund our debt service obligations, we may be forced to reduce or delay investments, acquisitions, capital expenditures, and payments on account of other obligations, seek additional capital, restructure or refinance our indebtedness, or sell assets. These alternative measures may not be successful and may not permit us to meet our scheduled debt service obligations. Our ability to restructure or refinance our debt will depend on the condition of the capital markets and our financial condition at such time. Any refinancing of our debt could be at higher interest rates and could require us to comply with more onerous covenants, which could further restrict our business operations. In addition, we cannot assure you that we will be able to refinance any of our indebtedness on commercially reasonable terms, or at all.</w:t>
      </w:r>
    </w:p>
    <w:p>
      <w:pPr>
        <w:spacing w:after="0" w:line="287" w:lineRule="exact"/>
        <w:rPr>
          <w:sz w:val="20"/>
          <w:szCs w:val="20"/>
          <w:color w:val="auto"/>
        </w:rPr>
      </w:pPr>
    </w:p>
    <w:p>
      <w:pPr>
        <w:ind w:right="140" w:firstLine="1033"/>
        <w:spacing w:after="0" w:line="272" w:lineRule="auto"/>
        <w:rPr>
          <w:sz w:val="20"/>
          <w:szCs w:val="20"/>
          <w:color w:val="auto"/>
        </w:rPr>
      </w:pPr>
      <w:r>
        <w:rPr>
          <w:rFonts w:ascii="Times New Roman" w:cs="Times New Roman" w:eastAsia="Times New Roman" w:hAnsi="Times New Roman"/>
          <w:sz w:val="16"/>
          <w:szCs w:val="16"/>
          <w:color w:val="auto"/>
        </w:rPr>
        <w:t>If we are at any point unable to repay or otherwise refinance our indebtedness when due, or if any other event of default is not cured or waived, the applicable lenders could accelerate our outstanding obligations or proceed against the collateral granted to them to secure that indebtedness, which could force us into bankruptcy or liquidation. In the event the applicable lenders accelerate the repayment of our borrowings, we and our subsidiaries may not have sufficient assets to repay that indebtedness. Any acceleration of amounts due under the 2021 Credit Agreement or the exercise by the applicable lenders of their rights under the security documents would likely have a material adverse effect on our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Risks Relating to Ownership of Our Common Stock</w:t>
      </w:r>
    </w:p>
    <w:p>
      <w:pPr>
        <w:spacing w:after="0" w:line="125" w:lineRule="exact"/>
        <w:rPr>
          <w:sz w:val="20"/>
          <w:szCs w:val="20"/>
          <w:color w:val="auto"/>
        </w:rPr>
      </w:pPr>
    </w:p>
    <w:p>
      <w:pPr>
        <w:ind w:right="100" w:firstLine="1033"/>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If the ownership of our common stock continues to be highly concentrated, it may prevent minority stockholders from influencing significant corporate decisions and may result in conflicts of interest.</w:t>
      </w:r>
    </w:p>
    <w:p>
      <w:pPr>
        <w:spacing w:after="0" w:line="52" w:lineRule="exact"/>
        <w:rPr>
          <w:sz w:val="20"/>
          <w:szCs w:val="20"/>
          <w:color w:val="auto"/>
        </w:rPr>
      </w:pPr>
    </w:p>
    <w:p>
      <w:pPr>
        <w:ind w:firstLine="1033"/>
        <w:spacing w:after="0" w:line="264" w:lineRule="auto"/>
        <w:rPr>
          <w:sz w:val="20"/>
          <w:szCs w:val="20"/>
          <w:color w:val="auto"/>
        </w:rPr>
      </w:pPr>
      <w:r>
        <w:rPr>
          <w:rFonts w:ascii="Times New Roman" w:cs="Times New Roman" w:eastAsia="Times New Roman" w:hAnsi="Times New Roman"/>
          <w:sz w:val="16"/>
          <w:szCs w:val="16"/>
          <w:color w:val="auto"/>
        </w:rPr>
        <w:t>Cypress Investor Holdings, L.P., GPE VIII CCC Co-Investment (Delaware) Limited Partnership and Advent International GPE VIII-C Limited Partnership (collectively, the “Advent Investor”) owns approximately 43.62% of our common stock based on the number of shares outstanding as of February 21, 2024. Under the Amended and Restated Registration and Shareholder Rights Agreement by and among Dragoneer Growth Opportunities Corp. (n/k/a CCC Intelligent Solutions Holdings Inc.) and the stockholders party thereto, dated as of February 2, 2021 (the "Shareholder Rights Agreement"), the Advent Investor has the right to designate for election or appointment as directors (i) six individuals for so long as it owns at least 50% of the shares it held as of closing of the Business Combination, (ii) four individuals for so long as it owns at least 25% of the shares it held as of closing of the Business Combination and (iii) two individuals for so long as it owns at least 10% of the shares it held as of closing of the Business Combination. As of February 21, 2024, the Advent Investor owns 70.8% of the shares it held as of closing of the Business Combination. For as long as the Advent Investor continues to beneficially own a substantial percentage of the voting power of our outstanding common stock, it will continue to have significant influence over us. This concentration of ownership may delay, deter or prevent acts that would be favored by our other stockholders. The interests of the Advent Investor may not always coincide with our interests or the interests of our other stockholders. For example, the Advent Investor could exercise significant influence over all matters requiring a stockholder vote, including, without limitation: the election of directors; mergers, consolidations and acquisitions; the sale of all or substantially all of our assets and other decisions affecting our capital structure; the amendment of our certificate of incorporation and our bylaws; and our winding up and dissolution. This concentration of ownership may also have the effect of delaying, preventing or deterring a change in control, could deprive our stockholders an opportunity to receive a premium for their common stock as part of a sale and might ultimately affect the market price of our common stock. Other than our Chief Executive Officer, members of our Board who are affiliated with the Advent Investor, OH Cypress Aggregator, L.P. (the “OH Investor”), or TCV IX, L.P., TCV IX (A), L.P., TCV IX (B), L.P. or TCV Member Fund, L.P. (collectively, the “TCV Investor”), by the terms of our certificate of incorporation, are not required to offer us any corporate opportunity of which they become aware and can take any such corporate opportunity for themselves or offer it to other companies in which they have an investment. We, by the terms of our certificate of incorporation, will expressly renounce any interest or expectancy in any such corporate opportunity to the extent permitted under applicable law, even if the opportunity is one that we or our subsidiaries might reasonably have pursued or had the ability or desire to pursue if granted the opportunity to do so. The Advent Investor is in the business of making investments in companies and may from time to time acquire and hold interests in businesses that compete directly or indirectly with us. In addition, the Advent Investor may seek to cause us to take courses of action that, in its judgment, could enhance its investment in us, but which might involve risks to our other stockholders or adversely affect us or our other stockholders. As a result, the market price of our common stock could decline, or stockholders might not receive a premium over the then-current market price of our common stock upon</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8" w:right="359" w:bottom="1440" w:gutter="0" w:footer="0" w:header="0"/>
        </w:sectPr>
      </w:pPr>
    </w:p>
    <w:bookmarkStart w:id="31" w:name="page32"/>
    <w:bookmarkEnd w:id="31"/>
    <w:p>
      <w:pPr>
        <w:ind w:right="680"/>
        <w:spacing w:after="0" w:line="298" w:lineRule="auto"/>
        <w:rPr>
          <w:sz w:val="20"/>
          <w:szCs w:val="20"/>
          <w:color w:val="auto"/>
        </w:rPr>
      </w:pPr>
      <w:r>
        <w:rPr>
          <w:rFonts w:ascii="Times New Roman" w:cs="Times New Roman" w:eastAsia="Times New Roman" w:hAnsi="Times New Roman"/>
          <w:sz w:val="16"/>
          <w:szCs w:val="16"/>
          <w:color w:val="auto"/>
        </w:rPr>
        <w:t>a change in control. In addition, this concentration of share ownership may adversely affect the trading price of our common stock because investors may perceive disadvantages in owning shares in a company with significant stockholders.</w:t>
      </w:r>
    </w:p>
    <w:p>
      <w:pPr>
        <w:spacing w:after="0" w:line="52" w:lineRule="exact"/>
        <w:rPr>
          <w:sz w:val="20"/>
          <w:szCs w:val="20"/>
          <w:color w:val="auto"/>
        </w:rPr>
      </w:pPr>
    </w:p>
    <w:p>
      <w:pPr>
        <w:ind w:right="120" w:firstLine="1033"/>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We incur and will continue to incur increased costs as a result of operating as a public company, and our management is required to devote substantial time to compliance initiatives and corporate governance practices. We may fail to comply with the rules that apply to public companies, including Section 404 of the Sarbanes-Oxley Act, which could result in sanctions or other penalties that would adversely impact our business.</w:t>
      </w:r>
    </w:p>
    <w:p>
      <w:pPr>
        <w:spacing w:after="0" w:line="69" w:lineRule="exact"/>
        <w:rPr>
          <w:sz w:val="20"/>
          <w:szCs w:val="20"/>
          <w:color w:val="auto"/>
        </w:rPr>
      </w:pPr>
    </w:p>
    <w:p>
      <w:pPr>
        <w:ind w:firstLine="1033"/>
        <w:spacing w:after="0" w:line="266" w:lineRule="auto"/>
        <w:rPr>
          <w:sz w:val="20"/>
          <w:szCs w:val="20"/>
          <w:color w:val="auto"/>
        </w:rPr>
      </w:pPr>
      <w:r>
        <w:rPr>
          <w:rFonts w:ascii="Times New Roman" w:cs="Times New Roman" w:eastAsia="Times New Roman" w:hAnsi="Times New Roman"/>
          <w:sz w:val="16"/>
          <w:szCs w:val="16"/>
          <w:color w:val="auto"/>
        </w:rPr>
        <w:t>As a public company we incur significant legal, accounting, and other expenses that we did not incur as a private company, including costs resulting from public company reporting obligations under the Securities Act, or the Securities Exchange Act of 1934, as amended (the “Exchange Act”), and regulations regarding corporate governance practices. The Sarbanes-Oxley Act, the Dodd-Frank Wall Street Reform and Consumer Protection Act, the rules of the SEC, the listing requirements of The Nasdaq Stock Market LLC ("Nasdaq"), and other applicable securities rules and regulations impose various requirements on public companies, including establishment and maintenance of effective disclosure and financial controls and corporate governance practices. We have hired, and may continue to hire, additional accounting, finance, and other personnel in connection with our efforts to comply with the requirements of being, a public company. Our management and other personnel devote a substantial amount of time towards maintaining compliance with these requirements. These requirements have increased our legal and financial compliance costs and have made and will make some activities more time-consuming and costly. We continuously evaluate the rules and regulations applicable to us as a public company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cannot predict or estimate the amount of additional costs we will incur as a result of compliance, disclosure and governance matters or the timing of such costs.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 If we identify one or more material weaknesses in our internal control over financial reporting in the future, it could result in an adverse reaction in the financial markets due to a loss of confidence in the reliability of our financial statements.</w:t>
      </w:r>
    </w:p>
    <w:p>
      <w:pPr>
        <w:spacing w:after="0" w:line="81" w:lineRule="exact"/>
        <w:rPr>
          <w:sz w:val="20"/>
          <w:szCs w:val="20"/>
          <w:color w:val="auto"/>
        </w:rPr>
      </w:pPr>
    </w:p>
    <w:p>
      <w:pPr>
        <w:ind w:right="20" w:firstLine="1033"/>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The Shareholder Rights Agreement provides that the doctrine of corporate opportunity does not apply with respect to certain of our stockholders, certain of our directors or officers who are not our or our subsidiaries’ employees, and certain affiliates of the foregoing.</w:t>
      </w:r>
    </w:p>
    <w:p>
      <w:pPr>
        <w:spacing w:after="0" w:line="52" w:lineRule="exact"/>
        <w:rPr>
          <w:sz w:val="20"/>
          <w:szCs w:val="20"/>
          <w:color w:val="auto"/>
        </w:rPr>
      </w:pPr>
    </w:p>
    <w:p>
      <w:pPr>
        <w:ind w:right="20" w:firstLine="1033"/>
        <w:spacing w:after="0" w:line="269" w:lineRule="auto"/>
        <w:rPr>
          <w:sz w:val="20"/>
          <w:szCs w:val="20"/>
          <w:color w:val="auto"/>
        </w:rPr>
      </w:pPr>
      <w:r>
        <w:rPr>
          <w:rFonts w:ascii="Times New Roman" w:cs="Times New Roman" w:eastAsia="Times New Roman" w:hAnsi="Times New Roman"/>
          <w:sz w:val="16"/>
          <w:szCs w:val="16"/>
          <w:color w:val="auto"/>
        </w:rPr>
        <w:t>Our certificate of incorporation and the Shareholder Rights Agreement provide that the doctrine of corporate opportunity does not apply with respect to certain of our stockholders, certain of our directors or officers who are not our or our subsidiaries’ employees, and certain affiliates of the foregoing. The doctrine of corporate opportunity generally provides that a corporate fiduciary may not develop an opportunity using corporate resources or information obtained in their corporate capacity for their personal advantage,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directors, officers and other fiduciaries from personally benefiting from opportunities that belong to the corporation.</w:t>
      </w:r>
    </w:p>
    <w:p>
      <w:pPr>
        <w:spacing w:after="0" w:line="82" w:lineRule="exact"/>
        <w:rPr>
          <w:sz w:val="20"/>
          <w:szCs w:val="20"/>
          <w:color w:val="auto"/>
        </w:rPr>
      </w:pPr>
    </w:p>
    <w:p>
      <w:pPr>
        <w:ind w:firstLine="1033"/>
        <w:spacing w:after="0" w:line="268" w:lineRule="auto"/>
        <w:rPr>
          <w:sz w:val="20"/>
          <w:szCs w:val="20"/>
          <w:color w:val="auto"/>
        </w:rPr>
      </w:pPr>
      <w:r>
        <w:rPr>
          <w:rFonts w:ascii="Times New Roman" w:cs="Times New Roman" w:eastAsia="Times New Roman" w:hAnsi="Times New Roman"/>
          <w:sz w:val="16"/>
          <w:szCs w:val="16"/>
          <w:color w:val="auto"/>
        </w:rPr>
        <w:t>Pursuant to our certificate of incorporation, to the fullest extent permitted by law, the doctrine of corporate opportunity will not apply to any of our directors who is not an employee of us or any affiliate of such non-employee director (including any entity of which such non-employee director serves as a director, manager, officer, employee, agent or other representative, and any direct or indirect partner, stockholder, member, manager or other representative of, or investment vehicle or other entity controlling, controlled by or under common control with, such an entity), and pursuant to the Shareholder Rights Agreement, to the fullest extent permitted by law, the doctrine of corporate opportunity and any analogous doctrine will not apply to (i) Dragoneer Growth Opportunities Holdings, a Cayman Islands limited liability company (“Sponsor”), the Advent Investor, the OH Investor or the TCV Investor, (ii) any of our directors or officers who is not our or our subsidiaries’ full-time employee or (iii) any affiliate, partner, advisory board member, director, officer, manager, member or shareholder of Sponsor, the Advent Investor, the OH Investor or the TCV Investor who is not our or our subsidiaries’ full-time employee (any such person described in the foregoing sentence being referred to herein as an “</w:t>
      </w:r>
      <w:r>
        <w:rPr>
          <w:rFonts w:ascii="Times New Roman" w:cs="Times New Roman" w:eastAsia="Times New Roman" w:hAnsi="Times New Roman"/>
          <w:sz w:val="16"/>
          <w:szCs w:val="16"/>
          <w:u w:val="single" w:color="auto"/>
          <w:color w:val="auto"/>
        </w:rPr>
        <w:t>External Party”</w:t>
      </w:r>
      <w:r>
        <w:rPr>
          <w:rFonts w:ascii="Times New Roman" w:cs="Times New Roman" w:eastAsia="Times New Roman" w:hAnsi="Times New Roman"/>
          <w:sz w:val="16"/>
          <w:szCs w:val="16"/>
          <w:color w:val="auto"/>
        </w:rPr>
        <w:t>). Therefore, we renounced any interest or expectancy in, or being offered an opportunity to participate in, business opportunities that are from time to time presented to any External Party.</w:t>
      </w:r>
    </w:p>
    <w:p>
      <w:pPr>
        <w:spacing w:after="0" w:line="81" w:lineRule="exact"/>
        <w:rPr>
          <w:sz w:val="20"/>
          <w:szCs w:val="20"/>
          <w:color w:val="auto"/>
        </w:rPr>
      </w:pPr>
    </w:p>
    <w:p>
      <w:pPr>
        <w:ind w:right="20" w:firstLine="1033"/>
        <w:spacing w:after="0" w:line="281" w:lineRule="auto"/>
        <w:rPr>
          <w:sz w:val="20"/>
          <w:szCs w:val="20"/>
          <w:color w:val="auto"/>
        </w:rPr>
      </w:pPr>
      <w:r>
        <w:rPr>
          <w:rFonts w:ascii="Times New Roman" w:cs="Times New Roman" w:eastAsia="Times New Roman" w:hAnsi="Times New Roman"/>
          <w:sz w:val="16"/>
          <w:szCs w:val="16"/>
          <w:color w:val="auto"/>
        </w:rPr>
        <w:t>As a result, the External Parties are not prohibited from operating or investing in competing businesses. We therefore may find ourselves in competition with the External Parties, and we may not have knowledge of, or be able to pursue, transactions that could potentially be beneficial to us. Accordingly, we may lose a corporate opportunity or suffer competitive harm, which could negatively impact our business or prospects.</w:t>
      </w:r>
    </w:p>
    <w:p>
      <w:pPr>
        <w:spacing w:after="0" w:line="65" w:lineRule="exact"/>
        <w:rPr>
          <w:sz w:val="20"/>
          <w:szCs w:val="20"/>
          <w:color w:val="auto"/>
        </w:rPr>
      </w:pPr>
    </w:p>
    <w:p>
      <w:pPr>
        <w:ind w:right="700" w:firstLine="1033"/>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Although we are no longer a “controlled company” within the meaning of the Nasdaq rules, we qualify for exemptions from certain corporate governance requirements until November 13, 2024. We have the opportunity to elect any of the exemptions afforded a controlled company until such date.</w:t>
      </w:r>
    </w:p>
    <w:p>
      <w:pPr>
        <w:spacing w:after="0" w:line="52" w:lineRule="exact"/>
        <w:rPr>
          <w:sz w:val="20"/>
          <w:szCs w:val="20"/>
          <w:color w:val="auto"/>
        </w:rPr>
      </w:pPr>
    </w:p>
    <w:p>
      <w:pPr>
        <w:ind w:right="180" w:firstLine="1033"/>
        <w:spacing w:after="0" w:line="281" w:lineRule="auto"/>
        <w:rPr>
          <w:sz w:val="20"/>
          <w:szCs w:val="20"/>
          <w:color w:val="auto"/>
        </w:rPr>
      </w:pPr>
      <w:r>
        <w:rPr>
          <w:rFonts w:ascii="Times New Roman" w:cs="Times New Roman" w:eastAsia="Times New Roman" w:hAnsi="Times New Roman"/>
          <w:sz w:val="16"/>
          <w:szCs w:val="16"/>
          <w:color w:val="auto"/>
        </w:rPr>
        <w:t>On November 13, 2023, affiliates of Advent disposed of shares of our common stock resulting in us ceasing to be a “controlled company” within the meaning of the Nasdaq rules. Although we no longer are a “controlled company” within the meaning of the Nasdaq rules, we may, until November 13, 2024, which is one year after the date we ceased to be a controlled company, elect not to comply with the following Nasdaq rules regarding corporate governance:</w:t>
      </w:r>
    </w:p>
    <w:p>
      <w:pPr>
        <w:spacing w:after="0" w:line="69"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requirement that a majority of its board of directors consist of independent directors;</w:t>
      </w:r>
    </w:p>
    <w:p>
      <w:pPr>
        <w:spacing w:after="0" w:line="126" w:lineRule="exact"/>
        <w:rPr>
          <w:rFonts w:ascii="Times New Roman" w:cs="Times New Roman" w:eastAsia="Times New Roman" w:hAnsi="Times New Roman"/>
          <w:sz w:val="16"/>
          <w:szCs w:val="16"/>
          <w:color w:val="auto"/>
        </w:rPr>
      </w:pPr>
    </w:p>
    <w:p>
      <w:pPr>
        <w:ind w:left="1020" w:right="200" w:hanging="503"/>
        <w:spacing w:after="0" w:line="269" w:lineRule="auto"/>
        <w:tabs>
          <w:tab w:leader="none" w:pos="10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requirement that the board have a nominating and governance committee composed entirely of independent directors with a written charter addressing the committee’s purpose and responsibilities; and</w:t>
      </w: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8" w:right="359" w:bottom="1440" w:gutter="0" w:footer="0" w:header="0"/>
        </w:sectPr>
      </w:pPr>
    </w:p>
    <w:bookmarkStart w:id="32" w:name="page33"/>
    <w:bookmarkEnd w:id="32"/>
    <w:p>
      <w:pPr>
        <w:ind w:left="1020" w:right="20" w:hanging="503"/>
        <w:spacing w:after="0" w:line="298" w:lineRule="auto"/>
        <w:tabs>
          <w:tab w:leader="none" w:pos="10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requirement that the board have a compensation committee composed entirely of independent directors with a written charter addressing the committee’s purpose and responsibilities.</w:t>
      </w:r>
    </w:p>
    <w:p>
      <w:pPr>
        <w:spacing w:after="0" w:line="56" w:lineRule="exact"/>
        <w:rPr>
          <w:sz w:val="20"/>
          <w:szCs w:val="20"/>
          <w:color w:val="auto"/>
        </w:rPr>
      </w:pPr>
    </w:p>
    <w:p>
      <w:pPr>
        <w:ind w:right="20" w:firstLine="1033"/>
        <w:spacing w:after="0" w:line="275" w:lineRule="auto"/>
        <w:rPr>
          <w:sz w:val="20"/>
          <w:szCs w:val="20"/>
          <w:color w:val="auto"/>
        </w:rPr>
      </w:pPr>
      <w:r>
        <w:rPr>
          <w:rFonts w:ascii="Times New Roman" w:cs="Times New Roman" w:eastAsia="Times New Roman" w:hAnsi="Times New Roman"/>
          <w:sz w:val="16"/>
          <w:szCs w:val="16"/>
          <w:color w:val="auto"/>
        </w:rPr>
        <w:t>The majority of our seven (7) directors are independent directors, and our Board has an independent compensation committee (in addition to an independent audit committee). We utilize the exception to the requirement that our nominating and governance committee be composed entirely of independent directors. Until we implement such requirement, you may not have the same protections afforded to stockholders of companies that are subject to all Nasdaq rules regarding corporate governance.</w:t>
      </w:r>
    </w:p>
    <w:p>
      <w:pPr>
        <w:spacing w:after="0" w:line="7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b w:val="1"/>
          <w:bCs w:val="1"/>
          <w:i w:val="1"/>
          <w:iCs w:val="1"/>
          <w:color w:val="auto"/>
        </w:rPr>
        <w:t>The share price of our common stock may be volatile.</w:t>
      </w:r>
    </w:p>
    <w:p>
      <w:pPr>
        <w:spacing w:after="0" w:line="13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The share price of our common stock may fluctuate due to a variety of factors, including, without limitation:</w:t>
      </w:r>
    </w:p>
    <w:p>
      <w:pPr>
        <w:spacing w:after="0" w:line="127"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industries in which we and our customers operate;</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variations in our operating performance and the performance of our competitors in general;</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material and adverse impact of pandemics and similar events on the markets and the broader global economy;</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or anticipated fluctuations in our quarterly or annual operating results;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publication of research reports by securities analysts about us or our competitors or industry;</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public’s reaction to our press releases, other public announcements and filings with the SEC;</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failure or the failure of our competitors to meet analysts’ projections or guidance that we or our competitors may give to the market;</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additions and departures of key personnel;</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laws and regulations affecting our business;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commencement of, or involvement in, litigation;</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our capital structure, such as future issuances of securities or the incurrence of additional debt;</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volume of our shares of common stock available for public sale; and</w:t>
      </w:r>
    </w:p>
    <w:p>
      <w:pPr>
        <w:spacing w:after="0" w:line="126" w:lineRule="exact"/>
        <w:rPr>
          <w:rFonts w:ascii="Times New Roman" w:cs="Times New Roman" w:eastAsia="Times New Roman" w:hAnsi="Times New Roman"/>
          <w:sz w:val="16"/>
          <w:szCs w:val="16"/>
          <w:color w:val="auto"/>
        </w:rPr>
      </w:pPr>
    </w:p>
    <w:p>
      <w:pPr>
        <w:ind w:left="1020" w:right="160" w:hanging="503"/>
        <w:spacing w:after="0" w:line="298" w:lineRule="auto"/>
        <w:tabs>
          <w:tab w:leader="none" w:pos="10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economic and political conditions such as recessions, interest rates, inflation, fuel prices, foreign currency fluctuations, international tariffs, social, political and economic risks and acts of war or terrorism.</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These market and industry factors may materially reduce the market price of our common stock regardless of our operating performance.</w:t>
      </w:r>
    </w:p>
    <w:p>
      <w:pPr>
        <w:spacing w:after="0" w:line="123" w:lineRule="exact"/>
        <w:rPr>
          <w:sz w:val="20"/>
          <w:szCs w:val="20"/>
          <w:color w:val="auto"/>
        </w:rPr>
      </w:pPr>
    </w:p>
    <w:p>
      <w:pPr>
        <w:ind w:right="180" w:firstLine="1033"/>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A significant portion of our total outstanding shares may be sold into the market in the near future. This could cause the market price of our common stock to drop significantly, even if our business is doing well.</w:t>
      </w:r>
    </w:p>
    <w:p>
      <w:pPr>
        <w:spacing w:after="0" w:line="52" w:lineRule="exact"/>
        <w:rPr>
          <w:sz w:val="20"/>
          <w:szCs w:val="20"/>
          <w:color w:val="auto"/>
        </w:rPr>
      </w:pPr>
    </w:p>
    <w:p>
      <w:pPr>
        <w:ind w:right="140" w:firstLine="1033"/>
        <w:spacing w:after="0" w:line="298" w:lineRule="auto"/>
        <w:rPr>
          <w:sz w:val="20"/>
          <w:szCs w:val="20"/>
          <w:color w:val="auto"/>
        </w:rPr>
      </w:pPr>
      <w:r>
        <w:rPr>
          <w:rFonts w:ascii="Times New Roman" w:cs="Times New Roman" w:eastAsia="Times New Roman" w:hAnsi="Times New Roman"/>
          <w:sz w:val="16"/>
          <w:szCs w:val="16"/>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56" w:lineRule="exact"/>
        <w:rPr>
          <w:sz w:val="20"/>
          <w:szCs w:val="20"/>
          <w:color w:val="auto"/>
        </w:rPr>
      </w:pPr>
    </w:p>
    <w:p>
      <w:pPr>
        <w:ind w:firstLine="1033"/>
        <w:spacing w:after="0" w:line="275" w:lineRule="auto"/>
        <w:rPr>
          <w:sz w:val="20"/>
          <w:szCs w:val="20"/>
          <w:color w:val="auto"/>
        </w:rPr>
      </w:pPr>
      <w:r>
        <w:rPr>
          <w:rFonts w:ascii="Times New Roman" w:cs="Times New Roman" w:eastAsia="Times New Roman" w:hAnsi="Times New Roman"/>
          <w:sz w:val="16"/>
          <w:szCs w:val="16"/>
          <w:color w:val="auto"/>
        </w:rPr>
        <w:t>The Advent Investor and each other shareholder party to the Shareholder Rights Agreement may sell their shares and we have filed, and may in the future file or amend, registration statements to provide for the resale of such shares from time to time. If any of these shareholders or another large institutional shareholder were to sell a substantial number of shares of our common stock at once or in large blocks, or are perceived by the market as intending to sell them, the market price of our common stock could decline.</w:t>
      </w:r>
    </w:p>
    <w:p>
      <w:pPr>
        <w:spacing w:after="0" w:line="71" w:lineRule="exact"/>
        <w:rPr>
          <w:sz w:val="20"/>
          <w:szCs w:val="20"/>
          <w:color w:val="auto"/>
        </w:rPr>
      </w:pPr>
    </w:p>
    <w:p>
      <w:pPr>
        <w:ind w:right="360" w:firstLine="1033"/>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Reports published by analysts, including projections in those reports that differ from our actual results, could adversely affect the price and trading volume of our common stock.</w:t>
      </w:r>
    </w:p>
    <w:p>
      <w:pPr>
        <w:spacing w:after="0" w:line="52" w:lineRule="exact"/>
        <w:rPr>
          <w:sz w:val="20"/>
          <w:szCs w:val="20"/>
          <w:color w:val="auto"/>
        </w:rPr>
      </w:pPr>
    </w:p>
    <w:p>
      <w:pPr>
        <w:ind w:right="20" w:firstLine="1033"/>
        <w:spacing w:after="0" w:line="274" w:lineRule="auto"/>
        <w:rPr>
          <w:sz w:val="20"/>
          <w:szCs w:val="20"/>
          <w:color w:val="auto"/>
        </w:rPr>
      </w:pPr>
      <w:r>
        <w:rPr>
          <w:rFonts w:ascii="Times New Roman" w:cs="Times New Roman" w:eastAsia="Times New Roman" w:hAnsi="Times New Roman"/>
          <w:sz w:val="16"/>
          <w:szCs w:val="16"/>
          <w:color w:val="auto"/>
        </w:rPr>
        <w:t>Securities research analysts may establish and publish their own periodic projections with respect to us and our operations. These projections may vary widely and may not accurately predict the results we actually achieve. Our share price may decline if our actual results do not match the projections of these securities research analysts. Similarly, if one or more of the analysts who write reports on us downgrades our stock or publishes inaccurate or unfavorable research about our business, our share price could decline. If one or more of these analysts ceases coverage of us or fails to publish reports on us regularly, our share price or trading volume could decline.</w:t>
      </w:r>
    </w:p>
    <w:p>
      <w:pPr>
        <w:spacing w:after="0" w:line="276" w:lineRule="exact"/>
        <w:rPr>
          <w:sz w:val="20"/>
          <w:szCs w:val="20"/>
          <w:color w:val="auto"/>
        </w:rPr>
      </w:pPr>
    </w:p>
    <w:p>
      <w:pPr>
        <w:ind w:right="120" w:firstLine="1033"/>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Delaware law and our governing documents contain certain provisions, including anti-takeover provisions, that limit the ability of stockholders to take certain actions and could delay or discourage takeover attempts that stockholders may consider favorable.</w:t>
      </w:r>
    </w:p>
    <w:p>
      <w:pPr>
        <w:spacing w:after="0" w:line="52" w:lineRule="exact"/>
        <w:rPr>
          <w:sz w:val="20"/>
          <w:szCs w:val="20"/>
          <w:color w:val="auto"/>
        </w:rPr>
      </w:pPr>
    </w:p>
    <w:p>
      <w:pPr>
        <w:ind w:right="20" w:firstLine="1033"/>
        <w:spacing w:after="0" w:line="275" w:lineRule="auto"/>
        <w:rPr>
          <w:sz w:val="20"/>
          <w:szCs w:val="20"/>
          <w:color w:val="auto"/>
        </w:rPr>
      </w:pPr>
      <w:r>
        <w:rPr>
          <w:rFonts w:ascii="Times New Roman" w:cs="Times New Roman" w:eastAsia="Times New Roman" w:hAnsi="Times New Roman"/>
          <w:sz w:val="16"/>
          <w:szCs w:val="16"/>
          <w:color w:val="auto"/>
        </w:rPr>
        <w:t>Our governing documents and the Delaware General Corporation Law (the “DGCL”) contain provisions that could have the effect of rendering more difficult, delaying, or preventing an acquisition deemed undesirable by our board of directors and therefore depress the trading price of our common stock. These provisions could also make it difficult for stockholders to take certain actions, including electing directors who are not nominated by the current members of our board of directors or taking other corporate actions, including effecting changes in our management. Among other things, our governing documents include provisions regarding:</w:t>
      </w:r>
    </w:p>
    <w:p>
      <w:pPr>
        <w:spacing w:after="0" w:line="75" w:lineRule="exact"/>
        <w:rPr>
          <w:sz w:val="20"/>
          <w:szCs w:val="20"/>
          <w:color w:val="auto"/>
        </w:rPr>
      </w:pPr>
    </w:p>
    <w:p>
      <w:pPr>
        <w:ind w:left="1020" w:right="100" w:hanging="503"/>
        <w:spacing w:after="0" w:line="281" w:lineRule="auto"/>
        <w:tabs>
          <w:tab w:leader="none" w:pos="10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of our board of directors to issue shares of preferred stock, including “blank check” preferred stock and to determine the price and other terms of those shares, including preferences and voting rights, without stockholder approval, which could be used to significantly dilute the ownership of a hostile acquirer;</w:t>
      </w:r>
    </w:p>
    <w:p>
      <w:pPr>
        <w:spacing w:after="0" w:line="69"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limitation of the liability of, and the indemnification of, our directors and officers;</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8" w:right="379" w:bottom="1440" w:gutter="0" w:footer="0" w:header="0"/>
        </w:sectPr>
      </w:pPr>
    </w:p>
    <w:bookmarkStart w:id="33" w:name="page34"/>
    <w:bookmarkEnd w:id="33"/>
    <w:p>
      <w:pPr>
        <w:ind w:left="1020" w:right="460" w:hanging="503"/>
        <w:spacing w:after="0" w:line="298" w:lineRule="auto"/>
        <w:tabs>
          <w:tab w:leader="none" w:pos="10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removal of the ability of our stockholders to take action by written consent in lieu of a meeting unless such action has been recommended or approved pursuant to a resolution approved by the affirmative vote of all of the directors then in office;</w:t>
      </w:r>
    </w:p>
    <w:p>
      <w:pPr>
        <w:spacing w:after="0" w:line="56" w:lineRule="exact"/>
        <w:rPr>
          <w:rFonts w:ascii="Times New Roman" w:cs="Times New Roman" w:eastAsia="Times New Roman" w:hAnsi="Times New Roman"/>
          <w:sz w:val="16"/>
          <w:szCs w:val="16"/>
          <w:color w:val="auto"/>
        </w:rPr>
      </w:pPr>
    </w:p>
    <w:p>
      <w:pPr>
        <w:ind w:left="1020" w:right="340" w:hanging="503"/>
        <w:spacing w:after="0" w:line="298" w:lineRule="auto"/>
        <w:tabs>
          <w:tab w:leader="none" w:pos="10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requirement that a special meeting of stockholders may be called only by a majority of our entire board of directors, which could delay the ability of stockholders to force consideration of a proposal or to take action, including the removal of directors;</w:t>
      </w:r>
    </w:p>
    <w:p>
      <w:pPr>
        <w:spacing w:after="0" w:line="5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controlling the procedures for the conduct and scheduling of board of directors and stockholder meetings;</w:t>
      </w:r>
    </w:p>
    <w:p>
      <w:pPr>
        <w:spacing w:after="0" w:line="126" w:lineRule="exact"/>
        <w:rPr>
          <w:rFonts w:ascii="Times New Roman" w:cs="Times New Roman" w:eastAsia="Times New Roman" w:hAnsi="Times New Roman"/>
          <w:sz w:val="16"/>
          <w:szCs w:val="16"/>
          <w:color w:val="auto"/>
        </w:rPr>
      </w:pPr>
    </w:p>
    <w:p>
      <w:pPr>
        <w:ind w:left="1020" w:right="580" w:hanging="503"/>
        <w:spacing w:after="0" w:line="298" w:lineRule="auto"/>
        <w:tabs>
          <w:tab w:leader="none" w:pos="10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of our board of directors to amend our bylaws, which may allow our board of directors to take additional actions to prevent an unsolicited takeover and inhibit the ability of an acquirer to amend the bylaws to facilitate an unsolicited takeover attempt; and</w:t>
      </w:r>
    </w:p>
    <w:p>
      <w:pPr>
        <w:spacing w:after="0" w:line="56" w:lineRule="exact"/>
        <w:rPr>
          <w:rFonts w:ascii="Times New Roman" w:cs="Times New Roman" w:eastAsia="Times New Roman" w:hAnsi="Times New Roman"/>
          <w:sz w:val="16"/>
          <w:szCs w:val="16"/>
          <w:color w:val="auto"/>
        </w:rPr>
      </w:pPr>
    </w:p>
    <w:p>
      <w:pPr>
        <w:ind w:left="1020" w:right="40" w:hanging="503"/>
        <w:spacing w:after="0" w:line="275" w:lineRule="auto"/>
        <w:tabs>
          <w:tab w:leader="none" w:pos="10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advance notice procedures with which stockholders must comply to nominate candidates to our board of directors or to propose matters to be acted upon at a stockholders’ meeting, which could preclude stockholders from bringing matters before annual or special meetings of stockholders and delay changes in our board of directors, and also may discourage or deter a potential acquirer from conducting a solicitation of proxies to elect the acquirer’s own slate of directors or otherwise attempting to obtain control of us.</w:t>
      </w:r>
    </w:p>
    <w:p>
      <w:pPr>
        <w:spacing w:after="0" w:line="74" w:lineRule="exact"/>
        <w:rPr>
          <w:rFonts w:ascii="Times New Roman" w:cs="Times New Roman" w:eastAsia="Times New Roman" w:hAnsi="Times New Roman"/>
          <w:sz w:val="16"/>
          <w:szCs w:val="16"/>
          <w:color w:val="auto"/>
        </w:rPr>
      </w:pPr>
    </w:p>
    <w:p>
      <w:pPr>
        <w:ind w:left="10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provisions, alone or together, could delay or prevent hostile takeovers and changes in control or changes in our board of directors or management.</w:t>
      </w:r>
    </w:p>
    <w:p>
      <w:pPr>
        <w:spacing w:after="0" w:line="127" w:lineRule="exact"/>
        <w:rPr>
          <w:sz w:val="20"/>
          <w:szCs w:val="20"/>
          <w:color w:val="auto"/>
        </w:rPr>
      </w:pPr>
    </w:p>
    <w:p>
      <w:pPr>
        <w:ind w:right="140" w:firstLine="1033"/>
        <w:spacing w:after="0" w:line="298" w:lineRule="auto"/>
        <w:rPr>
          <w:sz w:val="20"/>
          <w:szCs w:val="20"/>
          <w:color w:val="auto"/>
        </w:rPr>
      </w:pPr>
      <w:r>
        <w:rPr>
          <w:rFonts w:ascii="Times New Roman" w:cs="Times New Roman" w:eastAsia="Times New Roman" w:hAnsi="Times New Roman"/>
          <w:sz w:val="16"/>
          <w:szCs w:val="16"/>
          <w:color w:val="auto"/>
        </w:rPr>
        <w:t>In addition, our certificate of incorporation includes a provision substantially similar to Section 203 of the DGCL, which may prohibit certain stockholders holding 15% or more of our outstanding capital stock from engaging in certain business combinations with us for a specified period of time.</w:t>
      </w:r>
    </w:p>
    <w:p>
      <w:pPr>
        <w:spacing w:after="0" w:line="52" w:lineRule="exact"/>
        <w:rPr>
          <w:sz w:val="20"/>
          <w:szCs w:val="20"/>
          <w:color w:val="auto"/>
        </w:rPr>
      </w:pPr>
    </w:p>
    <w:p>
      <w:pPr>
        <w:ind w:firstLine="1033"/>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Our Certificate of Incorporation designates the Delaware Court of Chancery or the United States federal district courts as the sole and exclusive forum for substantially all disputes between us and our stockholders, which could limit our stockholders’ ability to obtain a favorable judicial forum for disputes with us or our directors, officers, stockholders, employees or agents.</w:t>
      </w:r>
    </w:p>
    <w:p>
      <w:pPr>
        <w:spacing w:after="0" w:line="69" w:lineRule="exact"/>
        <w:rPr>
          <w:sz w:val="20"/>
          <w:szCs w:val="20"/>
          <w:color w:val="auto"/>
        </w:rPr>
      </w:pPr>
    </w:p>
    <w:p>
      <w:pPr>
        <w:ind w:firstLine="1033"/>
        <w:spacing w:after="0" w:line="267" w:lineRule="auto"/>
        <w:rPr>
          <w:sz w:val="20"/>
          <w:szCs w:val="20"/>
          <w:color w:val="auto"/>
        </w:rPr>
      </w:pPr>
      <w:r>
        <w:rPr>
          <w:rFonts w:ascii="Times New Roman" w:cs="Times New Roman" w:eastAsia="Times New Roman" w:hAnsi="Times New Roman"/>
          <w:sz w:val="16"/>
          <w:szCs w:val="16"/>
          <w:color w:val="auto"/>
        </w:rPr>
        <w:t>Our certificate of incorporation provides that, unless we consent in writing to the selection of an alternative forum, the Court of Chancery of the State of Delaware shall be the sole and exclusive forum for state law claims for (i) any derivative action or proceeding brought on behalf of us; (ii) any action asserting a claim of breach of a fiduciary duty owed by any of our current or former directors, officers, employees, agents or stockholders to us or our stockholders, or any claim for aiding or abetting such an alleged breach; (iii) any action asserting a claim arising pursuant to any provision of the DGCL or our certificate of incorporation or bylaws, or to interpret, apply, enforce or determine the validity of our certificate of incorporation or bylaws; (iv) any action asserting a claim against us or any of our current or former directors, officers, employees, agents or stockholders, whether arising under the DGCL, our certificate of incorporation or our bylaws, or such actions as to which the DGCL confer jurisdiction on the Delaware Court of Chancery; or (v) any action asserting a claim against us or any of our current or former directors, officers, employees, agents or stockholders governed by the internal affairs doctrine. The foregoing provisions will not apply to any claims as to which the Delaware Court of Chancery determines that there is an indispensable party not subject to the jurisdiction of such court, which is rested in the exclusive jurisdiction of a court or forum other than such court (including claims arising under the Exchange Act), or for which such court does not have subject matter jurisdiction, or to any claims arising under the Securities Act and, unless we consent in writing to the selection of an alternative forum, the United States District Court for the District of Delaware will be the sole and exclusive forum for resolving any action asserting a claim arising under the Securities Act.</w:t>
      </w:r>
    </w:p>
    <w:p>
      <w:pPr>
        <w:spacing w:after="0" w:line="82" w:lineRule="exact"/>
        <w:rPr>
          <w:sz w:val="20"/>
          <w:szCs w:val="20"/>
          <w:color w:val="auto"/>
        </w:rPr>
      </w:pPr>
    </w:p>
    <w:p>
      <w:pPr>
        <w:ind w:right="60" w:firstLine="1033"/>
        <w:spacing w:after="0" w:line="271" w:lineRule="auto"/>
        <w:rPr>
          <w:sz w:val="20"/>
          <w:szCs w:val="20"/>
          <w:color w:val="auto"/>
        </w:rPr>
      </w:pPr>
      <w:r>
        <w:rPr>
          <w:rFonts w:ascii="Times New Roman" w:cs="Times New Roman" w:eastAsia="Times New Roman" w:hAnsi="Times New Roman"/>
          <w:sz w:val="16"/>
          <w:szCs w:val="16"/>
          <w:color w:val="auto"/>
        </w:rPr>
        <w:t>Section 22 of the Securities Act creates concurrent jurisdiction for federal and state courts over all suits brought to enforce any duty or liability created by the Securities Act or the rules or regulations thereunder. Accordingly, both state and federal courts have jurisdiction to entertain such Securities Act claims. To prevent having to litigate claims in multiple jurisdictions and the threat of inconsistent or contrary rulings by different courts, among other considerations, our certificate of incorporation provides that, unless we consent in writing to the selection of an alternative forum, United States District Court for the District of Delaware shall be the exclusive forum for the resolution of any complaint asserting a cause of action arising under the Securities Act. There is uncertainty as to whether a court would enforce the forum provision with respect to claims under the federal securities laws.</w:t>
      </w:r>
    </w:p>
    <w:p>
      <w:pPr>
        <w:spacing w:after="0" w:line="76" w:lineRule="exact"/>
        <w:rPr>
          <w:sz w:val="20"/>
          <w:szCs w:val="20"/>
          <w:color w:val="auto"/>
        </w:rPr>
      </w:pPr>
    </w:p>
    <w:p>
      <w:pPr>
        <w:ind w:right="80" w:firstLine="1033"/>
        <w:spacing w:after="0" w:line="269" w:lineRule="auto"/>
        <w:rPr>
          <w:sz w:val="20"/>
          <w:szCs w:val="20"/>
          <w:color w:val="auto"/>
        </w:rPr>
      </w:pPr>
      <w:r>
        <w:rPr>
          <w:rFonts w:ascii="Times New Roman" w:cs="Times New Roman" w:eastAsia="Times New Roman" w:hAnsi="Times New Roman"/>
          <w:sz w:val="16"/>
          <w:szCs w:val="16"/>
          <w:color w:val="auto"/>
        </w:rPr>
        <w:t>This choice of forum provision in our certificate of incorporation may limit a stockholder’s ability to bring a claim in a judicial forum that it finds favorable for disputes with us or any of our directors, officers, or other employees, which may discourage lawsuits with respect to such claims.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the choice of forum provision contained in our certificate of incorporation to be inapplicable or unenforceable in an action, we may incur additional costs associated with resolving such action in other jurisdictions, which could harm our business, results of operations and financial condition. Furthermore, investors cannot waive compliance with the federal securities laws and rules and regulations thereunder.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1B. Unresolved Staff Comments</w:t>
      </w:r>
    </w:p>
    <w:p>
      <w:pPr>
        <w:spacing w:after="0" w:line="12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None.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1C. Cybersecurity Disclosures</w:t>
      </w:r>
    </w:p>
    <w:p>
      <w:pPr>
        <w:spacing w:after="0" w:line="129" w:lineRule="exact"/>
        <w:rPr>
          <w:sz w:val="20"/>
          <w:szCs w:val="20"/>
          <w:color w:val="auto"/>
        </w:rPr>
      </w:pPr>
    </w:p>
    <w:p>
      <w:pPr>
        <w:ind w:right="60" w:firstLine="1033"/>
        <w:spacing w:after="0" w:line="266" w:lineRule="auto"/>
        <w:rPr>
          <w:sz w:val="20"/>
          <w:szCs w:val="20"/>
          <w:color w:val="auto"/>
        </w:rPr>
      </w:pPr>
      <w:r>
        <w:rPr>
          <w:rFonts w:ascii="Times New Roman" w:cs="Times New Roman" w:eastAsia="Times New Roman" w:hAnsi="Times New Roman"/>
          <w:sz w:val="16"/>
          <w:szCs w:val="16"/>
          <w:color w:val="auto"/>
        </w:rPr>
        <w:t>Cybersecurity is the responsibility of our Chief Information Security Officer (“CISO”) who oversees an information security team responsible for maintaining the confidentiality, integrity, and accessibility of data within CCC while continuously monitoring for and responding to cybersecurity threats, with oversight by our EVP, Chief Product and Technology Officer who is responsible for all of our information technology systems. Our Chief Information Security Officer has 18 years of experience managing risks from security threats and developing and implementing security policies and procedures, as well as relevant degrees and certifications, including a bachelor of science in information systems and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8" w:right="359" w:bottom="1440" w:gutter="0" w:footer="0" w:header="0"/>
        </w:sectPr>
      </w:pPr>
    </w:p>
    <w:bookmarkStart w:id="34" w:name="page35"/>
    <w:bookmarkEnd w:id="34"/>
    <w:p>
      <w:pPr>
        <w:ind w:right="380"/>
        <w:spacing w:after="0" w:line="298" w:lineRule="auto"/>
        <w:rPr>
          <w:sz w:val="20"/>
          <w:szCs w:val="20"/>
          <w:color w:val="auto"/>
        </w:rPr>
      </w:pPr>
      <w:r>
        <w:rPr>
          <w:rFonts w:ascii="Times New Roman" w:cs="Times New Roman" w:eastAsia="Times New Roman" w:hAnsi="Times New Roman"/>
          <w:sz w:val="16"/>
          <w:szCs w:val="16"/>
          <w:color w:val="auto"/>
        </w:rPr>
        <w:t>cybersecurity and being a Certified Information Security Manager and a Certified Information Systems Security Professional. Our EVP, Chief Product and Technology Officer has over three decades of experience in the technology industry and holds a bachelor of science in computer science.</w:t>
      </w:r>
    </w:p>
    <w:p>
      <w:pPr>
        <w:spacing w:after="0" w:line="56" w:lineRule="exact"/>
        <w:rPr>
          <w:sz w:val="20"/>
          <w:szCs w:val="20"/>
          <w:color w:val="auto"/>
        </w:rPr>
      </w:pPr>
    </w:p>
    <w:p>
      <w:pPr>
        <w:ind w:right="80" w:firstLine="1033"/>
        <w:spacing w:after="0" w:line="275" w:lineRule="auto"/>
        <w:rPr>
          <w:sz w:val="20"/>
          <w:szCs w:val="20"/>
          <w:color w:val="auto"/>
        </w:rPr>
      </w:pPr>
      <w:r>
        <w:rPr>
          <w:rFonts w:ascii="Times New Roman" w:cs="Times New Roman" w:eastAsia="Times New Roman" w:hAnsi="Times New Roman"/>
          <w:sz w:val="16"/>
          <w:szCs w:val="16"/>
          <w:color w:val="auto"/>
        </w:rPr>
        <w:t>Our Board of Directors has tasked the Audit Committee with oversight of enterprise risk management, including cybersecurity risk management. Our CISO or EVP, Chief Product and Technology Officer briefs the Audit Committee on cybersecurity risks at each of the quarterly meetings of the Audit Committee. These briefings include assessments of cyber risks, the threat landscape, updates on incidents, and reports on our investments in cybersecurity risk mitigation and governance. The Audit Committee and/or the EVP, Chief Product and Technology Officer also regularly briefs the entire Board on cybersecurity matters.</w:t>
      </w:r>
    </w:p>
    <w:p>
      <w:pPr>
        <w:spacing w:after="0" w:line="75" w:lineRule="exact"/>
        <w:rPr>
          <w:sz w:val="20"/>
          <w:szCs w:val="20"/>
          <w:color w:val="auto"/>
        </w:rPr>
      </w:pPr>
    </w:p>
    <w:p>
      <w:pPr>
        <w:ind w:right="20" w:firstLine="1033"/>
        <w:spacing w:after="0" w:line="271" w:lineRule="auto"/>
        <w:rPr>
          <w:sz w:val="20"/>
          <w:szCs w:val="20"/>
          <w:color w:val="auto"/>
        </w:rPr>
      </w:pPr>
      <w:r>
        <w:rPr>
          <w:rFonts w:ascii="Times New Roman" w:cs="Times New Roman" w:eastAsia="Times New Roman" w:hAnsi="Times New Roman"/>
          <w:sz w:val="16"/>
          <w:szCs w:val="16"/>
          <w:color w:val="auto"/>
        </w:rPr>
        <w:t>Our cybersecurity strategy prioritizes detection, analysis and response to known, anticipated or unexpected threats, effective management of security risks and resiliency against incidents. Our cybersecurity risk management processes include technical security controls, policy enforcement mechanisms, monitoring systems, contractual arrangements, tools and related services from third-party providers, and management oversight to assess, identify and manage risks from cybersecurity threats. We implement risk-based controls to protect our information, the information of our customers and other third parties, our information systems, our business operations, and our products and related services. We have adopted security-control principles based on the National Institute of Standards and Technology Cybersecurity Framework (“NIST”) and contractual, industry and regulatory best practices and requirements.</w:t>
      </w:r>
    </w:p>
    <w:p>
      <w:pPr>
        <w:spacing w:after="0" w:line="76" w:lineRule="exact"/>
        <w:rPr>
          <w:sz w:val="20"/>
          <w:szCs w:val="20"/>
          <w:color w:val="auto"/>
        </w:rPr>
      </w:pPr>
    </w:p>
    <w:p>
      <w:pPr>
        <w:ind w:firstLine="1033"/>
        <w:spacing w:after="0" w:line="272" w:lineRule="auto"/>
        <w:rPr>
          <w:sz w:val="20"/>
          <w:szCs w:val="20"/>
          <w:color w:val="auto"/>
        </w:rPr>
      </w:pPr>
      <w:r>
        <w:rPr>
          <w:rFonts w:ascii="Times New Roman" w:cs="Times New Roman" w:eastAsia="Times New Roman" w:hAnsi="Times New Roman"/>
          <w:sz w:val="16"/>
          <w:szCs w:val="16"/>
          <w:color w:val="auto"/>
        </w:rPr>
        <w:t>Our written Cybersecurity Incident Response Program coordinates the activities we take to prepare for, detect, respond to and recover from cybersecurity incidents, and includes processes to prepare for, assess severity of, escalate information about, contain, eradicate, and recover from the incident, as well as to conduct post-incident activities, including reporting and conducting root cause analysis and remediation activities. Our incident response policies and the cybersecurity posture are subject to annual testing to evaluate our adherence to policies and compliance requirements. Policies and practices are reviewed periodically to improve processes and practice. We carry cybersecurity insurance to provide a level of financial protection should a covered incident occur.</w:t>
      </w:r>
    </w:p>
    <w:p>
      <w:pPr>
        <w:spacing w:after="0" w:line="78" w:lineRule="exact"/>
        <w:rPr>
          <w:sz w:val="20"/>
          <w:szCs w:val="20"/>
          <w:color w:val="auto"/>
        </w:rPr>
      </w:pPr>
    </w:p>
    <w:p>
      <w:pPr>
        <w:ind w:right="80" w:firstLine="1033"/>
        <w:spacing w:after="0" w:line="281" w:lineRule="auto"/>
        <w:rPr>
          <w:sz w:val="20"/>
          <w:szCs w:val="20"/>
          <w:color w:val="auto"/>
        </w:rPr>
      </w:pPr>
      <w:r>
        <w:rPr>
          <w:rFonts w:ascii="Times New Roman" w:cs="Times New Roman" w:eastAsia="Times New Roman" w:hAnsi="Times New Roman"/>
          <w:sz w:val="16"/>
          <w:szCs w:val="16"/>
          <w:color w:val="auto"/>
        </w:rPr>
        <w:t>Our cybersecurity and privacy program includes mandatory annual training for all employees and contractors reinforced by targeted phishing tests. The annual training includes training on how to identify potential cybersecurity and privacy risks and protect our resources and information. Additionally, we provide additional specialized security training for employees in roles relating to product development or information technology.</w:t>
      </w:r>
    </w:p>
    <w:p>
      <w:pPr>
        <w:spacing w:after="0" w:line="69" w:lineRule="exact"/>
        <w:rPr>
          <w:sz w:val="20"/>
          <w:szCs w:val="20"/>
          <w:color w:val="auto"/>
        </w:rPr>
      </w:pPr>
    </w:p>
    <w:p>
      <w:pPr>
        <w:ind w:right="20" w:firstLine="1033"/>
        <w:spacing w:after="0" w:line="272" w:lineRule="auto"/>
        <w:rPr>
          <w:sz w:val="20"/>
          <w:szCs w:val="20"/>
          <w:color w:val="auto"/>
        </w:rPr>
      </w:pPr>
      <w:r>
        <w:rPr>
          <w:rFonts w:ascii="Times New Roman" w:cs="Times New Roman" w:eastAsia="Times New Roman" w:hAnsi="Times New Roman"/>
          <w:sz w:val="16"/>
          <w:szCs w:val="16"/>
          <w:color w:val="auto"/>
        </w:rPr>
        <w:t>While we believe our cybersecurity and privacy program to be appropriately designed in light of the risks we have identified, we have experienced, and may in the future experience, whether directly or through our supply chain or other channels, cybersecurity incidents. While prior incidents have not had a material impact on us, future incidents could have a material impact on our business strategy, results of operations or financial condition. See “Risk Factors—Our solutions or our third-party cloud providers have experienced in the past, and could experience in the future, data security breaches, which could adversely impact our reputation, business, and ongoing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Properties.</w:t>
      </w:r>
    </w:p>
    <w:p>
      <w:pPr>
        <w:spacing w:after="0" w:line="129" w:lineRule="exact"/>
        <w:rPr>
          <w:sz w:val="20"/>
          <w:szCs w:val="20"/>
          <w:color w:val="auto"/>
        </w:rPr>
      </w:pPr>
    </w:p>
    <w:p>
      <w:pPr>
        <w:ind w:right="260" w:firstLine="1033"/>
        <w:spacing w:after="0" w:line="275" w:lineRule="auto"/>
        <w:rPr>
          <w:sz w:val="20"/>
          <w:szCs w:val="20"/>
          <w:color w:val="auto"/>
        </w:rPr>
      </w:pPr>
      <w:r>
        <w:rPr>
          <w:rFonts w:ascii="Times New Roman" w:cs="Times New Roman" w:eastAsia="Times New Roman" w:hAnsi="Times New Roman"/>
          <w:sz w:val="16"/>
          <w:szCs w:val="16"/>
          <w:color w:val="auto"/>
        </w:rPr>
        <w:t>Our corporate headquarters are located at 167 N. Green Street, Chicago, Illinois, where we occupy approximately 141,000 square feet of office space pursuant to a lease that expires in 2037. We maintain additional leased office spaces in various locations in the United States and China pursuant to leases that expire between 2024 and 2029. We own a commercial office building in Sioux Falls, South Dakota. We believe that our current facilities are adequate for our present needs and suitable additional facilities will be available to us on commercially reasonable terms if and when needed.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Legal Proceedings.</w:t>
      </w:r>
    </w:p>
    <w:p>
      <w:pPr>
        <w:spacing w:after="0" w:line="129" w:lineRule="exact"/>
        <w:rPr>
          <w:sz w:val="20"/>
          <w:szCs w:val="20"/>
          <w:color w:val="auto"/>
        </w:rPr>
      </w:pPr>
    </w:p>
    <w:p>
      <w:pPr>
        <w:ind w:right="140" w:firstLine="1033"/>
        <w:spacing w:after="0" w:line="272" w:lineRule="auto"/>
        <w:rPr>
          <w:sz w:val="20"/>
          <w:szCs w:val="20"/>
          <w:color w:val="auto"/>
        </w:rPr>
      </w:pPr>
      <w:r>
        <w:rPr>
          <w:rFonts w:ascii="Times New Roman" w:cs="Times New Roman" w:eastAsia="Times New Roman" w:hAnsi="Times New Roman"/>
          <w:sz w:val="16"/>
          <w:szCs w:val="16"/>
          <w:color w:val="auto"/>
        </w:rPr>
        <w:t>In the ordinary course of business, we are (or may become) parties to litigation involving property, personal injury, contract, intellectual property and other claims, as well as stockholder derivative actions, class action lawsuits and other matters. The amounts that may be recovered in such matters may be subject to insurance coverage. Although the results of legal proceedings and claims cannot be predicted with certainty, we are not currently a party to any legal proceedings the outcome of which, we believe, if determined adversely to us, would individually or in the aggregate have a material adverse effect on our business, financial condition, or results of operations. See Note 24 to our consolidated financial statements included elsewhere in this Annual Report on Form 10-K for additional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12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Not applicable.</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8" w:right="35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6"/>
          <w:szCs w:val="16"/>
          <w:color w:val="auto"/>
        </w:rPr>
        <w:t>PART II</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 Market for Registrant’s Common Equity, Related Stockholder Matters and Issuer Purchases of Equity Securities.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Securities</w:t>
      </w:r>
    </w:p>
    <w:p>
      <w:pPr>
        <w:spacing w:after="0" w:line="13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Our common stock is listed on Nasdaq under the symbol “CCCS”.</w:t>
      </w:r>
    </w:p>
    <w:p>
      <w:pPr>
        <w:spacing w:after="0" w:line="127" w:lineRule="exact"/>
        <w:rPr>
          <w:sz w:val="20"/>
          <w:szCs w:val="20"/>
          <w:color w:val="auto"/>
        </w:rPr>
      </w:pPr>
    </w:p>
    <w:p>
      <w:pPr>
        <w:ind w:firstLine="1033"/>
        <w:spacing w:after="0" w:line="281" w:lineRule="auto"/>
        <w:rPr>
          <w:sz w:val="20"/>
          <w:szCs w:val="20"/>
          <w:color w:val="auto"/>
        </w:rPr>
      </w:pPr>
      <w:r>
        <w:rPr>
          <w:rFonts w:ascii="Times New Roman" w:cs="Times New Roman" w:eastAsia="Times New Roman" w:hAnsi="Times New Roman"/>
          <w:sz w:val="16"/>
          <w:szCs w:val="16"/>
          <w:color w:val="auto"/>
        </w:rPr>
        <w:t>As of February 21, 2024, we had 33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Dividends</w:t>
      </w:r>
    </w:p>
    <w:p>
      <w:pPr>
        <w:spacing w:after="0" w:line="131" w:lineRule="exact"/>
        <w:rPr>
          <w:sz w:val="20"/>
          <w:szCs w:val="20"/>
          <w:color w:val="auto"/>
        </w:rPr>
      </w:pPr>
    </w:p>
    <w:p>
      <w:pPr>
        <w:ind w:right="20" w:firstLine="1033"/>
        <w:spacing w:after="0" w:line="272" w:lineRule="auto"/>
        <w:rPr>
          <w:sz w:val="20"/>
          <w:szCs w:val="20"/>
          <w:color w:val="auto"/>
        </w:rPr>
      </w:pPr>
      <w:r>
        <w:rPr>
          <w:rFonts w:ascii="Times New Roman" w:cs="Times New Roman" w:eastAsia="Times New Roman" w:hAnsi="Times New Roman"/>
          <w:sz w:val="16"/>
          <w:szCs w:val="16"/>
          <w:color w:val="auto"/>
        </w:rPr>
        <w:t>We have no current plans to pay cash dividends. The declaration, amount and payment of any future dividends on shares of our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and implications on the payment of dividends by us to our shareholders or by our subsidiaries to us and such other factors as our board of directors may deem relevant. In addition, our ability to pay dividends is limited by our 2021 Credit Agreement and may be limited by covenants contained in agreement governing other indebtedness we or our subsidiaries incur in the future.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Recent Sales of Unregistered Securities</w:t>
      </w:r>
    </w:p>
    <w:p>
      <w:pPr>
        <w:spacing w:after="0" w:line="13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We had no sales of unregistered equity securities during the period covered by this Annual Report on Form 10-K.</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Purchases of Equity Securities by the Issuer</w:t>
      </w:r>
    </w:p>
    <w:p>
      <w:pPr>
        <w:spacing w:after="0" w:line="13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The table below presents our purchases of common stock during the three months ended December 31, 2023:</w:t>
      </w:r>
    </w:p>
    <w:p>
      <w:pPr>
        <w:spacing w:after="0" w:line="138" w:lineRule="exact"/>
        <w:rPr>
          <w:sz w:val="20"/>
          <w:szCs w:val="20"/>
          <w:color w:val="auto"/>
        </w:rPr>
      </w:pPr>
    </w:p>
    <w:tbl>
      <w:tblPr>
        <w:tblLayout w:type="fixed"/>
        <w:tblInd w:w="580" w:type="dxa"/>
        <w:tblCellMar>
          <w:top w:w="0" w:type="dxa"/>
          <w:left w:w="0" w:type="dxa"/>
          <w:bottom w:w="0" w:type="dxa"/>
          <w:right w:w="0" w:type="dxa"/>
        </w:tblCellMar>
      </w:tblPr>
      <w:tr>
        <w:trPr>
          <w:trHeight w:val="203"/>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 Shares</w:t>
            </w:r>
          </w:p>
        </w:tc>
        <w:tc>
          <w:tcPr>
            <w:tcW w:w="240" w:type="dxa"/>
            <w:vAlign w:val="bottom"/>
          </w:tcPr>
          <w:p>
            <w:pPr>
              <w:spacing w:after="0"/>
              <w:rPr>
                <w:sz w:val="17"/>
                <w:szCs w:val="17"/>
                <w:color w:val="auto"/>
              </w:rPr>
            </w:pP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Approximate Dollar Value</w:t>
            </w:r>
          </w:p>
        </w:tc>
      </w:tr>
      <w:tr>
        <w:trPr>
          <w:trHeight w:val="203"/>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Purchased as Part of</w:t>
            </w:r>
          </w:p>
        </w:tc>
        <w:tc>
          <w:tcPr>
            <w:tcW w:w="240" w:type="dxa"/>
            <w:vAlign w:val="bottom"/>
          </w:tcPr>
          <w:p>
            <w:pPr>
              <w:spacing w:after="0"/>
              <w:rPr>
                <w:sz w:val="17"/>
                <w:szCs w:val="17"/>
                <w:color w:val="auto"/>
              </w:rPr>
            </w:pPr>
          </w:p>
        </w:tc>
        <w:tc>
          <w:tcPr>
            <w:tcW w:w="20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of Shares that May Yet Be</w:t>
            </w:r>
          </w:p>
        </w:tc>
      </w:tr>
      <w:tr>
        <w:trPr>
          <w:trHeight w:val="175"/>
        </w:trPr>
        <w:tc>
          <w:tcPr>
            <w:tcW w:w="1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60" w:type="dxa"/>
            <w:vAlign w:val="bottom"/>
          </w:tcPr>
          <w:p>
            <w:pPr>
              <w:jc w:val="right"/>
              <w:ind w:right="99"/>
              <w:spacing w:after="0" w:line="175" w:lineRule="exact"/>
              <w:rPr>
                <w:sz w:val="20"/>
                <w:szCs w:val="20"/>
                <w:color w:val="auto"/>
              </w:rPr>
            </w:pPr>
            <w:r>
              <w:rPr>
                <w:rFonts w:ascii="Times New Roman" w:cs="Times New Roman" w:eastAsia="Times New Roman" w:hAnsi="Times New Roman"/>
                <w:sz w:val="16"/>
                <w:szCs w:val="16"/>
                <w:b w:val="1"/>
                <w:bCs w:val="1"/>
                <w:color w:val="auto"/>
              </w:rPr>
              <w:t>Total Number of Shares</w:t>
            </w:r>
          </w:p>
        </w:tc>
        <w:tc>
          <w:tcPr>
            <w:tcW w:w="320" w:type="dxa"/>
            <w:vAlign w:val="bottom"/>
          </w:tcPr>
          <w:p>
            <w:pPr>
              <w:spacing w:after="0"/>
              <w:rPr>
                <w:sz w:val="15"/>
                <w:szCs w:val="15"/>
                <w:color w:val="auto"/>
              </w:rPr>
            </w:pPr>
          </w:p>
        </w:tc>
        <w:tc>
          <w:tcPr>
            <w:tcW w:w="1740" w:type="dxa"/>
            <w:vAlign w:val="bottom"/>
            <w:gridSpan w:val="2"/>
          </w:tcPr>
          <w:p>
            <w:pPr>
              <w:ind w:left="40"/>
              <w:spacing w:after="0" w:line="175" w:lineRule="exact"/>
              <w:rPr>
                <w:sz w:val="20"/>
                <w:szCs w:val="20"/>
                <w:color w:val="auto"/>
              </w:rPr>
            </w:pPr>
            <w:r>
              <w:rPr>
                <w:rFonts w:ascii="Times New Roman" w:cs="Times New Roman" w:eastAsia="Times New Roman" w:hAnsi="Times New Roman"/>
                <w:sz w:val="16"/>
                <w:szCs w:val="16"/>
                <w:b w:val="1"/>
                <w:bCs w:val="1"/>
                <w:color w:val="auto"/>
              </w:rPr>
              <w:t>Average Purchase Price</w:t>
            </w:r>
          </w:p>
        </w:tc>
        <w:tc>
          <w:tcPr>
            <w:tcW w:w="280" w:type="dxa"/>
            <w:vAlign w:val="bottom"/>
          </w:tcPr>
          <w:p>
            <w:pPr>
              <w:spacing w:after="0"/>
              <w:rPr>
                <w:sz w:val="15"/>
                <w:szCs w:val="15"/>
                <w:color w:val="auto"/>
              </w:rPr>
            </w:pPr>
          </w:p>
        </w:tc>
        <w:tc>
          <w:tcPr>
            <w:tcW w:w="19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Publicly Announced Plans</w:t>
            </w:r>
          </w:p>
        </w:tc>
        <w:tc>
          <w:tcPr>
            <w:tcW w:w="240" w:type="dxa"/>
            <w:vAlign w:val="bottom"/>
          </w:tcPr>
          <w:p>
            <w:pPr>
              <w:spacing w:after="0"/>
              <w:rPr>
                <w:sz w:val="15"/>
                <w:szCs w:val="15"/>
                <w:color w:val="auto"/>
              </w:rPr>
            </w:pPr>
          </w:p>
        </w:tc>
        <w:tc>
          <w:tcPr>
            <w:tcW w:w="2020" w:type="dxa"/>
            <w:vAlign w:val="bottom"/>
            <w:gridSpan w:val="2"/>
          </w:tcPr>
          <w:p>
            <w:pPr>
              <w:jc w:val="center"/>
              <w:ind w:right="100"/>
              <w:spacing w:after="0" w:line="175" w:lineRule="exact"/>
              <w:rPr>
                <w:sz w:val="20"/>
                <w:szCs w:val="20"/>
                <w:color w:val="auto"/>
              </w:rPr>
            </w:pPr>
            <w:r>
              <w:rPr>
                <w:rFonts w:ascii="Times New Roman" w:cs="Times New Roman" w:eastAsia="Times New Roman" w:hAnsi="Times New Roman"/>
                <w:sz w:val="16"/>
                <w:szCs w:val="16"/>
                <w:b w:val="1"/>
                <w:bCs w:val="1"/>
                <w:color w:val="auto"/>
              </w:rPr>
              <w:t>Purchased Under the Plans</w:t>
            </w:r>
          </w:p>
        </w:tc>
      </w:tr>
      <w:tr>
        <w:trPr>
          <w:trHeight w:val="259"/>
        </w:trPr>
        <w:tc>
          <w:tcPr>
            <w:tcW w:w="1960" w:type="dxa"/>
            <w:vAlign w:val="bottom"/>
          </w:tcPr>
          <w:p>
            <w:pPr>
              <w:ind w:left="76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80" w:type="dxa"/>
            <w:vAlign w:val="bottom"/>
          </w:tcPr>
          <w:p>
            <w:pPr>
              <w:spacing w:after="0"/>
              <w:rPr>
                <w:sz w:val="22"/>
                <w:szCs w:val="22"/>
                <w:color w:val="auto"/>
              </w:rPr>
            </w:pPr>
          </w:p>
        </w:tc>
        <w:tc>
          <w:tcPr>
            <w:tcW w:w="196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Purchased</w:t>
            </w: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6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 xml:space="preserve">per Share </w:t>
            </w:r>
            <w:r>
              <w:rPr>
                <w:rFonts w:ascii="Times New Roman" w:cs="Times New Roman" w:eastAsia="Times New Roman" w:hAnsi="Times New Roman"/>
                <w:sz w:val="21"/>
                <w:szCs w:val="21"/>
                <w:b w:val="1"/>
                <w:bCs w:val="1"/>
                <w:color w:val="auto"/>
                <w:vertAlign w:val="superscript"/>
              </w:rPr>
              <w:t>(1)</w:t>
            </w:r>
          </w:p>
        </w:tc>
        <w:tc>
          <w:tcPr>
            <w:tcW w:w="280" w:type="dxa"/>
            <w:vAlign w:val="bottom"/>
          </w:tcPr>
          <w:p>
            <w:pPr>
              <w:spacing w:after="0"/>
              <w:rPr>
                <w:sz w:val="22"/>
                <w:szCs w:val="22"/>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or Programs</w:t>
            </w:r>
          </w:p>
        </w:tc>
        <w:tc>
          <w:tcPr>
            <w:tcW w:w="240" w:type="dxa"/>
            <w:vAlign w:val="bottom"/>
          </w:tcPr>
          <w:p>
            <w:pPr>
              <w:spacing w:after="0"/>
              <w:rPr>
                <w:sz w:val="22"/>
                <w:szCs w:val="22"/>
                <w:color w:val="auto"/>
              </w:rPr>
            </w:pP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or Programs</w:t>
            </w:r>
          </w:p>
        </w:tc>
      </w:tr>
      <w:tr>
        <w:trPr>
          <w:trHeight w:val="223"/>
        </w:trPr>
        <w:tc>
          <w:tcPr>
            <w:tcW w:w="19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9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9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October 2023</w:t>
            </w:r>
          </w:p>
        </w:tc>
        <w:tc>
          <w:tcPr>
            <w:tcW w:w="180" w:type="dxa"/>
            <w:vAlign w:val="bottom"/>
            <w:shd w:val="clear" w:color="auto" w:fill="CFF0FC"/>
          </w:tcPr>
          <w:p>
            <w:pPr>
              <w:spacing w:after="0"/>
              <w:rPr>
                <w:sz w:val="19"/>
                <w:szCs w:val="19"/>
                <w:color w:val="auto"/>
              </w:rPr>
            </w:pP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9"/>
                <w:szCs w:val="19"/>
                <w:color w:val="auto"/>
              </w:rPr>
            </w:pPr>
          </w:p>
        </w:tc>
        <w:tc>
          <w:tcPr>
            <w:tcW w:w="1960" w:type="dxa"/>
            <w:vAlign w:val="bottom"/>
            <w:shd w:val="clear" w:color="auto" w:fill="CFF0FC"/>
          </w:tcPr>
          <w:p>
            <w:pPr>
              <w:ind w:left="178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ind w:left="176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November 2023</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32,500,000</w:t>
            </w: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10.10625</w:t>
            </w:r>
          </w:p>
        </w:tc>
        <w:tc>
          <w:tcPr>
            <w:tcW w:w="280" w:type="dxa"/>
            <w:vAlign w:val="bottom"/>
          </w:tcPr>
          <w:p>
            <w:pPr>
              <w:spacing w:after="0"/>
              <w:rPr>
                <w:sz w:val="19"/>
                <w:szCs w:val="19"/>
                <w:color w:val="auto"/>
              </w:rPr>
            </w:pPr>
          </w:p>
        </w:tc>
        <w:tc>
          <w:tcPr>
            <w:tcW w:w="1960" w:type="dxa"/>
            <w:vAlign w:val="bottom"/>
          </w:tcPr>
          <w:p>
            <w:pPr>
              <w:ind w:left="178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9"/>
                <w:szCs w:val="19"/>
                <w:color w:val="auto"/>
              </w:rPr>
            </w:pPr>
          </w:p>
        </w:tc>
        <w:tc>
          <w:tcPr>
            <w:tcW w:w="2020" w:type="dxa"/>
            <w:vAlign w:val="bottom"/>
            <w:gridSpan w:val="2"/>
          </w:tcPr>
          <w:p>
            <w:pPr>
              <w:ind w:left="1760"/>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1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December 2023</w:t>
            </w:r>
          </w:p>
        </w:tc>
        <w:tc>
          <w:tcPr>
            <w:tcW w:w="180" w:type="dxa"/>
            <w:vAlign w:val="bottom"/>
            <w:tcBorders>
              <w:bottom w:val="single" w:sz="8" w:color="CFF0FC"/>
            </w:tcBorders>
            <w:shd w:val="clear" w:color="auto" w:fill="CFF0FC"/>
          </w:tcPr>
          <w:p>
            <w:pPr>
              <w:spacing w:after="0"/>
              <w:rPr>
                <w:sz w:val="20"/>
                <w:szCs w:val="20"/>
                <w:color w:val="auto"/>
              </w:rPr>
            </w:pPr>
          </w:p>
        </w:tc>
        <w:tc>
          <w:tcPr>
            <w:tcW w:w="1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FF0FC"/>
            </w:tcBorders>
            <w:shd w:val="clear" w:color="auto" w:fill="CFF0FC"/>
          </w:tcPr>
          <w:p>
            <w:pPr>
              <w:spacing w:after="0"/>
              <w:rPr>
                <w:sz w:val="20"/>
                <w:szCs w:val="20"/>
                <w:color w:val="auto"/>
              </w:rPr>
            </w:pPr>
          </w:p>
        </w:tc>
        <w:tc>
          <w:tcPr>
            <w:tcW w:w="1960" w:type="dxa"/>
            <w:vAlign w:val="bottom"/>
            <w:tcBorders>
              <w:bottom w:val="single" w:sz="8" w:color="auto"/>
            </w:tcBorders>
            <w:shd w:val="clear" w:color="auto" w:fill="CFF0FC"/>
          </w:tcPr>
          <w:p>
            <w:pPr>
              <w:ind w:left="178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bottom w:val="single" w:sz="8" w:color="CFF0FC"/>
            </w:tcBorders>
            <w:shd w:val="clear" w:color="auto" w:fill="CFF0FC"/>
          </w:tcPr>
          <w:p>
            <w:pPr>
              <w:spacing w:after="0"/>
              <w:rPr>
                <w:sz w:val="20"/>
                <w:szCs w:val="20"/>
                <w:color w:val="auto"/>
              </w:rPr>
            </w:pPr>
          </w:p>
        </w:tc>
        <w:tc>
          <w:tcPr>
            <w:tcW w:w="1920" w:type="dxa"/>
            <w:vAlign w:val="bottom"/>
            <w:tcBorders>
              <w:bottom w:val="single" w:sz="8" w:color="auto"/>
            </w:tcBorders>
            <w:shd w:val="clear" w:color="auto" w:fill="CFF0FC"/>
          </w:tcPr>
          <w:p>
            <w:pPr>
              <w:ind w:left="176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7"/>
        </w:trPr>
        <w:tc>
          <w:tcPr>
            <w:tcW w:w="1960" w:type="dxa"/>
            <w:vAlign w:val="bottom"/>
          </w:tcPr>
          <w:p>
            <w:pPr>
              <w:spacing w:after="0"/>
              <w:rPr>
                <w:sz w:val="17"/>
                <w:szCs w:val="17"/>
                <w:color w:val="auto"/>
              </w:rPr>
            </w:pP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32,500,000</w:t>
            </w: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10.10625</w:t>
            </w:r>
          </w:p>
        </w:tc>
        <w:tc>
          <w:tcPr>
            <w:tcW w:w="280" w:type="dxa"/>
            <w:vAlign w:val="bottom"/>
          </w:tcPr>
          <w:p>
            <w:pPr>
              <w:spacing w:after="0"/>
              <w:rPr>
                <w:sz w:val="17"/>
                <w:szCs w:val="17"/>
                <w:color w:val="auto"/>
              </w:rPr>
            </w:pPr>
          </w:p>
        </w:tc>
        <w:tc>
          <w:tcPr>
            <w:tcW w:w="1960" w:type="dxa"/>
            <w:vAlign w:val="bottom"/>
          </w:tcPr>
          <w:p>
            <w:pPr>
              <w:ind w:left="178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7"/>
                <w:szCs w:val="17"/>
                <w:color w:val="auto"/>
              </w:rPr>
            </w:pPr>
          </w:p>
        </w:tc>
        <w:tc>
          <w:tcPr>
            <w:tcW w:w="2020" w:type="dxa"/>
            <w:vAlign w:val="bottom"/>
            <w:gridSpan w:val="2"/>
          </w:tcPr>
          <w:p>
            <w:pPr>
              <w:ind w:left="1760"/>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-141605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-141605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-141605</wp:posOffset>
            </wp:positionV>
            <wp:extent cx="603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-141605</wp:posOffset>
            </wp:positionV>
            <wp:extent cx="596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95" w:lineRule="exact"/>
        <w:rPr>
          <w:sz w:val="20"/>
          <w:szCs w:val="20"/>
          <w:color w:val="auto"/>
        </w:rPr>
      </w:pPr>
    </w:p>
    <w:p>
      <w:pPr>
        <w:ind w:left="920" w:hanging="163"/>
        <w:spacing w:after="0"/>
        <w:tabs>
          <w:tab w:leader="none" w:pos="920" w:val="left"/>
        </w:tabs>
        <w:numPr>
          <w:ilvl w:val="0"/>
          <w:numId w:val="2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Excludes any fees, commissions or other expenses associated with the share repurchases.</w:t>
      </w:r>
    </w:p>
    <w:p>
      <w:pPr>
        <w:spacing w:after="0" w:line="208" w:lineRule="exact"/>
        <w:rPr>
          <w:sz w:val="20"/>
          <w:szCs w:val="20"/>
          <w:color w:val="auto"/>
        </w:rPr>
      </w:pPr>
    </w:p>
    <w:p>
      <w:pPr>
        <w:ind w:right="340" w:firstLine="749"/>
        <w:spacing w:after="0" w:line="298" w:lineRule="auto"/>
        <w:rPr>
          <w:sz w:val="20"/>
          <w:szCs w:val="20"/>
          <w:color w:val="auto"/>
        </w:rPr>
      </w:pPr>
      <w:r>
        <w:rPr>
          <w:rFonts w:ascii="Times New Roman" w:cs="Times New Roman" w:eastAsia="Times New Roman" w:hAnsi="Times New Roman"/>
          <w:sz w:val="16"/>
          <w:szCs w:val="16"/>
          <w:color w:val="auto"/>
        </w:rPr>
        <w:t>See Note 19 Capital Stock – Common Stock – Secondary Offering and Stock Repurchase to our consolidated financial statements included elsewhere in this Annual Report on Form 10-K for additional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Stock Performance Graph</w:t>
      </w:r>
    </w:p>
    <w:p>
      <w:pPr>
        <w:spacing w:after="0" w:line="131" w:lineRule="exact"/>
        <w:rPr>
          <w:sz w:val="20"/>
          <w:szCs w:val="20"/>
          <w:color w:val="auto"/>
        </w:rPr>
      </w:pPr>
    </w:p>
    <w:p>
      <w:pPr>
        <w:jc w:val="both"/>
        <w:ind w:right="20" w:firstLine="1033"/>
        <w:spacing w:after="0" w:line="281" w:lineRule="auto"/>
        <w:rPr>
          <w:sz w:val="20"/>
          <w:szCs w:val="20"/>
          <w:color w:val="auto"/>
        </w:rPr>
      </w:pPr>
      <w:r>
        <w:rPr>
          <w:rFonts w:ascii="Times New Roman" w:cs="Times New Roman" w:eastAsia="Times New Roman" w:hAnsi="Times New Roman"/>
          <w:sz w:val="16"/>
          <w:szCs w:val="16"/>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of our filings under the Securities Act of 1933 or the Exchange Act.</w:t>
      </w:r>
    </w:p>
    <w:p>
      <w:pPr>
        <w:spacing w:after="0" w:line="69" w:lineRule="exact"/>
        <w:rPr>
          <w:sz w:val="20"/>
          <w:szCs w:val="20"/>
          <w:color w:val="auto"/>
        </w:rPr>
      </w:pPr>
    </w:p>
    <w:p>
      <w:pPr>
        <w:ind w:right="40" w:firstLine="1033"/>
        <w:spacing w:after="0" w:line="266" w:lineRule="auto"/>
        <w:rPr>
          <w:sz w:val="20"/>
          <w:szCs w:val="20"/>
          <w:color w:val="auto"/>
        </w:rPr>
      </w:pPr>
      <w:r>
        <w:rPr>
          <w:rFonts w:ascii="Times New Roman" w:cs="Times New Roman" w:eastAsia="Times New Roman" w:hAnsi="Times New Roman"/>
          <w:sz w:val="16"/>
          <w:szCs w:val="16"/>
          <w:color w:val="auto"/>
        </w:rPr>
        <w:t>The following graph shows a comparison of the cumulative total return for our common stock, the NASDAQ Composite Index, and the Standard &amp; Poor’s (S&amp;P) 500 Index for the period from October 6, 2020, the first day Dragoneer’s Class A ordinary shares were traded on a stand-alone basis following its initial public offering through December 31, 2023. For the period between October 6, 2020 through July 30, 2021 the figures relate to Dragoneer’s Class A ordinary shares, and for the period between July 30, 2021 through December 31, 2023, the figures relate to CCC’s common stock. The graph assumes an initial investment of $100 in Dragoneer’s Class A ordinary shares at the market close on October 6,</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36" w:name="page37"/>
    <w:bookmarkEnd w:id="36"/>
    <w:p>
      <w:pPr>
        <w:spacing w:after="0" w:line="298" w:lineRule="auto"/>
        <w:rPr>
          <w:sz w:val="20"/>
          <w:szCs w:val="20"/>
          <w:color w:val="auto"/>
        </w:rPr>
      </w:pPr>
      <w:r>
        <w:rPr>
          <w:rFonts w:ascii="Times New Roman" w:cs="Times New Roman" w:eastAsia="Times New Roman" w:hAnsi="Times New Roman"/>
          <w:sz w:val="16"/>
          <w:szCs w:val="16"/>
          <w:color w:val="auto"/>
        </w:rPr>
        <w:t>2020. Such returns are based on historical results and are not intended to suggest future performance. Data for the NASDAQ Composite Index and S&amp;P 500 Index assume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44450</wp:posOffset>
            </wp:positionV>
            <wp:extent cx="5460365" cy="213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460365"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6. Reserved.</w:t>
      </w:r>
    </w:p>
    <w:p>
      <w:pPr>
        <w:spacing w:after="0" w:line="2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98" w:right="4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b w:val="1"/>
          <w:bCs w:val="1"/>
          <w:color w:val="auto"/>
        </w:rPr>
        <w:t>Item 7. Management’s Discussion and Analysis of Financial Condition and Results of Operations.</w:t>
      </w:r>
    </w:p>
    <w:p>
      <w:pPr>
        <w:spacing w:after="0" w:line="127" w:lineRule="exact"/>
        <w:rPr>
          <w:sz w:val="20"/>
          <w:szCs w:val="20"/>
          <w:color w:val="auto"/>
        </w:rPr>
      </w:pPr>
    </w:p>
    <w:p>
      <w:pPr>
        <w:ind w:right="100" w:firstLine="1033"/>
        <w:spacing w:after="0" w:line="273" w:lineRule="auto"/>
        <w:rPr>
          <w:sz w:val="20"/>
          <w:szCs w:val="20"/>
          <w:color w:val="auto"/>
        </w:rPr>
      </w:pPr>
      <w:r>
        <w:rPr>
          <w:rFonts w:ascii="Times New Roman" w:cs="Times New Roman" w:eastAsia="Times New Roman" w:hAnsi="Times New Roman"/>
          <w:sz w:val="16"/>
          <w:szCs w:val="16"/>
          <w:i w:val="1"/>
          <w:iCs w:val="1"/>
          <w:color w:val="auto"/>
        </w:rPr>
        <w:t>The following discussion and analysis of our financial condition and results of operations should be read together with our audited consolidated financial statements and related notes appearing elsewhere in this Annual Report on Form 10-K. This discussion contains forward-looking statements that involve risks and uncertainties. Our actual results could differ materially from the forward-looking statements included herein. Factors that could cause or contribute to such differences include, but are not limited to, those identified below and those discussed in the section titled “Cautionary Note Regarding Forward-Looking Statements and Risk Factors” and “Risk Factors” as set forth elsewhere in this Annual Report on Form 10-K.</w:t>
      </w:r>
    </w:p>
    <w:p>
      <w:pPr>
        <w:spacing w:after="0" w:line="74" w:lineRule="exact"/>
        <w:rPr>
          <w:sz w:val="20"/>
          <w:szCs w:val="20"/>
          <w:color w:val="auto"/>
        </w:rPr>
      </w:pPr>
    </w:p>
    <w:p>
      <w:pPr>
        <w:ind w:right="100" w:firstLine="1033"/>
        <w:spacing w:after="0" w:line="282" w:lineRule="auto"/>
        <w:rPr>
          <w:sz w:val="20"/>
          <w:szCs w:val="20"/>
          <w:color w:val="auto"/>
        </w:rPr>
      </w:pPr>
      <w:r>
        <w:rPr>
          <w:rFonts w:ascii="Times New Roman" w:cs="Times New Roman" w:eastAsia="Times New Roman" w:hAnsi="Times New Roman"/>
          <w:sz w:val="16"/>
          <w:szCs w:val="16"/>
          <w:i w:val="1"/>
          <w:iCs w:val="1"/>
          <w:color w:val="auto"/>
        </w:rPr>
        <w:t>Unless otherwise indicated or the context otherwise requires, references to “CCC,” “we,” “us,” “our” and other similar terms refer to Cypress Holdings Inc. and its consolidated subsidiaries prior to the Business Combination and to CCC Intelligent Solutions Holdings Inc. and its consolidated subsidiaries after giving effect to the Business Combination.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Business Overview</w:t>
      </w:r>
    </w:p>
    <w:p>
      <w:pPr>
        <w:spacing w:after="0" w:line="129" w:lineRule="exact"/>
        <w:rPr>
          <w:sz w:val="20"/>
          <w:szCs w:val="20"/>
          <w:color w:val="auto"/>
        </w:rPr>
      </w:pPr>
    </w:p>
    <w:p>
      <w:pPr>
        <w:ind w:right="60" w:firstLine="1033"/>
        <w:spacing w:after="0" w:line="275" w:lineRule="auto"/>
        <w:rPr>
          <w:sz w:val="20"/>
          <w:szCs w:val="20"/>
          <w:color w:val="auto"/>
        </w:rPr>
      </w:pPr>
      <w:r>
        <w:rPr>
          <w:rFonts w:ascii="Times New Roman" w:cs="Times New Roman" w:eastAsia="Times New Roman" w:hAnsi="Times New Roman"/>
          <w:sz w:val="16"/>
          <w:szCs w:val="16"/>
          <w:color w:val="auto"/>
        </w:rPr>
        <w:t>Founded in 1980, CCC is a leading SaaS platform for the multi-trillion-dollar P&amp;C insurance economy powering operations for insurers, repairers, automakers, part suppliers, lenders, and more. CCC cloud technology connects more than 35,000 businesses digitizing mission-critical workflows, commerce, and customer experiences. A trusted leader in AI, IoT, customer experience, network and workflow management, CCC delivers innovations that keep people's lives moving forward when it matters most.</w:t>
      </w:r>
    </w:p>
    <w:p>
      <w:pPr>
        <w:spacing w:after="0" w:line="75" w:lineRule="exact"/>
        <w:rPr>
          <w:sz w:val="20"/>
          <w:szCs w:val="20"/>
          <w:color w:val="auto"/>
        </w:rPr>
      </w:pPr>
    </w:p>
    <w:p>
      <w:pPr>
        <w:ind w:right="20" w:firstLine="1033"/>
        <w:spacing w:after="0" w:line="272" w:lineRule="auto"/>
        <w:rPr>
          <w:sz w:val="20"/>
          <w:szCs w:val="20"/>
          <w:color w:val="auto"/>
        </w:rPr>
      </w:pPr>
      <w:r>
        <w:rPr>
          <w:rFonts w:ascii="Times New Roman" w:cs="Times New Roman" w:eastAsia="Times New Roman" w:hAnsi="Times New Roman"/>
          <w:sz w:val="16"/>
          <w:szCs w:val="16"/>
          <w:color w:val="auto"/>
        </w:rPr>
        <w:t>Our business has been built upon two foundational pillars: automotive insurance claims and automotive collision repair. For decades we have delivered leading software solutions to both the insurance and repair industries, including pioneering DRP in the U.S. beginning in 1992. DRP connects auto insurers and collision repair shops to create business value for both parties, and requires digital tools to facilitate interactions and manage partner programs. Insurer-to-shop DRP connections have created a strong network effect for CCC’s platform, as insurers and repairers both benefit by joining the largest network to maximize opportunities. This has led to a virtuous cycle in which more insurers on the platform drives more value for the collision shops on the platform, and vice versa.</w:t>
      </w:r>
    </w:p>
    <w:p>
      <w:pPr>
        <w:spacing w:after="0" w:line="78" w:lineRule="exact"/>
        <w:rPr>
          <w:sz w:val="20"/>
          <w:szCs w:val="20"/>
          <w:color w:val="auto"/>
        </w:rPr>
      </w:pPr>
    </w:p>
    <w:p>
      <w:pPr>
        <w:ind w:right="20" w:firstLine="1033"/>
        <w:spacing w:after="0" w:line="269" w:lineRule="auto"/>
        <w:rPr>
          <w:sz w:val="20"/>
          <w:szCs w:val="20"/>
          <w:color w:val="auto"/>
        </w:rPr>
      </w:pPr>
      <w:r>
        <w:rPr>
          <w:rFonts w:ascii="Times New Roman" w:cs="Times New Roman" w:eastAsia="Times New Roman" w:hAnsi="Times New Roman"/>
          <w:sz w:val="16"/>
          <w:szCs w:val="16"/>
          <w:color w:val="auto"/>
        </w:rPr>
        <w:t>We believe we have become a leading insurance and repair SaaS provider in the U.S. by increasing the depth and breadth of our SaaS offerings over many years. Our insurance solutions help insurance carriers manage mission-critical workflows across the claims lifecycle, while building smart, dynamic experiences for their own customers. Our software integrates seamlessly with both legacy and modern systems alike and enables insurers to rapidly innovate on our platform. Our repair solutions help collision repair facilities achieve better performance throughout the collision repair cycle by digitizing processes to drive business growth, streamline operations, and improve repair quality. We have more than 300 insurers on our network, connecting with approximately 29,500 repair facilities through our multi-tenant cloud platform. We believe our software is the architectural backbone of insurance DRP systems and is a primary driver of material revenue for our collision shop customers and a source of material efficiencies for our insurance carrier customers.</w:t>
      </w:r>
    </w:p>
    <w:p>
      <w:pPr>
        <w:spacing w:after="0" w:line="82" w:lineRule="exact"/>
        <w:rPr>
          <w:sz w:val="20"/>
          <w:szCs w:val="20"/>
          <w:color w:val="auto"/>
        </w:rPr>
      </w:pPr>
    </w:p>
    <w:p>
      <w:pPr>
        <w:ind w:right="60" w:firstLine="1033"/>
        <w:spacing w:after="0" w:line="269" w:lineRule="auto"/>
        <w:rPr>
          <w:sz w:val="20"/>
          <w:szCs w:val="20"/>
          <w:color w:val="auto"/>
        </w:rPr>
      </w:pPr>
      <w:r>
        <w:rPr>
          <w:rFonts w:ascii="Times New Roman" w:cs="Times New Roman" w:eastAsia="Times New Roman" w:hAnsi="Times New Roman"/>
          <w:sz w:val="16"/>
          <w:szCs w:val="16"/>
          <w:color w:val="auto"/>
        </w:rPr>
        <w:t>Our platform is designed to solve the "many-to-many" problem faced by the insurance economy. There are numerous internally and externally developed insurance software solutions in the market today, with the vast majority of applications focused on insurance-only use cases and not on serving the broader insurance ecosystem. We have prioritized building a leading network around our automotive insurance and collision repair pillars to further digitize interactions and maximize value for our customers. We have tens of thousands of companies on our platform that participate in the insurance economy, including insurers, repairers, parts suppliers, automotive manufacturers, and financial institutions. Our solutions create value for each of these parties by enabling them to connect to our vast network to collaborate with other companies, streamline operations, and reduce processing costs and dollars lost through claims management inefficiencies, or claims leakage. Expanding our platform has added new layers of network effects, further accelerating the adoption of our software solutions.</w:t>
      </w:r>
    </w:p>
    <w:p>
      <w:pPr>
        <w:spacing w:after="0" w:line="82" w:lineRule="exact"/>
        <w:rPr>
          <w:sz w:val="20"/>
          <w:szCs w:val="20"/>
          <w:color w:val="auto"/>
        </w:rPr>
      </w:pPr>
    </w:p>
    <w:p>
      <w:pPr>
        <w:ind w:right="60" w:firstLine="1033"/>
        <w:spacing w:after="0" w:line="272" w:lineRule="auto"/>
        <w:rPr>
          <w:sz w:val="20"/>
          <w:szCs w:val="20"/>
          <w:color w:val="auto"/>
        </w:rPr>
      </w:pPr>
      <w:r>
        <w:rPr>
          <w:rFonts w:ascii="Times New Roman" w:cs="Times New Roman" w:eastAsia="Times New Roman" w:hAnsi="Times New Roman"/>
          <w:sz w:val="16"/>
          <w:szCs w:val="16"/>
          <w:color w:val="auto"/>
        </w:rPr>
        <w:t>We have processed more than $1 trillion of historical data across our network, allowing us to build proprietary data assets that leverage insurance claims, vehicle repair, automotive parts and other vehicle-specific information. We believe we are uniquely positioned to provide data-driven insights, analytics, and AI-enhanced workflows that strengthen our solutions and improve business outcomes for our customers. Our AI solutions increase automation across existing insurance and repair processes including vehicle damage detection, claim triage, claim handling, repair estimating, intelligent claim review and claim subrogation. We deliver real-world AI with more than 100 U.S. auto insurers and more than 1,000 U.S. collision repairers actively using AI-powered solutions in production environments.</w:t>
      </w:r>
    </w:p>
    <w:p>
      <w:pPr>
        <w:spacing w:after="0" w:line="78" w:lineRule="exact"/>
        <w:rPr>
          <w:sz w:val="20"/>
          <w:szCs w:val="20"/>
          <w:color w:val="auto"/>
        </w:rPr>
      </w:pPr>
    </w:p>
    <w:p>
      <w:pPr>
        <w:ind w:right="160" w:firstLine="1033"/>
        <w:spacing w:after="0" w:line="275" w:lineRule="auto"/>
        <w:rPr>
          <w:sz w:val="20"/>
          <w:szCs w:val="20"/>
          <w:color w:val="auto"/>
        </w:rPr>
      </w:pPr>
      <w:r>
        <w:rPr>
          <w:rFonts w:ascii="Times New Roman" w:cs="Times New Roman" w:eastAsia="Times New Roman" w:hAnsi="Times New Roman"/>
          <w:sz w:val="16"/>
          <w:szCs w:val="16"/>
          <w:color w:val="auto"/>
        </w:rPr>
        <w:t>One of the primary obstacles facing the P&amp;C insurance economy is increasing complexity. Complexity in the P&amp;C insurance economy is driven by technological advancements, IoT data, new business models, supply chain disruption and changing consumer expectations. We believe digitization plays a critical role in managing this growing complexity while meeting consumer expectations. Our technology investments are focused on digitizing complex processes and interactions across our ecosystem, and we believe we are well positioned to power the P&amp;C insurance economy of the future with our data, network, and platform.</w:t>
      </w:r>
    </w:p>
    <w:p>
      <w:pPr>
        <w:spacing w:after="0" w:line="75" w:lineRule="exact"/>
        <w:rPr>
          <w:sz w:val="20"/>
          <w:szCs w:val="20"/>
          <w:color w:val="auto"/>
        </w:rPr>
      </w:pPr>
    </w:p>
    <w:p>
      <w:pPr>
        <w:ind w:firstLine="1033"/>
        <w:spacing w:after="0" w:line="271" w:lineRule="auto"/>
        <w:rPr>
          <w:sz w:val="20"/>
          <w:szCs w:val="20"/>
          <w:color w:val="auto"/>
        </w:rPr>
      </w:pPr>
      <w:r>
        <w:rPr>
          <w:rFonts w:ascii="Times New Roman" w:cs="Times New Roman" w:eastAsia="Times New Roman" w:hAnsi="Times New Roman"/>
          <w:sz w:val="16"/>
          <w:szCs w:val="16"/>
          <w:color w:val="auto"/>
        </w:rPr>
        <w:t>While our position in the P&amp;C insurance economy is grounded in the automotive insurance sector, the largest insurance sector in the U.S. representing nearly half of DWP, we believe our integrations and cloud platform are capable of driving innovation across the entire P&amp;C insurance economy. Our customers are increasingly looking for CCC to expand its solutions to other parts of their business where they can benefit from our technology, service, and partnership. In response, we are investing in new solutions that we believe will enable us to digitize the entire automotive claims lifecycle, and over time expand into adjacencies including other insurance lines. For example, CCC's acquisition of Safekeep in February 2022 added subrogation solutions that can span insurance lines including automotive, property, and worker's compensation.</w:t>
      </w:r>
    </w:p>
    <w:p>
      <w:pPr>
        <w:spacing w:after="0" w:line="76" w:lineRule="exact"/>
        <w:rPr>
          <w:sz w:val="20"/>
          <w:szCs w:val="20"/>
          <w:color w:val="auto"/>
        </w:rPr>
      </w:pPr>
    </w:p>
    <w:p>
      <w:pPr>
        <w:jc w:val="both"/>
        <w:ind w:right="160" w:firstLine="1033"/>
        <w:spacing w:after="0" w:line="267" w:lineRule="auto"/>
        <w:rPr>
          <w:sz w:val="20"/>
          <w:szCs w:val="20"/>
          <w:color w:val="auto"/>
        </w:rPr>
      </w:pPr>
      <w:r>
        <w:rPr>
          <w:rFonts w:ascii="Times New Roman" w:cs="Times New Roman" w:eastAsia="Times New Roman" w:hAnsi="Times New Roman"/>
          <w:sz w:val="16"/>
          <w:szCs w:val="16"/>
          <w:color w:val="auto"/>
        </w:rPr>
        <w:t>We have strong customer relationships in the end-markets we serve, and these relationships are a key component of our success given the long-term nature of our contracts and the interconnectedness of our network. We have customer agreements with more than 300 insurers (including carriers, self-insurers and other entities processing insurance claims), including 27 of the top 30 automotive insurance carriers in the U.S.,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sectPr>
      </w:pPr>
    </w:p>
    <w:bookmarkStart w:id="38" w:name="page39"/>
    <w:bookmarkEnd w:id="38"/>
    <w:p>
      <w:pPr>
        <w:ind w:right="20"/>
        <w:spacing w:after="0" w:line="281" w:lineRule="auto"/>
        <w:rPr>
          <w:sz w:val="20"/>
          <w:szCs w:val="20"/>
          <w:color w:val="auto"/>
        </w:rPr>
      </w:pPr>
      <w:r>
        <w:rPr>
          <w:rFonts w:ascii="Times New Roman" w:cs="Times New Roman" w:eastAsia="Times New Roman" w:hAnsi="Times New Roman"/>
          <w:sz w:val="16"/>
          <w:szCs w:val="16"/>
          <w:color w:val="auto"/>
        </w:rPr>
        <w:t>based on DWP, and hundreds of regional carriers. We have more than 35,000 total customers, including approximately 29,500 automotive collision repair facilities (including repairers and other entities that estimate damaged vehicles), approximately 5,000 parts suppliers, 13 of the top 15 automotive manufacturers based on new vehicle sales, and numerous other companies that participate in the P&amp;C insurance economy.</w:t>
      </w:r>
    </w:p>
    <w:p>
      <w:pPr>
        <w:spacing w:after="0" w:line="69" w:lineRule="exact"/>
        <w:rPr>
          <w:sz w:val="20"/>
          <w:szCs w:val="20"/>
          <w:color w:val="auto"/>
        </w:rPr>
      </w:pPr>
    </w:p>
    <w:p>
      <w:pPr>
        <w:ind w:right="20" w:firstLine="1033"/>
        <w:spacing w:after="0" w:line="272" w:lineRule="auto"/>
        <w:rPr>
          <w:sz w:val="20"/>
          <w:szCs w:val="20"/>
          <w:color w:val="auto"/>
        </w:rPr>
      </w:pPr>
      <w:r>
        <w:rPr>
          <w:rFonts w:ascii="Times New Roman" w:cs="Times New Roman" w:eastAsia="Times New Roman" w:hAnsi="Times New Roman"/>
          <w:sz w:val="16"/>
          <w:szCs w:val="16"/>
          <w:color w:val="auto"/>
        </w:rPr>
        <w:t>We generate revenue through the sale of software subscriptions and other revenue, primarily from professional services. We generated $866.4 million of revenue for the year ended December 31, 2023, an increase of 10.7% from the prior year. Net loss for the year ended December 31, 2023 was $90.1 million, compared to net income for the year ended December 31, 2022 of $38.4 million. The net loss for the year ended December 31, 2023, was mainly due to $82.7 million of goodwill and intangible asset impairment charges specific to the Company's China reporting unit. Adjusted EBITDA increased $48.0 million, or 16%, year-over-year to $353.4 million. See our reconciliation of net (loss) income to Adjusted EBITDA within the section titled “Non-GAAP Financial Measures.”</w:t>
      </w:r>
    </w:p>
    <w:p>
      <w:pPr>
        <w:spacing w:after="0" w:line="1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Basis of Presentation</w:t>
      </w:r>
    </w:p>
    <w:p>
      <w:pPr>
        <w:spacing w:after="0" w:line="129" w:lineRule="exact"/>
        <w:rPr>
          <w:sz w:val="20"/>
          <w:szCs w:val="20"/>
          <w:color w:val="auto"/>
        </w:rPr>
      </w:pPr>
    </w:p>
    <w:p>
      <w:pPr>
        <w:ind w:right="100" w:firstLine="1033"/>
        <w:spacing w:after="0" w:line="275" w:lineRule="auto"/>
        <w:rPr>
          <w:sz w:val="20"/>
          <w:szCs w:val="20"/>
          <w:color w:val="auto"/>
        </w:rPr>
      </w:pPr>
      <w:r>
        <w:rPr>
          <w:rFonts w:ascii="Times New Roman" w:cs="Times New Roman" w:eastAsia="Times New Roman" w:hAnsi="Times New Roman"/>
          <w:sz w:val="16"/>
          <w:szCs w:val="16"/>
          <w:color w:val="auto"/>
        </w:rPr>
        <w:t>The Company’s consolidated financial statements and accompanying notes included elsewhere in this Annual Report on Form 10-K include the accounts of the Company and its consolidated subsidiaries and were prepared in accordance with GAAP. Intercompany transactions and balances are eliminated in consolidation. The consolidated financial statements include 100% of the accounts of wholly-owned and majority-owned subsidiaries. The ownership interest of the minority investor is recorded as a non-controlling interest in a subsidiary.</w:t>
      </w:r>
    </w:p>
    <w:p>
      <w:pPr>
        <w:spacing w:after="0" w:line="75" w:lineRule="exact"/>
        <w:rPr>
          <w:sz w:val="20"/>
          <w:szCs w:val="20"/>
          <w:color w:val="auto"/>
        </w:rPr>
      </w:pPr>
    </w:p>
    <w:p>
      <w:pPr>
        <w:ind w:firstLine="1033"/>
        <w:spacing w:after="0" w:line="281" w:lineRule="auto"/>
        <w:rPr>
          <w:sz w:val="20"/>
          <w:szCs w:val="20"/>
          <w:color w:val="auto"/>
        </w:rPr>
      </w:pPr>
      <w:r>
        <w:rPr>
          <w:rFonts w:ascii="Times New Roman" w:cs="Times New Roman" w:eastAsia="Times New Roman" w:hAnsi="Times New Roman"/>
          <w:sz w:val="16"/>
          <w:szCs w:val="16"/>
          <w:color w:val="auto"/>
        </w:rPr>
        <w:t>The Company operates in one operating segment. The chief operating decision maker for the Company is the chief executive officer. The chief executive officer reviews financial information presented on a consolidated basis, accompanied by information about revenue by type of service and geographic region, for purposes of allocating resources and evaluating financial performance.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Developments</w:t>
      </w:r>
    </w:p>
    <w:p>
      <w:pPr>
        <w:spacing w:after="0" w:line="127" w:lineRule="exact"/>
        <w:rPr>
          <w:sz w:val="20"/>
          <w:szCs w:val="20"/>
          <w:color w:val="auto"/>
        </w:rPr>
      </w:pPr>
    </w:p>
    <w:p>
      <w:pPr>
        <w:ind w:right="300" w:firstLine="1033"/>
        <w:spacing w:after="0" w:line="301" w:lineRule="auto"/>
        <w:rPr>
          <w:sz w:val="20"/>
          <w:szCs w:val="20"/>
          <w:color w:val="auto"/>
        </w:rPr>
      </w:pPr>
      <w:r>
        <w:rPr>
          <w:rFonts w:ascii="Times New Roman" w:cs="Times New Roman" w:eastAsia="Times New Roman" w:hAnsi="Times New Roman"/>
          <w:sz w:val="16"/>
          <w:szCs w:val="16"/>
          <w:i w:val="1"/>
          <w:iCs w:val="1"/>
          <w:color w:val="auto"/>
        </w:rPr>
        <w:t>Secondary Offering</w:t>
      </w:r>
      <w:r>
        <w:rPr>
          <w:rFonts w:ascii="Times New Roman" w:cs="Times New Roman" w:eastAsia="Times New Roman" w:hAnsi="Times New Roman"/>
          <w:sz w:val="16"/>
          <w:szCs w:val="16"/>
          <w:color w:val="auto"/>
        </w:rPr>
        <w:t>—During January 2024, certain existing stockholders completed a secondary offering where the selling stockholders sold 22,000,000</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shares of common stock. The Company did not receive any of the proceeds from the sale of the shares by the selling stockholders.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Performance Measures and Operating Metrics</w:t>
      </w:r>
    </w:p>
    <w:p>
      <w:pPr>
        <w:spacing w:after="0" w:line="129" w:lineRule="exact"/>
        <w:rPr>
          <w:sz w:val="20"/>
          <w:szCs w:val="20"/>
          <w:color w:val="auto"/>
        </w:rPr>
      </w:pPr>
    </w:p>
    <w:p>
      <w:pPr>
        <w:ind w:right="120" w:firstLine="1033"/>
        <w:spacing w:after="0" w:line="281" w:lineRule="auto"/>
        <w:rPr>
          <w:sz w:val="20"/>
          <w:szCs w:val="20"/>
          <w:color w:val="auto"/>
        </w:rPr>
      </w:pPr>
      <w:r>
        <w:rPr>
          <w:rFonts w:ascii="Times New Roman" w:cs="Times New Roman" w:eastAsia="Times New Roman" w:hAnsi="Times New Roman"/>
          <w:sz w:val="16"/>
          <w:szCs w:val="16"/>
          <w:color w:val="auto"/>
        </w:rPr>
        <w:t>In addition to our GAAP and non-GAAP financial measures, we rely on Software Net Dollar Retention Rate (“Software NDR”) and Software Gross Dollar Retention Rate (“Software GDR”) to measure and evaluate our business to make strategic decisions. Software NDR and Software GDR may not be comparable to or calculated in the same way as other similarly titled measures used by other companies.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Software NDR</w:t>
      </w:r>
    </w:p>
    <w:p>
      <w:pPr>
        <w:spacing w:after="0" w:line="129" w:lineRule="exact"/>
        <w:rPr>
          <w:sz w:val="20"/>
          <w:szCs w:val="20"/>
          <w:color w:val="auto"/>
        </w:rPr>
      </w:pPr>
    </w:p>
    <w:p>
      <w:pPr>
        <w:ind w:firstLine="1033"/>
        <w:spacing w:after="0" w:line="267" w:lineRule="auto"/>
        <w:rPr>
          <w:sz w:val="20"/>
          <w:szCs w:val="20"/>
          <w:color w:val="auto"/>
        </w:rPr>
      </w:pPr>
      <w:r>
        <w:rPr>
          <w:rFonts w:ascii="Times New Roman" w:cs="Times New Roman" w:eastAsia="Times New Roman" w:hAnsi="Times New Roman"/>
          <w:sz w:val="16"/>
          <w:szCs w:val="16"/>
          <w:color w:val="auto"/>
        </w:rPr>
        <w:t>We believe that Software NDR provides our management and our investors with insight into our ability to retain and grow revenue from our existing customers, as well as their potential long-term value to us. We also believe the results shown by this metric reflect the stability of our revenue base, which is one of our core competitive strengths. We calculate Software NDR by dividing (a) annualized software revenue recorded in the last month of the measurement period, for example, December for a quarter ending December 31, for unique billing accounts that generated revenue during the corresponding month of the prior year by (b) annualized software revenue as of the corresponding month of the prior year. The calculation includes changes for these billing accounts, such as changes in the solutions purchased, changes in pricing and transaction volume, but does not reflect revenue for new customers added. The calculation excludes: (a) changes in estimates related to the timing of one-time revenue and other revenue, including professional services, and (b) annualized software revenue for smaller customers with annualized software revenue below the threshold of $100,000 for carriers and $4,000 for shops. The customers that do not meet the revenue threshold are small carriers and shops that tend to have different buying behaviors, with a narrower solution focus, and different tenure compared to our core customers (excluded small carriers and shops represent less than 5% of total revenue within these sales channels). Our Software NDR includes carriers and shops who subscribe to our auto physical damage solutions, which account for most of the Company’s revenue, and excludes revenue from smaller emerging solutions with international subsidiaries or other ecosystem solutions, such as parts suppliers and other automotive manufacturers, and also excludes CCC casualty solutions which are largely usage and professional service based.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440" w:type="dxa"/>
            <w:vAlign w:val="bottom"/>
          </w:tcPr>
          <w:p>
            <w:pPr>
              <w:spacing w:after="0"/>
              <w:rPr>
                <w:sz w:val="19"/>
                <w:szCs w:val="19"/>
                <w:color w:val="auto"/>
              </w:rPr>
            </w:pPr>
          </w:p>
        </w:tc>
        <w:tc>
          <w:tcPr>
            <w:tcW w:w="21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6"/>
                <w:szCs w:val="16"/>
                <w:b w:val="1"/>
                <w:bCs w:val="1"/>
                <w:color w:val="auto"/>
              </w:rPr>
              <w:t>Quarter Ending</w:t>
            </w:r>
          </w:p>
        </w:tc>
        <w:tc>
          <w:tcPr>
            <w:tcW w:w="20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80" w:type="dxa"/>
            <w:vAlign w:val="bottom"/>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229"/>
        </w:trPr>
        <w:tc>
          <w:tcPr>
            <w:tcW w:w="5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Software NDR</w:t>
            </w:r>
          </w:p>
        </w:tc>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March 31</w:t>
            </w:r>
          </w:p>
        </w:tc>
        <w:tc>
          <w:tcPr>
            <w:tcW w:w="1200" w:type="dxa"/>
            <w:vAlign w:val="bottom"/>
            <w:gridSpan w:val="2"/>
            <w:shd w:val="clear" w:color="auto" w:fill="CFF0FC"/>
          </w:tcPr>
          <w:p>
            <w:pPr>
              <w:jc w:val="center"/>
              <w:ind w:left="139"/>
              <w:spacing w:after="0"/>
              <w:rPr>
                <w:sz w:val="20"/>
                <w:szCs w:val="20"/>
                <w:color w:val="auto"/>
              </w:rPr>
            </w:pPr>
            <w:r>
              <w:rPr>
                <w:rFonts w:ascii="Times New Roman" w:cs="Times New Roman" w:eastAsia="Times New Roman" w:hAnsi="Times New Roman"/>
                <w:sz w:val="16"/>
                <w:szCs w:val="16"/>
                <w:color w:val="auto"/>
              </w:rPr>
              <w:t>106%</w:t>
            </w:r>
          </w:p>
        </w:tc>
        <w:tc>
          <w:tcPr>
            <w:tcW w:w="1200" w:type="dxa"/>
            <w:vAlign w:val="bottom"/>
            <w:gridSpan w:val="2"/>
            <w:shd w:val="clear" w:color="auto" w:fill="CFF0FC"/>
          </w:tcPr>
          <w:p>
            <w:pPr>
              <w:jc w:val="center"/>
              <w:ind w:left="99"/>
              <w:spacing w:after="0"/>
              <w:rPr>
                <w:sz w:val="20"/>
                <w:szCs w:val="20"/>
                <w:color w:val="auto"/>
              </w:rPr>
            </w:pPr>
            <w:r>
              <w:rPr>
                <w:rFonts w:ascii="Times New Roman" w:cs="Times New Roman" w:eastAsia="Times New Roman" w:hAnsi="Times New Roman"/>
                <w:sz w:val="16"/>
                <w:szCs w:val="16"/>
                <w:color w:val="auto"/>
              </w:rPr>
              <w:t>114%</w:t>
            </w:r>
          </w:p>
        </w:tc>
        <w:tc>
          <w:tcPr>
            <w:tcW w:w="1240" w:type="dxa"/>
            <w:vAlign w:val="bottom"/>
            <w:gridSpan w:val="2"/>
            <w:shd w:val="clear" w:color="auto" w:fill="CFF0FC"/>
          </w:tcPr>
          <w:p>
            <w:pPr>
              <w:jc w:val="center"/>
              <w:ind w:left="139"/>
              <w:spacing w:after="0"/>
              <w:rPr>
                <w:sz w:val="20"/>
                <w:szCs w:val="20"/>
                <w:color w:val="auto"/>
              </w:rPr>
            </w:pPr>
            <w:r>
              <w:rPr>
                <w:rFonts w:ascii="Times New Roman" w:cs="Times New Roman" w:eastAsia="Times New Roman" w:hAnsi="Times New Roman"/>
                <w:sz w:val="16"/>
                <w:szCs w:val="16"/>
                <w:color w:val="auto"/>
              </w:rPr>
              <w:t>106%</w:t>
            </w:r>
          </w:p>
        </w:tc>
      </w:tr>
      <w:tr>
        <w:trPr>
          <w:trHeight w:val="220"/>
        </w:trPr>
        <w:tc>
          <w:tcPr>
            <w:tcW w:w="544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June 30</w:t>
            </w:r>
          </w:p>
        </w:tc>
        <w:tc>
          <w:tcPr>
            <w:tcW w:w="1200" w:type="dxa"/>
            <w:vAlign w:val="bottom"/>
            <w:gridSpan w:val="2"/>
          </w:tcPr>
          <w:p>
            <w:pPr>
              <w:jc w:val="center"/>
              <w:ind w:left="139"/>
              <w:spacing w:after="0"/>
              <w:rPr>
                <w:sz w:val="20"/>
                <w:szCs w:val="20"/>
                <w:color w:val="auto"/>
              </w:rPr>
            </w:pPr>
            <w:r>
              <w:rPr>
                <w:rFonts w:ascii="Times New Roman" w:cs="Times New Roman" w:eastAsia="Times New Roman" w:hAnsi="Times New Roman"/>
                <w:sz w:val="16"/>
                <w:szCs w:val="16"/>
                <w:color w:val="auto"/>
              </w:rPr>
              <w:t>107%</w:t>
            </w:r>
          </w:p>
        </w:tc>
        <w:tc>
          <w:tcPr>
            <w:tcW w:w="1200" w:type="dxa"/>
            <w:vAlign w:val="bottom"/>
            <w:gridSpan w:val="2"/>
          </w:tcPr>
          <w:p>
            <w:pPr>
              <w:jc w:val="center"/>
              <w:ind w:left="99"/>
              <w:spacing w:after="0"/>
              <w:rPr>
                <w:sz w:val="20"/>
                <w:szCs w:val="20"/>
                <w:color w:val="auto"/>
              </w:rPr>
            </w:pPr>
            <w:r>
              <w:rPr>
                <w:rFonts w:ascii="Times New Roman" w:cs="Times New Roman" w:eastAsia="Times New Roman" w:hAnsi="Times New Roman"/>
                <w:sz w:val="16"/>
                <w:szCs w:val="16"/>
                <w:color w:val="auto"/>
              </w:rPr>
              <w:t>111%</w:t>
            </w:r>
          </w:p>
        </w:tc>
        <w:tc>
          <w:tcPr>
            <w:tcW w:w="1240" w:type="dxa"/>
            <w:vAlign w:val="bottom"/>
            <w:gridSpan w:val="2"/>
          </w:tcPr>
          <w:p>
            <w:pPr>
              <w:jc w:val="center"/>
              <w:ind w:left="139"/>
              <w:spacing w:after="0"/>
              <w:rPr>
                <w:sz w:val="20"/>
                <w:szCs w:val="20"/>
                <w:color w:val="auto"/>
              </w:rPr>
            </w:pPr>
            <w:r>
              <w:rPr>
                <w:rFonts w:ascii="Times New Roman" w:cs="Times New Roman" w:eastAsia="Times New Roman" w:hAnsi="Times New Roman"/>
                <w:sz w:val="16"/>
                <w:szCs w:val="16"/>
                <w:color w:val="auto"/>
              </w:rPr>
              <w:t>110%</w:t>
            </w:r>
          </w:p>
        </w:tc>
      </w:tr>
      <w:tr>
        <w:trPr>
          <w:trHeight w:val="239"/>
        </w:trPr>
        <w:tc>
          <w:tcPr>
            <w:tcW w:w="5440" w:type="dxa"/>
            <w:vAlign w:val="bottom"/>
            <w:shd w:val="clear" w:color="auto" w:fill="CFF0FC"/>
          </w:tcPr>
          <w:p>
            <w:pPr>
              <w:spacing w:after="0"/>
              <w:rPr>
                <w:sz w:val="20"/>
                <w:szCs w:val="20"/>
                <w:color w:val="auto"/>
              </w:rPr>
            </w:pPr>
          </w:p>
        </w:tc>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September 30</w:t>
            </w:r>
          </w:p>
        </w:tc>
        <w:tc>
          <w:tcPr>
            <w:tcW w:w="1200" w:type="dxa"/>
            <w:vAlign w:val="bottom"/>
            <w:gridSpan w:val="2"/>
            <w:shd w:val="clear" w:color="auto" w:fill="CFF0FC"/>
          </w:tcPr>
          <w:p>
            <w:pPr>
              <w:jc w:val="center"/>
              <w:ind w:left="139"/>
              <w:spacing w:after="0"/>
              <w:rPr>
                <w:sz w:val="20"/>
                <w:szCs w:val="20"/>
                <w:color w:val="auto"/>
              </w:rPr>
            </w:pPr>
            <w:r>
              <w:rPr>
                <w:rFonts w:ascii="Times New Roman" w:cs="Times New Roman" w:eastAsia="Times New Roman" w:hAnsi="Times New Roman"/>
                <w:sz w:val="16"/>
                <w:szCs w:val="16"/>
                <w:color w:val="auto"/>
              </w:rPr>
              <w:t>107%</w:t>
            </w:r>
          </w:p>
        </w:tc>
        <w:tc>
          <w:tcPr>
            <w:tcW w:w="1200" w:type="dxa"/>
            <w:vAlign w:val="bottom"/>
            <w:gridSpan w:val="2"/>
            <w:shd w:val="clear" w:color="auto" w:fill="CFF0FC"/>
          </w:tcPr>
          <w:p>
            <w:pPr>
              <w:jc w:val="center"/>
              <w:ind w:left="99"/>
              <w:spacing w:after="0"/>
              <w:rPr>
                <w:sz w:val="20"/>
                <w:szCs w:val="20"/>
                <w:color w:val="auto"/>
              </w:rPr>
            </w:pPr>
            <w:r>
              <w:rPr>
                <w:rFonts w:ascii="Times New Roman" w:cs="Times New Roman" w:eastAsia="Times New Roman" w:hAnsi="Times New Roman"/>
                <w:sz w:val="16"/>
                <w:szCs w:val="16"/>
                <w:color w:val="auto"/>
              </w:rPr>
              <w:t>110%</w:t>
            </w:r>
          </w:p>
        </w:tc>
        <w:tc>
          <w:tcPr>
            <w:tcW w:w="1240" w:type="dxa"/>
            <w:vAlign w:val="bottom"/>
            <w:gridSpan w:val="2"/>
            <w:shd w:val="clear" w:color="auto" w:fill="CFF0FC"/>
          </w:tcPr>
          <w:p>
            <w:pPr>
              <w:jc w:val="center"/>
              <w:ind w:left="139"/>
              <w:spacing w:after="0"/>
              <w:rPr>
                <w:sz w:val="20"/>
                <w:szCs w:val="20"/>
                <w:color w:val="auto"/>
              </w:rPr>
            </w:pPr>
            <w:r>
              <w:rPr>
                <w:rFonts w:ascii="Times New Roman" w:cs="Times New Roman" w:eastAsia="Times New Roman" w:hAnsi="Times New Roman"/>
                <w:sz w:val="16"/>
                <w:szCs w:val="16"/>
                <w:color w:val="auto"/>
              </w:rPr>
              <w:t>113%</w:t>
            </w:r>
          </w:p>
        </w:tc>
      </w:tr>
      <w:tr>
        <w:trPr>
          <w:trHeight w:val="210"/>
        </w:trPr>
        <w:tc>
          <w:tcPr>
            <w:tcW w:w="544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December 31</w:t>
            </w:r>
          </w:p>
        </w:tc>
        <w:tc>
          <w:tcPr>
            <w:tcW w:w="1200" w:type="dxa"/>
            <w:vAlign w:val="bottom"/>
            <w:gridSpan w:val="2"/>
          </w:tcPr>
          <w:p>
            <w:pPr>
              <w:jc w:val="center"/>
              <w:ind w:left="139"/>
              <w:spacing w:after="0"/>
              <w:rPr>
                <w:sz w:val="20"/>
                <w:szCs w:val="20"/>
                <w:color w:val="auto"/>
              </w:rPr>
            </w:pPr>
            <w:r>
              <w:rPr>
                <w:rFonts w:ascii="Times New Roman" w:cs="Times New Roman" w:eastAsia="Times New Roman" w:hAnsi="Times New Roman"/>
                <w:sz w:val="16"/>
                <w:szCs w:val="16"/>
                <w:color w:val="auto"/>
              </w:rPr>
              <w:t>108%</w:t>
            </w:r>
          </w:p>
        </w:tc>
        <w:tc>
          <w:tcPr>
            <w:tcW w:w="1200" w:type="dxa"/>
            <w:vAlign w:val="bottom"/>
            <w:gridSpan w:val="2"/>
          </w:tcPr>
          <w:p>
            <w:pPr>
              <w:jc w:val="center"/>
              <w:ind w:left="99"/>
              <w:spacing w:after="0"/>
              <w:rPr>
                <w:sz w:val="20"/>
                <w:szCs w:val="20"/>
                <w:color w:val="auto"/>
              </w:rPr>
            </w:pPr>
            <w:r>
              <w:rPr>
                <w:rFonts w:ascii="Times New Roman" w:cs="Times New Roman" w:eastAsia="Times New Roman" w:hAnsi="Times New Roman"/>
                <w:sz w:val="16"/>
                <w:szCs w:val="16"/>
                <w:color w:val="auto"/>
              </w:rPr>
              <w:t>106%</w:t>
            </w:r>
          </w:p>
        </w:tc>
        <w:tc>
          <w:tcPr>
            <w:tcW w:w="1240" w:type="dxa"/>
            <w:vAlign w:val="bottom"/>
            <w:gridSpan w:val="2"/>
          </w:tcPr>
          <w:p>
            <w:pPr>
              <w:jc w:val="center"/>
              <w:ind w:left="139"/>
              <w:spacing w:after="0"/>
              <w:rPr>
                <w:sz w:val="20"/>
                <w:szCs w:val="20"/>
                <w:color w:val="auto"/>
              </w:rPr>
            </w:pPr>
            <w:r>
              <w:rPr>
                <w:rFonts w:ascii="Times New Roman" w:cs="Times New Roman" w:eastAsia="Times New Roman" w:hAnsi="Times New Roman"/>
                <w:sz w:val="16"/>
                <w:szCs w:val="16"/>
                <w:color w:val="auto"/>
              </w:rPr>
              <w:t>115%</w:t>
            </w:r>
          </w:p>
        </w:tc>
      </w:tr>
    </w:tbl>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Software GDR</w:t>
      </w:r>
    </w:p>
    <w:p>
      <w:pPr>
        <w:spacing w:after="0" w:line="129" w:lineRule="exact"/>
        <w:rPr>
          <w:sz w:val="20"/>
          <w:szCs w:val="20"/>
          <w:color w:val="auto"/>
        </w:rPr>
      </w:pPr>
    </w:p>
    <w:p>
      <w:pPr>
        <w:ind w:right="60" w:firstLine="1033"/>
        <w:spacing w:after="0" w:line="265" w:lineRule="auto"/>
        <w:rPr>
          <w:sz w:val="20"/>
          <w:szCs w:val="20"/>
          <w:color w:val="auto"/>
        </w:rPr>
      </w:pPr>
      <w:r>
        <w:rPr>
          <w:rFonts w:ascii="Times New Roman" w:cs="Times New Roman" w:eastAsia="Times New Roman" w:hAnsi="Times New Roman"/>
          <w:sz w:val="16"/>
          <w:szCs w:val="16"/>
          <w:color w:val="auto"/>
        </w:rPr>
        <w:t>We believe that Software GDR provides our management and our investors with insight into the value our solutions provide to our customers as represented by our ability to retain our existing customer base. We believe the results shown by this metric reflect the strength and stability of our revenue base, which is one of our core competitive strengths. We calculate Software GDR by dividing (a) annualized software revenue recorded in the last month of the measurement period in the prior year, reduced by annualized software revenue for unique billing accounts that are no longer customers as of the current period end by (b) annualized software revenue as of the corresponding month of the prior year. The calculation reflects only customer losses and does not reflect customer expansion or contraction for these billing accounts and does not reflect revenue for new customer billing accounts added. Our Software GDR calculation represents our annualized software revenue that is retained from the prior year and demonstrates that the vast majority of our customers continue to use our solutions and renew their subscriptions. The calculation excludes: (a) changes in estimates related to the timing of one-time revenue and other revenue, including professional services, and (b) annualized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39" w:name="page40"/>
    <w:bookmarkEnd w:id="39"/>
    <w:p>
      <w:pPr>
        <w:ind w:right="20"/>
        <w:spacing w:after="0" w:line="271" w:lineRule="auto"/>
        <w:rPr>
          <w:sz w:val="20"/>
          <w:szCs w:val="20"/>
          <w:color w:val="auto"/>
        </w:rPr>
      </w:pPr>
      <w:r>
        <w:rPr>
          <w:rFonts w:ascii="Times New Roman" w:cs="Times New Roman" w:eastAsia="Times New Roman" w:hAnsi="Times New Roman"/>
          <w:sz w:val="16"/>
          <w:szCs w:val="16"/>
          <w:color w:val="auto"/>
        </w:rPr>
        <w:t>software revenue for smaller customers with annualized software revenue below the threshold of $100,000 for carriers and $4,000 for shops. The customers that do not meet the revenue threshold are small carriers and shops that tend to have different buying behaviors, with a narrower solution focus, and different tenure compared to our core customers (excluded small carriers and shops which represent less than 5% of total revenue within these sales channels). Our Software GDR includes carriers and shops who subscribe to our auto physical damage solutions, which account for most of the Company’s revenue, and excludes revenue from smaller emerging solutions with international subsidiaries or other ecosystem solutions, such as parts suppliers and other automotive manufacturers, and excludes CCC casualty solutions which are largely usage and professional service based.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440" w:type="dxa"/>
            <w:vAlign w:val="bottom"/>
          </w:tcPr>
          <w:p>
            <w:pPr>
              <w:spacing w:after="0"/>
              <w:rPr>
                <w:sz w:val="19"/>
                <w:szCs w:val="19"/>
                <w:color w:val="auto"/>
              </w:rPr>
            </w:pPr>
          </w:p>
        </w:tc>
        <w:tc>
          <w:tcPr>
            <w:tcW w:w="21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6"/>
                <w:szCs w:val="16"/>
                <w:b w:val="1"/>
                <w:bCs w:val="1"/>
                <w:color w:val="auto"/>
              </w:rPr>
              <w:t>Quarter Ending</w:t>
            </w:r>
          </w:p>
        </w:tc>
        <w:tc>
          <w:tcPr>
            <w:tcW w:w="20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80" w:type="dxa"/>
            <w:vAlign w:val="bottom"/>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229"/>
        </w:trPr>
        <w:tc>
          <w:tcPr>
            <w:tcW w:w="5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Software GDR</w:t>
            </w:r>
          </w:p>
        </w:tc>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March 31</w:t>
            </w:r>
          </w:p>
        </w:tc>
        <w:tc>
          <w:tcPr>
            <w:tcW w:w="1200" w:type="dxa"/>
            <w:vAlign w:val="bottom"/>
            <w:gridSpan w:val="2"/>
            <w:shd w:val="clear" w:color="auto" w:fill="CFF0FC"/>
          </w:tcPr>
          <w:p>
            <w:pPr>
              <w:jc w:val="center"/>
              <w:ind w:left="139"/>
              <w:spacing w:after="0"/>
              <w:rPr>
                <w:sz w:val="20"/>
                <w:szCs w:val="20"/>
                <w:color w:val="auto"/>
              </w:rPr>
            </w:pPr>
            <w:r>
              <w:rPr>
                <w:rFonts w:ascii="Times New Roman" w:cs="Times New Roman" w:eastAsia="Times New Roman" w:hAnsi="Times New Roman"/>
                <w:sz w:val="16"/>
                <w:szCs w:val="16"/>
                <w:color w:val="auto"/>
              </w:rPr>
              <w:t>99%</w:t>
            </w:r>
          </w:p>
        </w:tc>
        <w:tc>
          <w:tcPr>
            <w:tcW w:w="1200" w:type="dxa"/>
            <w:vAlign w:val="bottom"/>
            <w:gridSpan w:val="2"/>
            <w:shd w:val="clear" w:color="auto" w:fill="CFF0FC"/>
          </w:tcPr>
          <w:p>
            <w:pPr>
              <w:jc w:val="center"/>
              <w:ind w:left="99"/>
              <w:spacing w:after="0"/>
              <w:rPr>
                <w:sz w:val="20"/>
                <w:szCs w:val="20"/>
                <w:color w:val="auto"/>
              </w:rPr>
            </w:pPr>
            <w:r>
              <w:rPr>
                <w:rFonts w:ascii="Times New Roman" w:cs="Times New Roman" w:eastAsia="Times New Roman" w:hAnsi="Times New Roman"/>
                <w:sz w:val="16"/>
                <w:szCs w:val="16"/>
                <w:color w:val="auto"/>
              </w:rPr>
              <w:t>99%</w:t>
            </w:r>
          </w:p>
        </w:tc>
        <w:tc>
          <w:tcPr>
            <w:tcW w:w="1240" w:type="dxa"/>
            <w:vAlign w:val="bottom"/>
            <w:gridSpan w:val="2"/>
            <w:shd w:val="clear" w:color="auto" w:fill="CFF0FC"/>
          </w:tcPr>
          <w:p>
            <w:pPr>
              <w:jc w:val="center"/>
              <w:ind w:left="139"/>
              <w:spacing w:after="0"/>
              <w:rPr>
                <w:sz w:val="20"/>
                <w:szCs w:val="20"/>
                <w:color w:val="auto"/>
              </w:rPr>
            </w:pPr>
            <w:r>
              <w:rPr>
                <w:rFonts w:ascii="Times New Roman" w:cs="Times New Roman" w:eastAsia="Times New Roman" w:hAnsi="Times New Roman"/>
                <w:sz w:val="16"/>
                <w:szCs w:val="16"/>
                <w:color w:val="auto"/>
              </w:rPr>
              <w:t>98%</w:t>
            </w:r>
          </w:p>
        </w:tc>
      </w:tr>
      <w:tr>
        <w:trPr>
          <w:trHeight w:val="220"/>
        </w:trPr>
        <w:tc>
          <w:tcPr>
            <w:tcW w:w="544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June 30</w:t>
            </w:r>
          </w:p>
        </w:tc>
        <w:tc>
          <w:tcPr>
            <w:tcW w:w="1200" w:type="dxa"/>
            <w:vAlign w:val="bottom"/>
            <w:gridSpan w:val="2"/>
          </w:tcPr>
          <w:p>
            <w:pPr>
              <w:jc w:val="center"/>
              <w:ind w:left="139"/>
              <w:spacing w:after="0"/>
              <w:rPr>
                <w:sz w:val="20"/>
                <w:szCs w:val="20"/>
                <w:color w:val="auto"/>
              </w:rPr>
            </w:pPr>
            <w:r>
              <w:rPr>
                <w:rFonts w:ascii="Times New Roman" w:cs="Times New Roman" w:eastAsia="Times New Roman" w:hAnsi="Times New Roman"/>
                <w:sz w:val="16"/>
                <w:szCs w:val="16"/>
                <w:color w:val="auto"/>
              </w:rPr>
              <w:t>99%</w:t>
            </w:r>
          </w:p>
        </w:tc>
        <w:tc>
          <w:tcPr>
            <w:tcW w:w="1200" w:type="dxa"/>
            <w:vAlign w:val="bottom"/>
            <w:gridSpan w:val="2"/>
          </w:tcPr>
          <w:p>
            <w:pPr>
              <w:jc w:val="center"/>
              <w:ind w:left="99"/>
              <w:spacing w:after="0"/>
              <w:rPr>
                <w:sz w:val="20"/>
                <w:szCs w:val="20"/>
                <w:color w:val="auto"/>
              </w:rPr>
            </w:pPr>
            <w:r>
              <w:rPr>
                <w:rFonts w:ascii="Times New Roman" w:cs="Times New Roman" w:eastAsia="Times New Roman" w:hAnsi="Times New Roman"/>
                <w:sz w:val="16"/>
                <w:szCs w:val="16"/>
                <w:color w:val="auto"/>
              </w:rPr>
              <w:t>99%</w:t>
            </w:r>
          </w:p>
        </w:tc>
        <w:tc>
          <w:tcPr>
            <w:tcW w:w="1240" w:type="dxa"/>
            <w:vAlign w:val="bottom"/>
            <w:gridSpan w:val="2"/>
          </w:tcPr>
          <w:p>
            <w:pPr>
              <w:jc w:val="center"/>
              <w:ind w:left="139"/>
              <w:spacing w:after="0"/>
              <w:rPr>
                <w:sz w:val="20"/>
                <w:szCs w:val="20"/>
                <w:color w:val="auto"/>
              </w:rPr>
            </w:pPr>
            <w:r>
              <w:rPr>
                <w:rFonts w:ascii="Times New Roman" w:cs="Times New Roman" w:eastAsia="Times New Roman" w:hAnsi="Times New Roman"/>
                <w:sz w:val="16"/>
                <w:szCs w:val="16"/>
                <w:color w:val="auto"/>
              </w:rPr>
              <w:t>98%</w:t>
            </w:r>
          </w:p>
        </w:tc>
      </w:tr>
      <w:tr>
        <w:trPr>
          <w:trHeight w:val="239"/>
        </w:trPr>
        <w:tc>
          <w:tcPr>
            <w:tcW w:w="5440" w:type="dxa"/>
            <w:vAlign w:val="bottom"/>
            <w:shd w:val="clear" w:color="auto" w:fill="CFF0FC"/>
          </w:tcPr>
          <w:p>
            <w:pPr>
              <w:spacing w:after="0"/>
              <w:rPr>
                <w:sz w:val="20"/>
                <w:szCs w:val="20"/>
                <w:color w:val="auto"/>
              </w:rPr>
            </w:pPr>
          </w:p>
        </w:tc>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September 30</w:t>
            </w:r>
          </w:p>
        </w:tc>
        <w:tc>
          <w:tcPr>
            <w:tcW w:w="1200" w:type="dxa"/>
            <w:vAlign w:val="bottom"/>
            <w:gridSpan w:val="2"/>
            <w:shd w:val="clear" w:color="auto" w:fill="CFF0FC"/>
          </w:tcPr>
          <w:p>
            <w:pPr>
              <w:jc w:val="center"/>
              <w:ind w:left="139"/>
              <w:spacing w:after="0"/>
              <w:rPr>
                <w:sz w:val="20"/>
                <w:szCs w:val="20"/>
                <w:color w:val="auto"/>
              </w:rPr>
            </w:pPr>
            <w:r>
              <w:rPr>
                <w:rFonts w:ascii="Times New Roman" w:cs="Times New Roman" w:eastAsia="Times New Roman" w:hAnsi="Times New Roman"/>
                <w:sz w:val="16"/>
                <w:szCs w:val="16"/>
                <w:color w:val="auto"/>
              </w:rPr>
              <w:t>98%</w:t>
            </w:r>
          </w:p>
        </w:tc>
        <w:tc>
          <w:tcPr>
            <w:tcW w:w="1200" w:type="dxa"/>
            <w:vAlign w:val="bottom"/>
            <w:gridSpan w:val="2"/>
            <w:shd w:val="clear" w:color="auto" w:fill="CFF0FC"/>
          </w:tcPr>
          <w:p>
            <w:pPr>
              <w:jc w:val="center"/>
              <w:ind w:left="99"/>
              <w:spacing w:after="0"/>
              <w:rPr>
                <w:sz w:val="20"/>
                <w:szCs w:val="20"/>
                <w:color w:val="auto"/>
              </w:rPr>
            </w:pPr>
            <w:r>
              <w:rPr>
                <w:rFonts w:ascii="Times New Roman" w:cs="Times New Roman" w:eastAsia="Times New Roman" w:hAnsi="Times New Roman"/>
                <w:sz w:val="16"/>
                <w:szCs w:val="16"/>
                <w:color w:val="auto"/>
              </w:rPr>
              <w:t>99%</w:t>
            </w:r>
          </w:p>
        </w:tc>
        <w:tc>
          <w:tcPr>
            <w:tcW w:w="1240" w:type="dxa"/>
            <w:vAlign w:val="bottom"/>
            <w:gridSpan w:val="2"/>
            <w:shd w:val="clear" w:color="auto" w:fill="CFF0FC"/>
          </w:tcPr>
          <w:p>
            <w:pPr>
              <w:jc w:val="center"/>
              <w:ind w:left="139"/>
              <w:spacing w:after="0"/>
              <w:rPr>
                <w:sz w:val="20"/>
                <w:szCs w:val="20"/>
                <w:color w:val="auto"/>
              </w:rPr>
            </w:pPr>
            <w:r>
              <w:rPr>
                <w:rFonts w:ascii="Times New Roman" w:cs="Times New Roman" w:eastAsia="Times New Roman" w:hAnsi="Times New Roman"/>
                <w:sz w:val="16"/>
                <w:szCs w:val="16"/>
                <w:color w:val="auto"/>
              </w:rPr>
              <w:t>98%</w:t>
            </w:r>
          </w:p>
        </w:tc>
      </w:tr>
      <w:tr>
        <w:trPr>
          <w:trHeight w:val="210"/>
        </w:trPr>
        <w:tc>
          <w:tcPr>
            <w:tcW w:w="544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December 31</w:t>
            </w:r>
          </w:p>
        </w:tc>
        <w:tc>
          <w:tcPr>
            <w:tcW w:w="1200" w:type="dxa"/>
            <w:vAlign w:val="bottom"/>
            <w:gridSpan w:val="2"/>
          </w:tcPr>
          <w:p>
            <w:pPr>
              <w:jc w:val="center"/>
              <w:ind w:left="139"/>
              <w:spacing w:after="0"/>
              <w:rPr>
                <w:sz w:val="20"/>
                <w:szCs w:val="20"/>
                <w:color w:val="auto"/>
              </w:rPr>
            </w:pPr>
            <w:r>
              <w:rPr>
                <w:rFonts w:ascii="Times New Roman" w:cs="Times New Roman" w:eastAsia="Times New Roman" w:hAnsi="Times New Roman"/>
                <w:sz w:val="16"/>
                <w:szCs w:val="16"/>
                <w:color w:val="auto"/>
              </w:rPr>
              <w:t>99%</w:t>
            </w:r>
          </w:p>
        </w:tc>
        <w:tc>
          <w:tcPr>
            <w:tcW w:w="1200" w:type="dxa"/>
            <w:vAlign w:val="bottom"/>
            <w:gridSpan w:val="2"/>
          </w:tcPr>
          <w:p>
            <w:pPr>
              <w:jc w:val="center"/>
              <w:ind w:left="99"/>
              <w:spacing w:after="0"/>
              <w:rPr>
                <w:sz w:val="20"/>
                <w:szCs w:val="20"/>
                <w:color w:val="auto"/>
              </w:rPr>
            </w:pPr>
            <w:r>
              <w:rPr>
                <w:rFonts w:ascii="Times New Roman" w:cs="Times New Roman" w:eastAsia="Times New Roman" w:hAnsi="Times New Roman"/>
                <w:sz w:val="16"/>
                <w:szCs w:val="16"/>
                <w:color w:val="auto"/>
              </w:rPr>
              <w:t>99%</w:t>
            </w:r>
          </w:p>
        </w:tc>
        <w:tc>
          <w:tcPr>
            <w:tcW w:w="1240" w:type="dxa"/>
            <w:vAlign w:val="bottom"/>
            <w:gridSpan w:val="2"/>
          </w:tcPr>
          <w:p>
            <w:pPr>
              <w:jc w:val="center"/>
              <w:ind w:left="139"/>
              <w:spacing w:after="0"/>
              <w:rPr>
                <w:sz w:val="20"/>
                <w:szCs w:val="20"/>
                <w:color w:val="auto"/>
              </w:rPr>
            </w:pPr>
            <w:r>
              <w:rPr>
                <w:rFonts w:ascii="Times New Roman" w:cs="Times New Roman" w:eastAsia="Times New Roman" w:hAnsi="Times New Roman"/>
                <w:sz w:val="16"/>
                <w:szCs w:val="16"/>
                <w:color w:val="auto"/>
              </w:rPr>
              <w:t>98%</w:t>
            </w: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Factors Affecting Operating Results</w:t>
      </w:r>
    </w:p>
    <w:p>
      <w:pPr>
        <w:spacing w:after="0" w:line="12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The following are key factors affecting our operating results in the years ending December 31, 2023, 2022 and 2021:</w:t>
      </w:r>
    </w:p>
    <w:p>
      <w:pPr>
        <w:spacing w:after="0" w:line="123" w:lineRule="exact"/>
        <w:rPr>
          <w:sz w:val="20"/>
          <w:szCs w:val="20"/>
          <w:color w:val="auto"/>
        </w:rPr>
      </w:pPr>
    </w:p>
    <w:p>
      <w:pPr>
        <w:ind w:left="1020" w:right="40" w:hanging="503"/>
        <w:spacing w:after="0" w:line="277" w:lineRule="auto"/>
        <w:tabs>
          <w:tab w:leader="none" w:pos="10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Conversion and implementation of new customers: </w:t>
      </w:r>
      <w:r>
        <w:rPr>
          <w:rFonts w:ascii="Times New Roman" w:cs="Times New Roman" w:eastAsia="Times New Roman" w:hAnsi="Times New Roman"/>
          <w:sz w:val="16"/>
          <w:szCs w:val="16"/>
          <w:color w:val="auto"/>
        </w:rPr>
        <w:t>We focus significant resources on attracting and onboarding new customers across the various segments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 the P&amp;C insurance economy we serve. We have a strong track record of new customer conversion across all our markets. On average, customer implementations take less than three months to complete. A significant portion of our sales force is focused on converting new customer accounts across our industry, and this will continue to be a focus of our business for the foreseeable future.</w:t>
      </w:r>
    </w:p>
    <w:p>
      <w:pPr>
        <w:spacing w:after="0" w:line="68" w:lineRule="exact"/>
        <w:rPr>
          <w:rFonts w:ascii="Times New Roman" w:cs="Times New Roman" w:eastAsia="Times New Roman" w:hAnsi="Times New Roman"/>
          <w:sz w:val="16"/>
          <w:szCs w:val="16"/>
          <w:color w:val="auto"/>
        </w:rPr>
      </w:pPr>
    </w:p>
    <w:p>
      <w:pPr>
        <w:ind w:left="1020" w:right="120" w:hanging="503"/>
        <w:spacing w:after="0" w:line="277" w:lineRule="auto"/>
        <w:tabs>
          <w:tab w:leader="none" w:pos="10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Long-term customer relationships: </w:t>
      </w:r>
      <w:r>
        <w:rPr>
          <w:rFonts w:ascii="Times New Roman" w:cs="Times New Roman" w:eastAsia="Times New Roman" w:hAnsi="Times New Roman"/>
          <w:sz w:val="16"/>
          <w:szCs w:val="16"/>
          <w:color w:val="auto"/>
        </w:rPr>
        <w:t>We have strong customer relationships in the end-markets we serve, and these relationships are a key component of 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success given the long-term nature of our contracts and the interconnectedness of our network. We generate revenue through the sale of SaaS subscriptions and our average contract is approximately three to five years in duration. In 2023, our national carrier customers included 27 of the top 30 automotive insurers based on DWP, with average customer relationships spanning more than 10 years, as evidenced by our historical Software GDR of 98%-99%.</w:t>
      </w:r>
    </w:p>
    <w:p>
      <w:pPr>
        <w:spacing w:after="0" w:line="68" w:lineRule="exact"/>
        <w:rPr>
          <w:rFonts w:ascii="Times New Roman" w:cs="Times New Roman" w:eastAsia="Times New Roman" w:hAnsi="Times New Roman"/>
          <w:sz w:val="16"/>
          <w:szCs w:val="16"/>
          <w:color w:val="auto"/>
        </w:rPr>
      </w:pPr>
    </w:p>
    <w:p>
      <w:pPr>
        <w:ind w:left="1020" w:right="180" w:hanging="503"/>
        <w:spacing w:after="0" w:line="274" w:lineRule="auto"/>
        <w:tabs>
          <w:tab w:leader="none" w:pos="10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Expansion of solution adoption from existing customers: </w:t>
      </w:r>
      <w:r>
        <w:rPr>
          <w:rFonts w:ascii="Times New Roman" w:cs="Times New Roman" w:eastAsia="Times New Roman" w:hAnsi="Times New Roman"/>
          <w:sz w:val="16"/>
          <w:szCs w:val="16"/>
          <w:color w:val="auto"/>
        </w:rPr>
        <w:t>A central part of our strategy is expanding solution adoption across our existing customer base.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We have developed long-term relationships with our customers and have a proven track record of successfully cross-selling product offerings. We have the opportunity to realize incremental value by selling additional functionality to customers that do not currently utilize our full solution portfolio. As we innovate and bring new technology and solutions to market, we also have the opportunity to realize incremental value by selling new software solutions to our existing customer base. Capitalizing on this opportunity is a significant driver of our revenue growth and Software NDR.</w:t>
      </w:r>
    </w:p>
    <w:p>
      <w:pPr>
        <w:spacing w:after="0" w:line="70" w:lineRule="exact"/>
        <w:rPr>
          <w:rFonts w:ascii="Times New Roman" w:cs="Times New Roman" w:eastAsia="Times New Roman" w:hAnsi="Times New Roman"/>
          <w:sz w:val="16"/>
          <w:szCs w:val="16"/>
          <w:color w:val="auto"/>
        </w:rPr>
      </w:pPr>
    </w:p>
    <w:p>
      <w:pPr>
        <w:jc w:val="both"/>
        <w:ind w:left="1020" w:right="40" w:hanging="503"/>
        <w:spacing w:after="0" w:line="269" w:lineRule="auto"/>
        <w:tabs>
          <w:tab w:leader="none" w:pos="10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Investment in R&amp;D: </w:t>
      </w:r>
      <w:r>
        <w:rPr>
          <w:rFonts w:ascii="Times New Roman" w:cs="Times New Roman" w:eastAsia="Times New Roman" w:hAnsi="Times New Roman"/>
          <w:sz w:val="16"/>
          <w:szCs w:val="16"/>
          <w:color w:val="auto"/>
        </w:rPr>
        <w:t>We have a strong track record of innovation and new solution delivery with our customers. We remain committed to delivering market-leading technology including AI solutions for the P&amp;C insurance economy. We believe that maintaining our software solution leadership is imperative to our growth plan. As a result, we intend to continue making significant investments in research and development to improve and expand our software solutions.</w:t>
      </w:r>
    </w:p>
    <w:p>
      <w:pPr>
        <w:ind w:left="1020" w:right="220"/>
        <w:spacing w:after="0" w:line="27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research and development expenses totaled $173.1 million, $157.0 million and $166.0 million in the years ended December 31, 2023, 2022 and 2021, respectively. In 2022, the decrease in our R&amp;D was primarily due to a reduction in stock-based compensation related to the Business Combination. We expect that research and development will remain a key investment area for the foreseeable future.</w:t>
      </w:r>
    </w:p>
    <w:p>
      <w:pPr>
        <w:spacing w:after="0" w:line="68" w:lineRule="exact"/>
        <w:rPr>
          <w:rFonts w:ascii="Times New Roman" w:cs="Times New Roman" w:eastAsia="Times New Roman" w:hAnsi="Times New Roman"/>
          <w:sz w:val="16"/>
          <w:szCs w:val="16"/>
          <w:color w:val="auto"/>
        </w:rPr>
      </w:pPr>
    </w:p>
    <w:p>
      <w:pPr>
        <w:ind w:left="1020" w:hanging="503"/>
        <w:spacing w:after="0" w:line="277" w:lineRule="auto"/>
        <w:tabs>
          <w:tab w:leader="none" w:pos="10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Investment in Platform, Privacy, and Security: </w:t>
      </w:r>
      <w:r>
        <w:rPr>
          <w:rFonts w:ascii="Times New Roman" w:cs="Times New Roman" w:eastAsia="Times New Roman" w:hAnsi="Times New Roman"/>
          <w:sz w:val="16"/>
          <w:szCs w:val="16"/>
          <w:color w:val="auto"/>
        </w:rPr>
        <w:t>Our technology platform is imperative to our strategy as it enables successful customer implementations,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new software delivery, and ongoing performance and delivery. In addition to our investments in R&amp;D, we invest in platform infrastructure, maintenance, privacy, and security protocols to enable performance across our technology platform. We expect investment in these areas to continue to increase in absolute dollars for the foreseeable future.</w:t>
      </w:r>
    </w:p>
    <w:p>
      <w:pPr>
        <w:spacing w:after="0" w:line="68" w:lineRule="exact"/>
        <w:rPr>
          <w:rFonts w:ascii="Times New Roman" w:cs="Times New Roman" w:eastAsia="Times New Roman" w:hAnsi="Times New Roman"/>
          <w:sz w:val="16"/>
          <w:szCs w:val="16"/>
          <w:color w:val="auto"/>
        </w:rPr>
      </w:pPr>
    </w:p>
    <w:p>
      <w:pPr>
        <w:ind w:left="1020" w:right="60" w:hanging="503"/>
        <w:spacing w:after="0" w:line="272" w:lineRule="auto"/>
        <w:tabs>
          <w:tab w:leader="none" w:pos="10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Investment in Sales and Marketing: </w:t>
      </w:r>
      <w:r>
        <w:rPr>
          <w:rFonts w:ascii="Times New Roman" w:cs="Times New Roman" w:eastAsia="Times New Roman" w:hAnsi="Times New Roman"/>
          <w:sz w:val="16"/>
          <w:szCs w:val="16"/>
          <w:color w:val="auto"/>
        </w:rPr>
        <w:t>Our sales and marketing efforts are a key component of our growth strategy. Our investments in this area have enabled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us to build and sustain our customer base while creating long-term customer relationships. We plan to continue to invest in our sales and marketing efforts, including adding sales personnel and expanding marketing activities, to support our business growth. Our sales and marketing expenses totaled $140.9 million, $119.6 million and $148.9 million, in the years ended December 31, 2023, 2022 and 2021, respectively. In 2022, the decrease in our sales and marketing was primarily due to a reduction in stock-based compensation related to the Business Combination. As the business continues to grow, we expect sales and marketing expenses to increase in absolute dollars for the foreseeable future.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Components of Results of Operations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w:t>
      </w:r>
    </w:p>
    <w:p>
      <w:pPr>
        <w:spacing w:after="0" w:line="129" w:lineRule="exact"/>
        <w:rPr>
          <w:sz w:val="20"/>
          <w:szCs w:val="20"/>
          <w:color w:val="auto"/>
        </w:rPr>
      </w:pPr>
    </w:p>
    <w:p>
      <w:pPr>
        <w:ind w:firstLine="1033"/>
        <w:spacing w:after="0" w:line="265" w:lineRule="auto"/>
        <w:rPr>
          <w:sz w:val="20"/>
          <w:szCs w:val="20"/>
          <w:color w:val="auto"/>
        </w:rPr>
      </w:pPr>
      <w:r>
        <w:rPr>
          <w:rFonts w:ascii="Times New Roman" w:cs="Times New Roman" w:eastAsia="Times New Roman" w:hAnsi="Times New Roman"/>
          <w:sz w:val="16"/>
          <w:szCs w:val="16"/>
          <w:color w:val="auto"/>
        </w:rPr>
        <w:t>Revenue is derived from the sale of SaaS subscriptions and other revenue, primarily professional and other non-software services. Software subscription revenues are comprised of fees from customers for the right to use the hosted software over the contract period without taking possession of the software. These revenues are billed on either a subscription or transactional basis with subscription revenue recognized ratably over the contract period and transactional revenue recognized when the transaction for the related service occurs. We generally invoice software subscription agreements monthly either in advance or in arrears, over the subscription period. Software subscription revenue accounted for $830.1 million, $752.5 million and $662.3 million or 96% of total revenue during the years ended December 31, 2023, 2022 and 2021, respectively. We continue to expect software subscription revenue to be a high percentage of total revenue as software subscription revenue continues to be a key strategic priority.</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40" w:name="page41"/>
    <w:bookmarkEnd w:id="40"/>
    <w:p>
      <w:pPr>
        <w:jc w:val="both"/>
        <w:ind w:right="460" w:firstLine="1033"/>
        <w:spacing w:after="0" w:line="281" w:lineRule="auto"/>
        <w:rPr>
          <w:sz w:val="20"/>
          <w:szCs w:val="20"/>
          <w:color w:val="auto"/>
        </w:rPr>
      </w:pPr>
      <w:r>
        <w:rPr>
          <w:rFonts w:ascii="Times New Roman" w:cs="Times New Roman" w:eastAsia="Times New Roman" w:hAnsi="Times New Roman"/>
          <w:sz w:val="16"/>
          <w:szCs w:val="16"/>
          <w:color w:val="auto"/>
        </w:rPr>
        <w:t>Other revenue primarily consists of professional services and other non-software services revenue that is generally transaction-based (where a fee per transaction is charged). Revenues related to such services that are billed on a transaction basis are recognized when the transaction for the related service occurs, in an amount that reflects the consideration the Company expects to be entitled to in exchange for those services.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Costs and Expenses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Cost of Revenues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Cost of Revenues, Exclusive of Amortization and Impairment of Acquired Technologies</w:t>
      </w:r>
    </w:p>
    <w:p>
      <w:pPr>
        <w:spacing w:after="0" w:line="129" w:lineRule="exact"/>
        <w:rPr>
          <w:sz w:val="20"/>
          <w:szCs w:val="20"/>
          <w:color w:val="auto"/>
        </w:rPr>
      </w:pPr>
    </w:p>
    <w:p>
      <w:pPr>
        <w:ind w:right="60" w:firstLine="1033"/>
        <w:spacing w:after="0" w:line="271" w:lineRule="auto"/>
        <w:rPr>
          <w:sz w:val="20"/>
          <w:szCs w:val="20"/>
          <w:color w:val="auto"/>
        </w:rPr>
      </w:pPr>
      <w:r>
        <w:rPr>
          <w:rFonts w:ascii="Times New Roman" w:cs="Times New Roman" w:eastAsia="Times New Roman" w:hAnsi="Times New Roman"/>
          <w:sz w:val="16"/>
          <w:szCs w:val="16"/>
          <w:color w:val="auto"/>
        </w:rPr>
        <w:t>These costs include costs of software subscription and professional services revenue. Our cost of revenues is primarily comprised of personnel costs, including stock-based compensation and costs of external resources used in the delivery of services to customers, including software configuration, integration services, and customer support activities, third party costs related to hosting the Company's software for its customers, internal support of production infrastructure, information technology (“IT”) security and production environment expenses, depreciation expense, cost of software production, and license and royalty fees paid to third parties. We expect cost of revenues, exclusive of amortization and impairment of acquired technologies, to increase in absolute dollars as we continue to hire personnel, require additional cloud infrastructure and incur data licensing and royalty fees in support of our revenue growth.</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Amortization of Acquired Technologies</w:t>
      </w:r>
    </w:p>
    <w:p>
      <w:pPr>
        <w:spacing w:after="0" w:line="12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We amortize to cost of revenues the capitalized costs of technologies acquired in connection with business acquisitions.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Impairment of Acquired Technologies</w:t>
      </w:r>
    </w:p>
    <w:p>
      <w:pPr>
        <w:spacing w:after="0" w:line="12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Impairment of acquired technologies consists of the impairment charges recognized on our China reporting unit's acquired technologies intangible assets.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Operating expenses</w:t>
      </w:r>
    </w:p>
    <w:p>
      <w:pPr>
        <w:spacing w:after="0" w:line="13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Operating expenses are categorized as follows: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Research and Development</w:t>
      </w:r>
    </w:p>
    <w:p>
      <w:pPr>
        <w:spacing w:after="0" w:line="129" w:lineRule="exact"/>
        <w:rPr>
          <w:sz w:val="20"/>
          <w:szCs w:val="20"/>
          <w:color w:val="auto"/>
        </w:rPr>
      </w:pPr>
    </w:p>
    <w:p>
      <w:pPr>
        <w:jc w:val="both"/>
        <w:ind w:right="20" w:firstLine="1033"/>
        <w:spacing w:after="0" w:line="281" w:lineRule="auto"/>
        <w:rPr>
          <w:sz w:val="20"/>
          <w:szCs w:val="20"/>
          <w:color w:val="auto"/>
        </w:rPr>
      </w:pPr>
      <w:r>
        <w:rPr>
          <w:rFonts w:ascii="Times New Roman" w:cs="Times New Roman" w:eastAsia="Times New Roman" w:hAnsi="Times New Roman"/>
          <w:sz w:val="16"/>
          <w:szCs w:val="16"/>
          <w:color w:val="auto"/>
        </w:rPr>
        <w:t>Our research and development expenses consist primarily of personnel-related costs, including stock-based compensation, and costs of external development resources involved in the engineering, design and development of new solutions, as well as expenses associated with significant ongoing improvements to existing solutions. Research and development expenses also include costs for certain IT expenses supporting development environments.</w:t>
      </w:r>
    </w:p>
    <w:p>
      <w:pPr>
        <w:spacing w:after="0" w:line="69" w:lineRule="exact"/>
        <w:rPr>
          <w:sz w:val="20"/>
          <w:szCs w:val="20"/>
          <w:color w:val="auto"/>
        </w:rPr>
      </w:pPr>
    </w:p>
    <w:p>
      <w:pPr>
        <w:ind w:right="680" w:firstLine="1033"/>
        <w:spacing w:after="0" w:line="298" w:lineRule="auto"/>
        <w:rPr>
          <w:sz w:val="20"/>
          <w:szCs w:val="20"/>
          <w:color w:val="auto"/>
        </w:rPr>
      </w:pPr>
      <w:r>
        <w:rPr>
          <w:rFonts w:ascii="Times New Roman" w:cs="Times New Roman" w:eastAsia="Times New Roman" w:hAnsi="Times New Roman"/>
          <w:sz w:val="16"/>
          <w:szCs w:val="16"/>
          <w:color w:val="auto"/>
        </w:rPr>
        <w:t>We capitalize research and development costs associated with the software development of our new and enhanced customer solutions and platform development. Research and development costs, other than software development costs qualifying for capitalization, are expensed as incurred.</w:t>
      </w:r>
    </w:p>
    <w:p>
      <w:pPr>
        <w:spacing w:after="0" w:line="56" w:lineRule="exact"/>
        <w:rPr>
          <w:sz w:val="20"/>
          <w:szCs w:val="20"/>
          <w:color w:val="auto"/>
        </w:rPr>
      </w:pPr>
    </w:p>
    <w:p>
      <w:pPr>
        <w:ind w:right="220" w:firstLine="1033"/>
        <w:spacing w:after="0" w:line="298" w:lineRule="auto"/>
        <w:rPr>
          <w:sz w:val="20"/>
          <w:szCs w:val="20"/>
          <w:color w:val="auto"/>
        </w:rPr>
      </w:pPr>
      <w:r>
        <w:rPr>
          <w:rFonts w:ascii="Times New Roman" w:cs="Times New Roman" w:eastAsia="Times New Roman" w:hAnsi="Times New Roman"/>
          <w:sz w:val="16"/>
          <w:szCs w:val="16"/>
          <w:color w:val="auto"/>
        </w:rPr>
        <w:t>We expect research and development expenses, excluding stock-based compensation, to increase in absolute dollars as we continue to dedicate substantial resources to develop, improve and expand the functionality of our solutions.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Selling and Marketing</w:t>
      </w:r>
    </w:p>
    <w:p>
      <w:pPr>
        <w:spacing w:after="0" w:line="129" w:lineRule="exact"/>
        <w:rPr>
          <w:sz w:val="20"/>
          <w:szCs w:val="20"/>
          <w:color w:val="auto"/>
        </w:rPr>
      </w:pPr>
    </w:p>
    <w:p>
      <w:pPr>
        <w:ind w:right="380" w:firstLine="1033"/>
        <w:spacing w:after="0" w:line="298" w:lineRule="auto"/>
        <w:rPr>
          <w:sz w:val="20"/>
          <w:szCs w:val="20"/>
          <w:color w:val="auto"/>
        </w:rPr>
      </w:pPr>
      <w:r>
        <w:rPr>
          <w:rFonts w:ascii="Times New Roman" w:cs="Times New Roman" w:eastAsia="Times New Roman" w:hAnsi="Times New Roman"/>
          <w:sz w:val="16"/>
          <w:szCs w:val="16"/>
          <w:color w:val="auto"/>
        </w:rPr>
        <w:t>Our selling and marketing expenses consist primarily of personnel-related costs for our sales and marketing functions, including sales commissions and stock-based compensation. Additional expenses include advertising costs, marketing costs and event costs, including the Company’s annual industry conference.</w:t>
      </w:r>
    </w:p>
    <w:p>
      <w:pPr>
        <w:spacing w:after="0" w:line="56" w:lineRule="exact"/>
        <w:rPr>
          <w:sz w:val="20"/>
          <w:szCs w:val="20"/>
          <w:color w:val="auto"/>
        </w:rPr>
      </w:pPr>
    </w:p>
    <w:p>
      <w:pPr>
        <w:ind w:firstLine="1033"/>
        <w:spacing w:after="0" w:line="298" w:lineRule="auto"/>
        <w:rPr>
          <w:sz w:val="20"/>
          <w:szCs w:val="20"/>
          <w:color w:val="auto"/>
        </w:rPr>
      </w:pPr>
      <w:r>
        <w:rPr>
          <w:rFonts w:ascii="Times New Roman" w:cs="Times New Roman" w:eastAsia="Times New Roman" w:hAnsi="Times New Roman"/>
          <w:sz w:val="16"/>
          <w:szCs w:val="16"/>
          <w:color w:val="auto"/>
        </w:rPr>
        <w:t>We expect our selling and marketing expenses, excluding stock-based compensation, to increase in absolute dollars as we continue to increase investments to support the growth of our business.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General and Administrative</w:t>
      </w:r>
    </w:p>
    <w:p>
      <w:pPr>
        <w:spacing w:after="0" w:line="129" w:lineRule="exact"/>
        <w:rPr>
          <w:sz w:val="20"/>
          <w:szCs w:val="20"/>
          <w:color w:val="auto"/>
        </w:rPr>
      </w:pPr>
    </w:p>
    <w:p>
      <w:pPr>
        <w:ind w:right="220" w:firstLine="1033"/>
        <w:spacing w:after="0" w:line="281" w:lineRule="auto"/>
        <w:rPr>
          <w:sz w:val="20"/>
          <w:szCs w:val="20"/>
          <w:color w:val="auto"/>
        </w:rPr>
      </w:pPr>
      <w:r>
        <w:rPr>
          <w:rFonts w:ascii="Times New Roman" w:cs="Times New Roman" w:eastAsia="Times New Roman" w:hAnsi="Times New Roman"/>
          <w:sz w:val="16"/>
          <w:szCs w:val="16"/>
          <w:color w:val="auto"/>
        </w:rPr>
        <w:t>Our general and administrative expenses consist primarily of personnel-related costs, including stock-based compensation, for our executive management and administrative employees, including finance and accounting, human resources, internal systems IT, facilities and legal functions. Additional expenses include professional service fees, insurance premiums, and other corporate expenses that are not allocated to the above expense categories.</w:t>
      </w:r>
    </w:p>
    <w:p>
      <w:pPr>
        <w:spacing w:after="0" w:line="69" w:lineRule="exact"/>
        <w:rPr>
          <w:sz w:val="20"/>
          <w:szCs w:val="20"/>
          <w:color w:val="auto"/>
        </w:rPr>
      </w:pPr>
    </w:p>
    <w:p>
      <w:pPr>
        <w:ind w:right="480" w:firstLine="1033"/>
        <w:spacing w:after="0" w:line="298" w:lineRule="auto"/>
        <w:rPr>
          <w:sz w:val="20"/>
          <w:szCs w:val="20"/>
          <w:color w:val="auto"/>
        </w:rPr>
      </w:pPr>
      <w:r>
        <w:rPr>
          <w:rFonts w:ascii="Times New Roman" w:cs="Times New Roman" w:eastAsia="Times New Roman" w:hAnsi="Times New Roman"/>
          <w:sz w:val="16"/>
          <w:szCs w:val="16"/>
          <w:color w:val="auto"/>
        </w:rPr>
        <w:t>We expect our general and administrative expenses, excluding stock-based compensation, to increase in absolute dollars as we continue to expand our operations, hire additional personnel, and incur costs to support the growth of our business.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Amortization of Intangible Assets</w:t>
      </w:r>
    </w:p>
    <w:p>
      <w:pPr>
        <w:spacing w:after="0" w:line="12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Our amortization of intangible assets consists of the capitalized costs of customer relationships in connection with business acquisitions.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Impairment</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41" w:name="page42"/>
    <w:bookmarkEnd w:id="41"/>
    <w:p>
      <w:pPr>
        <w:ind w:left="760"/>
        <w:spacing w:after="0"/>
        <w:rPr>
          <w:sz w:val="20"/>
          <w:szCs w:val="20"/>
          <w:color w:val="auto"/>
        </w:rPr>
      </w:pPr>
      <w:r>
        <w:rPr>
          <w:rFonts w:ascii="Times New Roman" w:cs="Times New Roman" w:eastAsia="Times New Roman" w:hAnsi="Times New Roman"/>
          <w:sz w:val="16"/>
          <w:szCs w:val="16"/>
          <w:color w:val="auto"/>
        </w:rPr>
        <w:t>Impairment consists of impairment charges recognized on our China reporting unit's goodwill and intangible assets during the year ended December 31, 2023.</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Non-operating income (expense)</w:t>
      </w:r>
    </w:p>
    <w:p>
      <w:pPr>
        <w:spacing w:after="0" w:line="13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Non-operating income (expense) is categorized as follows: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Interest Expense</w:t>
      </w:r>
    </w:p>
    <w:p>
      <w:pPr>
        <w:spacing w:after="0" w:line="129" w:lineRule="exact"/>
        <w:rPr>
          <w:sz w:val="20"/>
          <w:szCs w:val="20"/>
          <w:color w:val="auto"/>
        </w:rPr>
      </w:pPr>
    </w:p>
    <w:p>
      <w:pPr>
        <w:ind w:right="280" w:firstLine="1033"/>
        <w:spacing w:after="0" w:line="298" w:lineRule="auto"/>
        <w:rPr>
          <w:sz w:val="20"/>
          <w:szCs w:val="20"/>
          <w:color w:val="auto"/>
        </w:rPr>
      </w:pPr>
      <w:r>
        <w:rPr>
          <w:rFonts w:ascii="Times New Roman" w:cs="Times New Roman" w:eastAsia="Times New Roman" w:hAnsi="Times New Roman"/>
          <w:sz w:val="16"/>
          <w:szCs w:val="16"/>
          <w:color w:val="auto"/>
        </w:rPr>
        <w:t>Interest expense comprises interest incurred on our indebtedness. We expect interest expense to vary each reporting period depending on the amount of outstanding indebtedness and prevailing interest rates.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Interest Income</w:t>
      </w:r>
    </w:p>
    <w:p>
      <w:pPr>
        <w:spacing w:after="0" w:line="129" w:lineRule="exact"/>
        <w:rPr>
          <w:sz w:val="20"/>
          <w:szCs w:val="20"/>
          <w:color w:val="auto"/>
        </w:rPr>
      </w:pPr>
    </w:p>
    <w:p>
      <w:pPr>
        <w:ind w:firstLine="1033"/>
        <w:spacing w:after="0" w:line="298" w:lineRule="auto"/>
        <w:rPr>
          <w:sz w:val="20"/>
          <w:szCs w:val="20"/>
          <w:color w:val="auto"/>
        </w:rPr>
      </w:pPr>
      <w:r>
        <w:rPr>
          <w:rFonts w:ascii="Times New Roman" w:cs="Times New Roman" w:eastAsia="Times New Roman" w:hAnsi="Times New Roman"/>
          <w:sz w:val="16"/>
          <w:szCs w:val="16"/>
          <w:color w:val="auto"/>
        </w:rPr>
        <w:t>Interest income comprises interest earned on our cash and cash equivalents balances. We expect interest income to vary each reporting period depending on the amount of our balances in interest bearing accounts and prevailing interest rates.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Change in Fair Value of Warrant Liabilities</w:t>
      </w:r>
    </w:p>
    <w:p>
      <w:pPr>
        <w:spacing w:after="0" w:line="129" w:lineRule="exact"/>
        <w:rPr>
          <w:sz w:val="20"/>
          <w:szCs w:val="20"/>
          <w:color w:val="auto"/>
        </w:rPr>
      </w:pPr>
    </w:p>
    <w:p>
      <w:pPr>
        <w:ind w:right="80" w:firstLine="1033"/>
        <w:spacing w:after="0" w:line="275" w:lineRule="auto"/>
        <w:rPr>
          <w:sz w:val="20"/>
          <w:szCs w:val="20"/>
          <w:color w:val="auto"/>
        </w:rPr>
      </w:pPr>
      <w:r>
        <w:rPr>
          <w:rFonts w:ascii="Times New Roman" w:cs="Times New Roman" w:eastAsia="Times New Roman" w:hAnsi="Times New Roman"/>
          <w:sz w:val="16"/>
          <w:szCs w:val="16"/>
          <w:color w:val="auto"/>
        </w:rPr>
        <w:t>Change in fair value of warrant liabilities comprises fair value adjustments of the Public Warrants and Private Warrants assumed in connection with the Business Combination. In December 2021, we redeemed all of our outstanding Public Warrants and none were outstanding as of December 31, 2021 or during subsequent periods. We expect the change in fair value of warrant liabilities to vary each reporting period depending on the fair value adjustments and number of exercises and redemptions of our outstanding Private Warrants during each reporting period.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Gain on Sale of Cost Method Investment</w:t>
      </w:r>
    </w:p>
    <w:p>
      <w:pPr>
        <w:spacing w:after="0" w:line="12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Gain on sale of cost method investment is comprised of proceeds from the sale of the Company's equity interest in an investee in excess of our cost.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Income-Net</w:t>
      </w:r>
    </w:p>
    <w:p>
      <w:pPr>
        <w:spacing w:after="0" w:line="129" w:lineRule="exact"/>
        <w:rPr>
          <w:sz w:val="20"/>
          <w:szCs w:val="20"/>
          <w:color w:val="auto"/>
        </w:rPr>
      </w:pPr>
    </w:p>
    <w:p>
      <w:pPr>
        <w:ind w:right="140" w:firstLine="1033"/>
        <w:spacing w:after="0" w:line="298" w:lineRule="auto"/>
        <w:rPr>
          <w:sz w:val="20"/>
          <w:szCs w:val="20"/>
          <w:color w:val="auto"/>
        </w:rPr>
      </w:pPr>
      <w:r>
        <w:rPr>
          <w:rFonts w:ascii="Times New Roman" w:cs="Times New Roman" w:eastAsia="Times New Roman" w:hAnsi="Times New Roman"/>
          <w:sz w:val="16"/>
          <w:szCs w:val="16"/>
          <w:color w:val="auto"/>
        </w:rPr>
        <w:t>Other income-net consists primarily of changes in fair value of our interest rate cap derivative instruments and income received from our interest rate cap derivative instruments, as well as foreign currency transaction gains and losses related to the impact of transactions denominated in a foreign currency.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Income Tax Provision</w:t>
      </w:r>
    </w:p>
    <w:p>
      <w:pPr>
        <w:spacing w:after="0" w:line="131" w:lineRule="exact"/>
        <w:rPr>
          <w:sz w:val="20"/>
          <w:szCs w:val="20"/>
          <w:color w:val="auto"/>
        </w:rPr>
      </w:pPr>
    </w:p>
    <w:p>
      <w:pPr>
        <w:ind w:right="120" w:firstLine="1033"/>
        <w:spacing w:after="0" w:line="267" w:lineRule="auto"/>
        <w:rPr>
          <w:sz w:val="20"/>
          <w:szCs w:val="20"/>
          <w:color w:val="auto"/>
        </w:rPr>
      </w:pPr>
      <w:r>
        <w:rPr>
          <w:rFonts w:ascii="Times New Roman" w:cs="Times New Roman" w:eastAsia="Times New Roman" w:hAnsi="Times New Roman"/>
          <w:sz w:val="16"/>
          <w:szCs w:val="16"/>
          <w:color w:val="auto"/>
        </w:rPr>
        <w:t>Income tax provision consists of U.S. federal and state income taxes and income taxes in certain foreign jurisdictions in which we conduct business. Earnings from our non-U.S. activities are subject to local country income tax and may be subject to current U.S. income tax. Due to cumulative losses, we maintain a full valuation allowance for deferred tax assets in foreign jurisdictions. We expect to maintain this full valuation allowance for the foreseeable future.</w:t>
      </w:r>
    </w:p>
    <w:p>
      <w:pPr>
        <w:spacing w:after="0" w:line="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98" w:right="45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12"/>
        </w:trPr>
        <w:tc>
          <w:tcPr>
            <w:tcW w:w="54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702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Comparison of Fiscal Year Ended December 31, 2023 to Fiscal Year Ended December 31, 2022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5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5"/>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 amounts in thousands, except share and per share data)</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Revenues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866,378</w:t>
            </w:r>
          </w:p>
        </w:tc>
        <w:tc>
          <w:tcPr>
            <w:tcW w:w="20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782,448</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83,930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10.7 %</w:t>
            </w:r>
          </w:p>
        </w:tc>
        <w:tc>
          <w:tcPr>
            <w:tcW w:w="0" w:type="dxa"/>
            <w:vAlign w:val="bottom"/>
          </w:tcPr>
          <w:p>
            <w:pPr>
              <w:spacing w:after="0"/>
              <w:rPr>
                <w:sz w:val="1"/>
                <w:szCs w:val="1"/>
                <w:color w:val="auto"/>
              </w:rPr>
            </w:pPr>
          </w:p>
        </w:tc>
      </w:tr>
      <w:tr>
        <w:trPr>
          <w:trHeight w:val="221"/>
        </w:trPr>
        <w:tc>
          <w:tcPr>
            <w:tcW w:w="54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Cost of revenues, exclusive of amortization and impairment of acquired</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technologies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203,324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187,001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16,323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8.7 %</w:t>
            </w:r>
          </w:p>
        </w:tc>
        <w:tc>
          <w:tcPr>
            <w:tcW w:w="0" w:type="dxa"/>
            <w:vAlign w:val="bottom"/>
          </w:tcPr>
          <w:p>
            <w:pPr>
              <w:spacing w:after="0"/>
              <w:rPr>
                <w:sz w:val="1"/>
                <w:szCs w:val="1"/>
                <w:color w:val="auto"/>
              </w:rPr>
            </w:pPr>
          </w:p>
        </w:tc>
      </w:tr>
      <w:tr>
        <w:trPr>
          <w:trHeight w:val="229"/>
        </w:trPr>
        <w:tc>
          <w:tcPr>
            <w:tcW w:w="54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Amortization of acquired technologies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26,464</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26,938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(474 )</w:t>
            </w:r>
          </w:p>
        </w:tc>
        <w:tc>
          <w:tcPr>
            <w:tcW w:w="30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0" w:type="dxa"/>
            <w:vAlign w:val="bottom"/>
          </w:tcPr>
          <w:p>
            <w:pPr>
              <w:spacing w:after="0"/>
              <w:rPr>
                <w:sz w:val="1"/>
                <w:szCs w:val="1"/>
                <w:color w:val="auto"/>
              </w:rPr>
            </w:pPr>
          </w:p>
        </w:tc>
      </w:tr>
      <w:tr>
        <w:trPr>
          <w:trHeight w:val="243"/>
        </w:trPr>
        <w:tc>
          <w:tcPr>
            <w:tcW w:w="54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Impairment of acquired technologies</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29"/>
        </w:trPr>
        <w:tc>
          <w:tcPr>
            <w:tcW w:w="542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6"/>
                <w:szCs w:val="16"/>
                <w:color w:val="auto"/>
              </w:rPr>
              <w:t>Cost of revenues</w:t>
            </w:r>
            <w:r>
              <w:rPr>
                <w:rFonts w:ascii="Times New Roman" w:cs="Times New Roman" w:eastAsia="Times New Roman" w:hAnsi="Times New Roman"/>
                <w:sz w:val="21"/>
                <w:szCs w:val="21"/>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230,219</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213,939</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16,280</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0" w:type="dxa"/>
            <w:vAlign w:val="bottom"/>
          </w:tcPr>
          <w:p>
            <w:pPr>
              <w:spacing w:after="0"/>
              <w:rPr>
                <w:sz w:val="1"/>
                <w:szCs w:val="1"/>
                <w:color w:val="auto"/>
              </w:rPr>
            </w:pPr>
          </w:p>
        </w:tc>
      </w:tr>
      <w:tr>
        <w:trPr>
          <w:trHeight w:val="213"/>
        </w:trPr>
        <w:tc>
          <w:tcPr>
            <w:tcW w:w="54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636,159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568,509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67,650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11.9 %</w:t>
            </w:r>
          </w:p>
        </w:tc>
        <w:tc>
          <w:tcPr>
            <w:tcW w:w="0" w:type="dxa"/>
            <w:vAlign w:val="bottom"/>
          </w:tcPr>
          <w:p>
            <w:pPr>
              <w:spacing w:after="0"/>
              <w:rPr>
                <w:sz w:val="1"/>
                <w:szCs w:val="1"/>
                <w:color w:val="auto"/>
              </w:rPr>
            </w:pPr>
          </w:p>
        </w:tc>
      </w:tr>
      <w:tr>
        <w:trPr>
          <w:trHeight w:val="239"/>
        </w:trPr>
        <w:tc>
          <w:tcPr>
            <w:tcW w:w="54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Operating expenses:</w:t>
            </w: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420" w:type="dxa"/>
            <w:vAlign w:val="bottom"/>
            <w:gridSpan w:val="2"/>
          </w:tcPr>
          <w:p>
            <w:pPr>
              <w:ind w:left="480"/>
              <w:spacing w:after="0" w:line="202" w:lineRule="exact"/>
              <w:rPr>
                <w:sz w:val="20"/>
                <w:szCs w:val="20"/>
                <w:color w:val="auto"/>
              </w:rPr>
            </w:pPr>
            <w:r>
              <w:rPr>
                <w:rFonts w:ascii="Times New Roman" w:cs="Times New Roman" w:eastAsia="Times New Roman" w:hAnsi="Times New Roman"/>
                <w:sz w:val="16"/>
                <w:szCs w:val="16"/>
                <w:color w:val="auto"/>
              </w:rPr>
              <w:t>Research and development</w:t>
            </w:r>
            <w:r>
              <w:rPr>
                <w:rFonts w:ascii="Times New Roman" w:cs="Times New Roman" w:eastAsia="Times New Roman" w:hAnsi="Times New Roman"/>
                <w:sz w:val="21"/>
                <w:szCs w:val="21"/>
                <w:color w:val="auto"/>
                <w:vertAlign w:val="superscript"/>
              </w:rPr>
              <w:t>(1)</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173,106</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156,957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16,149</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10.3 %</w:t>
            </w:r>
          </w:p>
        </w:tc>
        <w:tc>
          <w:tcPr>
            <w:tcW w:w="0" w:type="dxa"/>
            <w:vAlign w:val="bottom"/>
          </w:tcPr>
          <w:p>
            <w:pPr>
              <w:spacing w:after="0"/>
              <w:rPr>
                <w:sz w:val="1"/>
                <w:szCs w:val="1"/>
                <w:color w:val="auto"/>
              </w:rPr>
            </w:pPr>
          </w:p>
        </w:tc>
      </w:tr>
      <w:tr>
        <w:trPr>
          <w:trHeight w:val="229"/>
        </w:trPr>
        <w:tc>
          <w:tcPr>
            <w:tcW w:w="5420" w:type="dxa"/>
            <w:vAlign w:val="bottom"/>
            <w:gridSpan w:val="2"/>
          </w:tcPr>
          <w:p>
            <w:pPr>
              <w:ind w:left="480"/>
              <w:spacing w:after="0" w:line="230" w:lineRule="exact"/>
              <w:rPr>
                <w:sz w:val="20"/>
                <w:szCs w:val="20"/>
                <w:color w:val="auto"/>
              </w:rPr>
            </w:pPr>
            <w:r>
              <w:rPr>
                <w:rFonts w:ascii="Times New Roman" w:cs="Times New Roman" w:eastAsia="Times New Roman" w:hAnsi="Times New Roman"/>
                <w:sz w:val="16"/>
                <w:szCs w:val="16"/>
                <w:color w:val="auto"/>
              </w:rPr>
              <w:t>Selling and marketing</w:t>
            </w:r>
            <w:r>
              <w:rPr>
                <w:rFonts w:ascii="Times New Roman" w:cs="Times New Roman" w:eastAsia="Times New Roman" w:hAnsi="Times New Roman"/>
                <w:sz w:val="21"/>
                <w:szCs w:val="21"/>
                <w:color w:val="auto"/>
                <w:vertAlign w:val="superscript"/>
              </w:rPr>
              <w:t>(1)</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140,851</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119,594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21,257</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17.8 %</w:t>
            </w:r>
          </w:p>
        </w:tc>
        <w:tc>
          <w:tcPr>
            <w:tcW w:w="0" w:type="dxa"/>
            <w:vAlign w:val="bottom"/>
          </w:tcPr>
          <w:p>
            <w:pPr>
              <w:spacing w:after="0"/>
              <w:rPr>
                <w:sz w:val="1"/>
                <w:szCs w:val="1"/>
                <w:color w:val="auto"/>
              </w:rPr>
            </w:pPr>
          </w:p>
        </w:tc>
      </w:tr>
      <w:tr>
        <w:trPr>
          <w:trHeight w:val="257"/>
        </w:trPr>
        <w:tc>
          <w:tcPr>
            <w:tcW w:w="54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General and administrative</w:t>
            </w:r>
            <w:r>
              <w:rPr>
                <w:rFonts w:ascii="Times New Roman" w:cs="Times New Roman" w:eastAsia="Times New Roman" w:hAnsi="Times New Roman"/>
                <w:sz w:val="21"/>
                <w:szCs w:val="21"/>
                <w:color w:val="auto"/>
                <w:vertAlign w:val="superscript"/>
              </w:rPr>
              <w:t>(1)</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191,844</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167,758</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24,086</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14.4 %</w:t>
            </w:r>
          </w:p>
        </w:tc>
        <w:tc>
          <w:tcPr>
            <w:tcW w:w="0" w:type="dxa"/>
            <w:vAlign w:val="bottom"/>
          </w:tcPr>
          <w:p>
            <w:pPr>
              <w:spacing w:after="0"/>
              <w:rPr>
                <w:sz w:val="1"/>
                <w:szCs w:val="1"/>
                <w:color w:val="auto"/>
              </w:rPr>
            </w:pPr>
          </w:p>
        </w:tc>
      </w:tr>
      <w:tr>
        <w:trPr>
          <w:trHeight w:val="210"/>
        </w:trPr>
        <w:tc>
          <w:tcPr>
            <w:tcW w:w="54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71,972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72,278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(306 )</w:t>
            </w:r>
          </w:p>
        </w:tc>
        <w:tc>
          <w:tcPr>
            <w:tcW w:w="3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0" w:type="dxa"/>
            <w:vAlign w:val="bottom"/>
          </w:tcPr>
          <w:p>
            <w:pPr>
              <w:spacing w:after="0"/>
              <w:rPr>
                <w:sz w:val="1"/>
                <w:szCs w:val="1"/>
                <w:color w:val="auto"/>
              </w:rPr>
            </w:pPr>
          </w:p>
        </w:tc>
      </w:tr>
      <w:tr>
        <w:trPr>
          <w:trHeight w:val="239"/>
        </w:trPr>
        <w:tc>
          <w:tcPr>
            <w:tcW w:w="54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Impairment of goodwill</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77,405</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77,405</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36"/>
        </w:trPr>
        <w:tc>
          <w:tcPr>
            <w:tcW w:w="5420" w:type="dxa"/>
            <w:vAlign w:val="bottom"/>
            <w:tcBorders>
              <w:bottom w:val="single" w:sz="8" w:color="CFF0FC"/>
            </w:tcBorders>
            <w:gridSpan w:val="2"/>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Impairment of intangible assets</w:t>
            </w:r>
          </w:p>
        </w:tc>
        <w:tc>
          <w:tcPr>
            <w:tcW w:w="32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4,906</w:t>
            </w:r>
          </w:p>
        </w:tc>
        <w:tc>
          <w:tcPr>
            <w:tcW w:w="20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4,906</w:t>
            </w:r>
          </w:p>
        </w:tc>
        <w:tc>
          <w:tcPr>
            <w:tcW w:w="2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NM</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660,084</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516,587</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143,497</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27.8 %</w:t>
            </w:r>
          </w:p>
        </w:tc>
        <w:tc>
          <w:tcPr>
            <w:tcW w:w="0" w:type="dxa"/>
            <w:vAlign w:val="bottom"/>
          </w:tcPr>
          <w:p>
            <w:pPr>
              <w:spacing w:after="0"/>
              <w:rPr>
                <w:sz w:val="1"/>
                <w:szCs w:val="1"/>
                <w:color w:val="auto"/>
              </w:rPr>
            </w:pPr>
          </w:p>
        </w:tc>
      </w:tr>
      <w:tr>
        <w:trPr>
          <w:trHeight w:val="226"/>
        </w:trPr>
        <w:tc>
          <w:tcPr>
            <w:tcW w:w="54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Operating (loss) income</w:t>
            </w: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(23,925 )</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51,922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(75,847 )</w:t>
            </w:r>
          </w:p>
        </w:tc>
        <w:tc>
          <w:tcPr>
            <w:tcW w:w="3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NM</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Interest expense</w:t>
            </w:r>
          </w:p>
        </w:tc>
        <w:tc>
          <w:tcPr>
            <w:tcW w:w="32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(63,577 )</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(38,990 )</w:t>
            </w:r>
          </w:p>
        </w:tc>
        <w:tc>
          <w:tcPr>
            <w:tcW w:w="240" w:type="dxa"/>
            <w:vAlign w:val="bottom"/>
          </w:tcPr>
          <w:p>
            <w:pPr>
              <w:spacing w:after="0"/>
              <w:rPr>
                <w:sz w:val="19"/>
                <w:szCs w:val="19"/>
                <w:color w:val="auto"/>
              </w:rPr>
            </w:pP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(24,587 )</w:t>
            </w:r>
          </w:p>
        </w:tc>
        <w:tc>
          <w:tcPr>
            <w:tcW w:w="30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-63.1 %</w:t>
            </w:r>
          </w:p>
        </w:tc>
        <w:tc>
          <w:tcPr>
            <w:tcW w:w="0" w:type="dxa"/>
            <w:vAlign w:val="bottom"/>
          </w:tcPr>
          <w:p>
            <w:pPr>
              <w:spacing w:after="0"/>
              <w:rPr>
                <w:sz w:val="1"/>
                <w:szCs w:val="1"/>
                <w:color w:val="auto"/>
              </w:rPr>
            </w:pPr>
          </w:p>
        </w:tc>
      </w:tr>
      <w:tr>
        <w:trPr>
          <w:trHeight w:val="230"/>
        </w:trPr>
        <w:tc>
          <w:tcPr>
            <w:tcW w:w="54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Interest income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16,252</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15,344</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49"/>
        </w:trPr>
        <w:tc>
          <w:tcPr>
            <w:tcW w:w="542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3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(15,096 )</w:t>
            </w:r>
          </w:p>
        </w:tc>
        <w:tc>
          <w:tcPr>
            <w:tcW w:w="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26,073</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(41,169 )</w:t>
            </w:r>
          </w:p>
        </w:tc>
        <w:tc>
          <w:tcPr>
            <w:tcW w:w="30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NM</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4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Gain on sale of cost method investment</w:t>
            </w:r>
          </w:p>
        </w:tc>
        <w:tc>
          <w:tcPr>
            <w:tcW w:w="3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(3,587 )</w:t>
            </w:r>
          </w:p>
        </w:tc>
        <w:tc>
          <w:tcPr>
            <w:tcW w:w="3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43"/>
        </w:trPr>
        <w:tc>
          <w:tcPr>
            <w:tcW w:w="54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Other income, net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1,799</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(4,563 )</w:t>
            </w:r>
          </w:p>
        </w:tc>
        <w:tc>
          <w:tcPr>
            <w:tcW w:w="300" w:type="dxa"/>
            <w:vAlign w:val="bottom"/>
          </w:tcPr>
          <w:p>
            <w:pPr>
              <w:spacing w:after="0"/>
              <w:rPr>
                <w:sz w:val="21"/>
                <w:szCs w:val="21"/>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-71.7 %</w:t>
            </w: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Total other (expense) income, net</w:t>
            </w: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-2842.8 %</w:t>
            </w:r>
          </w:p>
        </w:tc>
        <w:tc>
          <w:tcPr>
            <w:tcW w:w="0" w:type="dxa"/>
            <w:vAlign w:val="bottom"/>
          </w:tcPr>
          <w:p>
            <w:pPr>
              <w:spacing w:after="0" w:line="20" w:lineRule="exact"/>
              <w:rPr>
                <w:sz w:val="1"/>
                <w:szCs w:val="1"/>
                <w:color w:val="auto"/>
              </w:rPr>
            </w:pPr>
          </w:p>
        </w:tc>
      </w:tr>
      <w:tr>
        <w:trPr>
          <w:trHeight w:val="210"/>
        </w:trPr>
        <w:tc>
          <w:tcPr>
            <w:tcW w:w="542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(60,622 )</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(2,060 )</w:t>
            </w:r>
          </w:p>
        </w:tc>
        <w:tc>
          <w:tcPr>
            <w:tcW w:w="240" w:type="dxa"/>
            <w:vAlign w:val="bottom"/>
          </w:tcPr>
          <w:p>
            <w:pPr>
              <w:spacing w:after="0"/>
              <w:rPr>
                <w:sz w:val="18"/>
                <w:szCs w:val="18"/>
                <w:color w:val="auto"/>
              </w:rPr>
            </w:pP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(58,562 )</w:t>
            </w:r>
          </w:p>
        </w:tc>
        <w:tc>
          <w:tcPr>
            <w:tcW w:w="300" w:type="dxa"/>
            <w:vAlign w:val="bottom"/>
          </w:tcPr>
          <w:p>
            <w:pPr>
              <w:spacing w:after="0"/>
              <w:rPr>
                <w:sz w:val="18"/>
                <w:szCs w:val="18"/>
                <w:color w:val="auto"/>
              </w:rPr>
            </w:pPr>
          </w:p>
        </w:tc>
        <w:tc>
          <w:tcPr>
            <w:tcW w:w="8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4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Pretax (loss) income</w:t>
            </w:r>
          </w:p>
        </w:tc>
        <w:tc>
          <w:tcPr>
            <w:tcW w:w="3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(84,547 )</w:t>
            </w:r>
          </w:p>
        </w:tc>
        <w:tc>
          <w:tcPr>
            <w:tcW w:w="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49,862</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(134,409 )</w:t>
            </w:r>
          </w:p>
        </w:tc>
        <w:tc>
          <w:tcPr>
            <w:tcW w:w="30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NM</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54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Income tax provision</w:t>
            </w:r>
          </w:p>
        </w:tc>
        <w:tc>
          <w:tcPr>
            <w:tcW w:w="32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(5,524 )</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(11,456 )</w:t>
            </w:r>
          </w:p>
        </w:tc>
        <w:tc>
          <w:tcPr>
            <w:tcW w:w="2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5,932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51.8 %</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4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Net (loss) income including non-controlling interest</w:t>
            </w: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(90,071 )</w:t>
            </w:r>
          </w:p>
        </w:tc>
        <w:tc>
          <w:tcPr>
            <w:tcW w:w="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38,406</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(128,477 )</w:t>
            </w:r>
          </w:p>
        </w:tc>
        <w:tc>
          <w:tcPr>
            <w:tcW w:w="3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NM</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4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Less: accretion of redeemable non-controlling interest</w:t>
            </w:r>
          </w:p>
        </w:tc>
        <w:tc>
          <w:tcPr>
            <w:tcW w:w="32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(2,405 )</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(2,405 )</w:t>
            </w:r>
          </w:p>
        </w:tc>
        <w:tc>
          <w:tcPr>
            <w:tcW w:w="300" w:type="dxa"/>
            <w:vAlign w:val="bottom"/>
          </w:tcPr>
          <w:p>
            <w:pPr>
              <w:spacing w:after="0"/>
              <w:rPr>
                <w:sz w:val="19"/>
                <w:szCs w:val="19"/>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4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Net (loss) income attributable to CCC Intelligent Solutions Holdings Inc.'s</w:t>
            </w:r>
          </w:p>
        </w:tc>
        <w:tc>
          <w:tcPr>
            <w:tcW w:w="320" w:type="dxa"/>
            <w:vAlign w:val="bottom"/>
            <w:vMerge w:val="restart"/>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(92,476 )</w:t>
            </w:r>
          </w:p>
        </w:tc>
        <w:tc>
          <w:tcPr>
            <w:tcW w:w="3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38,406</w:t>
            </w:r>
          </w:p>
        </w:tc>
        <w:tc>
          <w:tcPr>
            <w:tcW w:w="4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(130,882 )</w:t>
            </w:r>
          </w:p>
        </w:tc>
        <w:tc>
          <w:tcPr>
            <w:tcW w:w="3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4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Common Stockholders</w:t>
            </w:r>
          </w:p>
        </w:tc>
        <w:tc>
          <w:tcPr>
            <w:tcW w:w="320" w:type="dxa"/>
            <w:vAlign w:val="bottom"/>
            <w:vMerge w:val="continue"/>
            <w:shd w:val="clear" w:color="auto" w:fill="CFF0FC"/>
          </w:tcPr>
          <w:p>
            <w:pPr>
              <w:spacing w:after="0"/>
              <w:rPr>
                <w:sz w:val="19"/>
                <w:szCs w:val="19"/>
                <w:color w:val="auto"/>
              </w:rPr>
            </w:pPr>
          </w:p>
        </w:tc>
        <w:tc>
          <w:tcPr>
            <w:tcW w:w="1280" w:type="dxa"/>
            <w:vAlign w:val="bottom"/>
            <w:gridSpan w:val="2"/>
            <w:vMerge w:val="continue"/>
            <w:shd w:val="clear" w:color="auto" w:fill="CFF0FC"/>
          </w:tcPr>
          <w:p>
            <w:pPr>
              <w:spacing w:after="0"/>
              <w:rPr>
                <w:sz w:val="19"/>
                <w:szCs w:val="19"/>
                <w:color w:val="auto"/>
              </w:rPr>
            </w:pPr>
          </w:p>
        </w:tc>
        <w:tc>
          <w:tcPr>
            <w:tcW w:w="380" w:type="dxa"/>
            <w:vAlign w:val="bottom"/>
            <w:gridSpan w:val="2"/>
            <w:vMerge w:val="continue"/>
            <w:shd w:val="clear" w:color="auto" w:fill="CFF0FC"/>
          </w:tcPr>
          <w:p>
            <w:pPr>
              <w:spacing w:after="0"/>
              <w:rPr>
                <w:sz w:val="19"/>
                <w:szCs w:val="19"/>
                <w:color w:val="auto"/>
              </w:rPr>
            </w:pPr>
          </w:p>
        </w:tc>
        <w:tc>
          <w:tcPr>
            <w:tcW w:w="1080" w:type="dxa"/>
            <w:vAlign w:val="bottom"/>
            <w:vMerge w:val="continue"/>
            <w:shd w:val="clear" w:color="auto" w:fill="CFF0FC"/>
          </w:tcPr>
          <w:p>
            <w:pPr>
              <w:spacing w:after="0"/>
              <w:rPr>
                <w:sz w:val="19"/>
                <w:szCs w:val="19"/>
                <w:color w:val="auto"/>
              </w:rPr>
            </w:pPr>
          </w:p>
        </w:tc>
        <w:tc>
          <w:tcPr>
            <w:tcW w:w="460" w:type="dxa"/>
            <w:vAlign w:val="bottom"/>
            <w:gridSpan w:val="2"/>
            <w:vMerge w:val="continue"/>
            <w:shd w:val="clear" w:color="auto" w:fill="CFF0FC"/>
          </w:tcPr>
          <w:p>
            <w:pPr>
              <w:spacing w:after="0"/>
              <w:rPr>
                <w:sz w:val="19"/>
                <w:szCs w:val="19"/>
                <w:color w:val="auto"/>
              </w:rPr>
            </w:pPr>
          </w:p>
        </w:tc>
        <w:tc>
          <w:tcPr>
            <w:tcW w:w="1220" w:type="dxa"/>
            <w:vAlign w:val="bottom"/>
            <w:gridSpan w:val="3"/>
            <w:vMerge w:val="continue"/>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NM</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5420" w:type="dxa"/>
            <w:vAlign w:val="bottom"/>
            <w:tcBorders>
              <w:top w:val="single" w:sz="8" w:color="CFF0FC"/>
            </w:tcBorders>
            <w:gridSpan w:val="2"/>
          </w:tcPr>
          <w:p>
            <w:pPr>
              <w:ind w:left="120"/>
              <w:spacing w:after="0"/>
              <w:rPr>
                <w:sz w:val="20"/>
                <w:szCs w:val="20"/>
                <w:color w:val="auto"/>
              </w:rPr>
            </w:pPr>
            <w:r>
              <w:rPr>
                <w:rFonts w:ascii="Times New Roman" w:cs="Times New Roman" w:eastAsia="Times New Roman" w:hAnsi="Times New Roman"/>
                <w:sz w:val="16"/>
                <w:szCs w:val="16"/>
                <w:color w:val="auto"/>
              </w:rPr>
              <w:t>Net (loss) income per share attributable to common stockholders:</w:t>
            </w: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6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6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4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Basic</w:t>
            </w: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(0.15 )</w:t>
            </w:r>
          </w:p>
        </w:tc>
        <w:tc>
          <w:tcPr>
            <w:tcW w:w="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4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Diluted</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(0.15 )</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4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Weighted-average shares used in computing net (loss) income per share</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attributable to common stockholders:</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4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Basic</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617,889,384</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607,760,886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4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Diluted</w:t>
            </w: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617,889,384</w:t>
            </w: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642,841,596</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5"/>
        </w:trPr>
        <w:tc>
          <w:tcPr>
            <w:tcW w:w="54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NM—Not Meaningful</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 Includes stock-based compensation expense as follows (in thousands):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5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7"/>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Cost of revenues</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8,802</w:t>
            </w:r>
          </w:p>
        </w:tc>
        <w:tc>
          <w:tcPr>
            <w:tcW w:w="1000" w:type="dxa"/>
            <w:vAlign w:val="bottom"/>
            <w:gridSpan w:val="2"/>
            <w:shd w:val="clear" w:color="auto" w:fill="CFF0FC"/>
          </w:tcPr>
          <w:p>
            <w:pPr>
              <w:jc w:val="right"/>
              <w:ind w:right="5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5,812</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25,467</w:t>
            </w: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19,536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4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33,204</w:t>
            </w:r>
          </w:p>
        </w:tc>
        <w:tc>
          <w:tcPr>
            <w:tcW w:w="2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25,309</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77,045</w:t>
            </w:r>
          </w:p>
        </w:tc>
        <w:tc>
          <w:tcPr>
            <w:tcW w:w="28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58,840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542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320" w:type="dxa"/>
            <w:vAlign w:val="bottom"/>
            <w:tcBorders>
              <w:bottom w:val="single" w:sz="8" w:color="CFF0FC"/>
            </w:tcBorders>
            <w:shd w:val="clear" w:color="auto" w:fill="CFF0FC"/>
          </w:tcPr>
          <w:p>
            <w:pPr>
              <w:spacing w:after="0"/>
              <w:rPr>
                <w:sz w:val="23"/>
                <w:szCs w:val="23"/>
                <w:color w:val="auto"/>
              </w:rPr>
            </w:pPr>
          </w:p>
        </w:tc>
        <w:tc>
          <w:tcPr>
            <w:tcW w:w="108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bottom w:val="single" w:sz="8" w:color="auto"/>
            </w:tcBorders>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144,518</w:t>
            </w:r>
          </w:p>
        </w:tc>
        <w:tc>
          <w:tcPr>
            <w:tcW w:w="280" w:type="dxa"/>
            <w:vAlign w:val="bottom"/>
            <w:tcBorders>
              <w:bottom w:val="single" w:sz="8" w:color="CFF0FC"/>
            </w:tcBorders>
            <w:shd w:val="clear" w:color="auto" w:fill="CFF0FC"/>
          </w:tcPr>
          <w:p>
            <w:pPr>
              <w:spacing w:after="0"/>
              <w:rPr>
                <w:sz w:val="23"/>
                <w:szCs w:val="23"/>
                <w:color w:val="auto"/>
              </w:rPr>
            </w:pPr>
          </w:p>
        </w:tc>
        <w:tc>
          <w:tcPr>
            <w:tcW w:w="720" w:type="dxa"/>
            <w:vAlign w:val="bottom"/>
            <w:tcBorders>
              <w:bottom w:val="single" w:sz="8" w:color="auto"/>
            </w:tcBorders>
            <w:shd w:val="clear" w:color="auto" w:fill="CFF0FC"/>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Borders>
              <w:bottom w:val="single" w:sz="8" w:color="auto"/>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spacing w:after="0"/>
              <w:rPr>
                <w:sz w:val="23"/>
                <w:szCs w:val="23"/>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109,497</w:t>
            </w:r>
          </w:p>
        </w:tc>
        <w:tc>
          <w:tcPr>
            <w:tcW w:w="100" w:type="dxa"/>
            <w:vAlign w:val="bottom"/>
            <w:tcBorders>
              <w:bottom w:val="single" w:sz="8" w:color="CFF0FC"/>
            </w:tcBorders>
            <w:shd w:val="clear" w:color="auto" w:fill="CFF0FC"/>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-6857365</wp:posOffset>
            </wp:positionV>
            <wp:extent cx="7132320"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-6436995</wp:posOffset>
            </wp:positionV>
            <wp:extent cx="7132320" cy="145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-5545455</wp:posOffset>
            </wp:positionV>
            <wp:extent cx="7132320" cy="145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-5253990</wp:posOffset>
            </wp:positionV>
            <wp:extent cx="7132320"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-4362450</wp:posOffset>
            </wp:positionV>
            <wp:extent cx="7132320" cy="145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-6137275</wp:posOffset>
            </wp:positionV>
            <wp:extent cx="713232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-4817110</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-4817110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-4817110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-3779520</wp:posOffset>
            </wp:positionV>
            <wp:extent cx="713232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-2630805</wp:posOffset>
            </wp:positionV>
            <wp:extent cx="768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-2613660</wp:posOffset>
            </wp:positionV>
            <wp:extent cx="768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-2630805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-2613660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-2630805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-2613660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-24765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-8255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Revenues</w:t>
      </w:r>
    </w:p>
    <w:p>
      <w:pPr>
        <w:spacing w:after="0" w:line="131" w:lineRule="exact"/>
        <w:rPr>
          <w:sz w:val="20"/>
          <w:szCs w:val="20"/>
          <w:color w:val="auto"/>
        </w:rPr>
      </w:pPr>
    </w:p>
    <w:p>
      <w:pPr>
        <w:ind w:right="100" w:firstLine="1033"/>
        <w:spacing w:after="0" w:line="281" w:lineRule="auto"/>
        <w:rPr>
          <w:sz w:val="20"/>
          <w:szCs w:val="20"/>
          <w:color w:val="auto"/>
        </w:rPr>
      </w:pPr>
      <w:r>
        <w:rPr>
          <w:rFonts w:ascii="Times New Roman" w:cs="Times New Roman" w:eastAsia="Times New Roman" w:hAnsi="Times New Roman"/>
          <w:sz w:val="16"/>
          <w:szCs w:val="16"/>
          <w:color w:val="auto"/>
        </w:rPr>
        <w:t>Revenue increased by $83.9 million to $866.4 million, or 10.7%, for the year ended December 31, 2023, compared to the year ended December 31, 2022. The increase in revenue was primarily a result of an 8% growth from existing customer upgrades and expanding solution offerings to these existing customers as well as 3% growth from new customers.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Cost of Revenues</w:t>
      </w:r>
    </w:p>
    <w:p>
      <w:pPr>
        <w:spacing w:after="0" w:line="13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Cost of revenues increased by $16.3 million to $230.2 million, or 7.6%, for the year ended December 31, 2023, compared to the year ended December 31,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Cost of Revenues, Exclusive of Amortization and Impairment of Acquired Technologies</w:t>
      </w:r>
    </w:p>
    <w:p>
      <w:pPr>
        <w:spacing w:after="0" w:line="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204" w:right="299" w:bottom="462" w:gutter="0" w:footer="0" w:header="0"/>
        </w:sectPr>
      </w:pPr>
    </w:p>
    <w:bookmarkStart w:id="43" w:name="page44"/>
    <w:bookmarkEnd w:id="43"/>
    <w:p>
      <w:pPr>
        <w:ind w:right="40" w:firstLine="1033"/>
        <w:spacing w:after="0" w:line="272" w:lineRule="auto"/>
        <w:rPr>
          <w:sz w:val="20"/>
          <w:szCs w:val="20"/>
          <w:color w:val="auto"/>
        </w:rPr>
      </w:pPr>
      <w:r>
        <w:rPr>
          <w:rFonts w:ascii="Times New Roman" w:cs="Times New Roman" w:eastAsia="Times New Roman" w:hAnsi="Times New Roman"/>
          <w:sz w:val="16"/>
          <w:szCs w:val="16"/>
          <w:color w:val="auto"/>
        </w:rPr>
        <w:t>Cost of revenues, exclusive of amortization and impairment of acquired technologies, increased $16.3 million to $203.3 million, or 8.7%, for the year ended December 31, 2023, compared to the year ended December 31, 2022. The increase was primarily due to a $10.6 million increase in depreciation expense related to additional investments in platform and customer solution enhancements, a $5.3 million increase in personnel-related costs, including a $3.0 million increase in stock-based compensation, and a $3.1 million increase in third party fees and direct costs associated with our revenue growth, partially offset by a decrease of $3.2 million related to the contract termination fee incurred during the year ended December 31, 2022.</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Amortization of Acquired Technologies</w:t>
      </w:r>
    </w:p>
    <w:p>
      <w:pPr>
        <w:spacing w:after="0" w:line="12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Amortization of acquired technologies was $26.5 million and $26.9 million for the years ended December 31, 2023 and 2022, respectively.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Impairment of Acquired Technologies</w:t>
      </w:r>
    </w:p>
    <w:p>
      <w:pPr>
        <w:spacing w:after="0" w:line="129" w:lineRule="exact"/>
        <w:rPr>
          <w:sz w:val="20"/>
          <w:szCs w:val="20"/>
          <w:color w:val="auto"/>
        </w:rPr>
      </w:pPr>
    </w:p>
    <w:p>
      <w:pPr>
        <w:jc w:val="both"/>
        <w:ind w:right="200" w:firstLine="1033"/>
        <w:spacing w:after="0" w:line="281" w:lineRule="auto"/>
        <w:rPr>
          <w:sz w:val="20"/>
          <w:szCs w:val="20"/>
          <w:color w:val="auto"/>
        </w:rPr>
      </w:pPr>
      <w:r>
        <w:rPr>
          <w:rFonts w:ascii="Times New Roman" w:cs="Times New Roman" w:eastAsia="Times New Roman" w:hAnsi="Times New Roman"/>
          <w:sz w:val="16"/>
          <w:szCs w:val="16"/>
          <w:color w:val="auto"/>
        </w:rPr>
        <w:t>Impairment of acquired technologies was $0.4 million for the year ended December 31, 2023 due to an impairment charge recognized as a result of lower forecasted earnings and cash flows for the Company's China reporting unit. No impairment was recognized during the year ended December 31, 2022. See Note 12 to the consolidated financial statements included elsewhere in the Annual Report on Form 10-K for additional information.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Gross Profit</w:t>
      </w:r>
    </w:p>
    <w:p>
      <w:pPr>
        <w:spacing w:after="0" w:line="13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Gross profit increased by $67.7 million to $636.2 million, or 11.9%, for the year ended December 31, 2023, compared to the year ended</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December 31, 2022. Our gross profit margin increased to 73.4% for the year ended December 31, 2023 compared to 72.7% for the year ended December 31, 2022.</w:t>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The increase in both gross profit and gross profit margin was primarily due to increased software subscription revenues and economies of scale resulting from fixed</w:t>
      </w:r>
    </w:p>
    <w:p>
      <w:pPr>
        <w:spacing w:after="0" w:line="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cost arrangements, partially offset by the increase in depreciation expense related to additional investments in platform and customer solution enhancements.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Research and Development</w:t>
      </w:r>
    </w:p>
    <w:p>
      <w:pPr>
        <w:spacing w:after="0" w:line="36" w:lineRule="exact"/>
        <w:rPr>
          <w:sz w:val="20"/>
          <w:szCs w:val="20"/>
          <w:color w:val="auto"/>
        </w:rPr>
      </w:pPr>
    </w:p>
    <w:p>
      <w:pPr>
        <w:ind w:left="120" w:right="420" w:firstLine="1033"/>
        <w:spacing w:after="0" w:line="275" w:lineRule="auto"/>
        <w:rPr>
          <w:sz w:val="20"/>
          <w:szCs w:val="20"/>
          <w:color w:val="auto"/>
        </w:rPr>
      </w:pPr>
      <w:r>
        <w:rPr>
          <w:rFonts w:ascii="Times New Roman" w:cs="Times New Roman" w:eastAsia="Times New Roman" w:hAnsi="Times New Roman"/>
          <w:sz w:val="16"/>
          <w:szCs w:val="16"/>
          <w:color w:val="auto"/>
        </w:rPr>
        <w:t>Research and development expense increased by $16.1 million to $173.1 million, or 10.3%, for the year ended December 31, 2023, compared to the year ended December 31, 2022. The increase was due to an $11.1 million increase in IT related costs, an $8.5 million increase in personnel-related costs, including $5.9 million of stock-based compensation, and an $8.3 million increase in consulting and other professional service costs, partially offset by a $11.7 million increase in the amount of capitalized time on new and enhanced customer solutions and platform development.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Selling and Marketing</w:t>
      </w:r>
    </w:p>
    <w:p>
      <w:pPr>
        <w:spacing w:after="0" w:line="30" w:lineRule="exact"/>
        <w:rPr>
          <w:sz w:val="20"/>
          <w:szCs w:val="20"/>
          <w:color w:val="auto"/>
        </w:rPr>
      </w:pPr>
    </w:p>
    <w:p>
      <w:pPr>
        <w:jc w:val="both"/>
        <w:ind w:left="120" w:right="420" w:firstLine="1033"/>
        <w:spacing w:after="0" w:line="276" w:lineRule="auto"/>
        <w:rPr>
          <w:sz w:val="20"/>
          <w:szCs w:val="20"/>
          <w:color w:val="auto"/>
        </w:rPr>
      </w:pPr>
      <w:r>
        <w:rPr>
          <w:rFonts w:ascii="Times New Roman" w:cs="Times New Roman" w:eastAsia="Times New Roman" w:hAnsi="Times New Roman"/>
          <w:sz w:val="16"/>
          <w:szCs w:val="16"/>
          <w:color w:val="auto"/>
        </w:rPr>
        <w:t>Selling and marketing expense increased by $21.3 million to $140.9 million, or 17.8%, for the year ended December 31, 2023, compared to the year ended December 31, 2022. The increase was primarily due to a $17.6 million increase in personnel and sales incentive related costs, including $7.9 million of stock-based compensation, and a $1.5 million increase in travel costs.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General and Administrative</w:t>
      </w:r>
    </w:p>
    <w:p>
      <w:pPr>
        <w:spacing w:after="0" w:line="131" w:lineRule="exact"/>
        <w:rPr>
          <w:sz w:val="20"/>
          <w:szCs w:val="20"/>
          <w:color w:val="auto"/>
        </w:rPr>
      </w:pPr>
    </w:p>
    <w:p>
      <w:pPr>
        <w:ind w:right="180" w:firstLine="1033"/>
        <w:spacing w:after="0" w:line="272" w:lineRule="auto"/>
        <w:rPr>
          <w:sz w:val="20"/>
          <w:szCs w:val="20"/>
          <w:color w:val="auto"/>
        </w:rPr>
      </w:pPr>
      <w:r>
        <w:rPr>
          <w:rFonts w:ascii="Times New Roman" w:cs="Times New Roman" w:eastAsia="Times New Roman" w:hAnsi="Times New Roman"/>
          <w:sz w:val="16"/>
          <w:szCs w:val="16"/>
          <w:color w:val="auto"/>
        </w:rPr>
        <w:t>General and administrative expense increased by $24.1 million to $191.8 million, or 14.4%, for the year ended December 31, 2023, compared to the year ended December 31, 2022. The increase was primarily due to a $22.7 million increase in personnel-related costs, including $18.2 million of stock-based compensation, a $5.1 million increase in legal and other professional services costs, and a $2.8 million increase in IT costs, partially offset by a $3.3 million decrease in the Company's facilities costs, a $2.6 million loss on disposal of property and equipment mainly associated with the closure of corporate office facilities during the year ended December 31, 2022, and a $1.8 million decrease in general insurance costs.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Amortization of Intangible Assets</w:t>
      </w:r>
    </w:p>
    <w:p>
      <w:pPr>
        <w:spacing w:after="0" w:line="13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Amortization of intangible assets was $72.0 million and $72.3 million during the years ended December 31, 2023 and 2022, respectively.</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Impairment of Goodwill and Intangible Assets</w:t>
      </w:r>
    </w:p>
    <w:p>
      <w:pPr>
        <w:spacing w:after="0" w:line="131" w:lineRule="exact"/>
        <w:rPr>
          <w:sz w:val="20"/>
          <w:szCs w:val="20"/>
          <w:color w:val="auto"/>
        </w:rPr>
      </w:pPr>
    </w:p>
    <w:p>
      <w:pPr>
        <w:ind w:firstLine="749"/>
        <w:spacing w:after="0" w:line="281" w:lineRule="auto"/>
        <w:rPr>
          <w:sz w:val="20"/>
          <w:szCs w:val="20"/>
          <w:color w:val="auto"/>
        </w:rPr>
      </w:pPr>
      <w:r>
        <w:rPr>
          <w:rFonts w:ascii="Times New Roman" w:cs="Times New Roman" w:eastAsia="Times New Roman" w:hAnsi="Times New Roman"/>
          <w:sz w:val="16"/>
          <w:szCs w:val="16"/>
          <w:color w:val="auto"/>
        </w:rPr>
        <w:t>We recorded impairment charges of goodwill and intangible assets of $77.4 million and $4.9 million, respectively, for the year ended December 31, 2023. The impairment charges were the result of lower forecasted earnings and cash flows for the Company’s China reporting unit. There was no impairment charge recognized during the year ended December 31, 2022. See Note 12 to the consolidated financial statements included elsewhere in this Annual Report on Form 10-K for additional information.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Expense</w:t>
      </w:r>
    </w:p>
    <w:p>
      <w:pPr>
        <w:spacing w:after="0" w:line="13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Interest expense increased by $24.6 million to $63.6 million, or 63.1%, for the year ended December 31, 2023, compared to the year</w:t>
      </w:r>
    </w:p>
    <w:p>
      <w:pPr>
        <w:spacing w:after="0" w:line="32"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6"/>
          <w:szCs w:val="16"/>
          <w:color w:val="auto"/>
        </w:rPr>
        <w:t>ended December 31, 2022. The increase was due to higher variable interest rates during the year ended December 31, 2023, compared to the year ended December 31, 2022.</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Income</w:t>
      </w:r>
    </w:p>
    <w:p>
      <w:pPr>
        <w:spacing w:after="0" w:line="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8" w:right="379" w:bottom="1440" w:gutter="0" w:footer="0" w:header="0"/>
        </w:sectPr>
      </w:pPr>
    </w:p>
    <w:bookmarkStart w:id="44" w:name="page45"/>
    <w:bookmarkEnd w:id="44"/>
    <w:p>
      <w:pPr>
        <w:ind w:right="520" w:firstLine="1033"/>
        <w:spacing w:after="0" w:line="298" w:lineRule="auto"/>
        <w:rPr>
          <w:sz w:val="20"/>
          <w:szCs w:val="20"/>
          <w:color w:val="auto"/>
        </w:rPr>
      </w:pPr>
      <w:r>
        <w:rPr>
          <w:rFonts w:ascii="Times New Roman" w:cs="Times New Roman" w:eastAsia="Times New Roman" w:hAnsi="Times New Roman"/>
          <w:sz w:val="16"/>
          <w:szCs w:val="16"/>
          <w:color w:val="auto"/>
        </w:rPr>
        <w:t>Interest income increased $15.3 million to $16.3 million for the year ended December 31, 2023. The increase was due to the amount of cash and cash equivalents held in interest bearing accounts during each year and the variable interest rates during the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 in Fair Value of Warrant Liabilities</w:t>
      </w:r>
    </w:p>
    <w:p>
      <w:pPr>
        <w:spacing w:after="0" w:line="131" w:lineRule="exact"/>
        <w:rPr>
          <w:sz w:val="20"/>
          <w:szCs w:val="20"/>
          <w:color w:val="auto"/>
        </w:rPr>
      </w:pPr>
    </w:p>
    <w:p>
      <w:pPr>
        <w:ind w:right="340" w:firstLine="1033"/>
        <w:spacing w:after="0" w:line="281" w:lineRule="auto"/>
        <w:rPr>
          <w:sz w:val="20"/>
          <w:szCs w:val="20"/>
          <w:color w:val="auto"/>
        </w:rPr>
      </w:pPr>
      <w:r>
        <w:rPr>
          <w:rFonts w:ascii="Times New Roman" w:cs="Times New Roman" w:eastAsia="Times New Roman" w:hAnsi="Times New Roman"/>
          <w:sz w:val="16"/>
          <w:szCs w:val="16"/>
          <w:color w:val="auto"/>
        </w:rPr>
        <w:t>We recognized expense of $15.1 million from a change in fair value of warrant liabilities for the year ended December 31, 2023, compared to income of $26.1 million for the year ended December 31, 2022. The change in fair value of warrant liabilities during each period was primarily due to changes in the price of the Company's common stock during each respective period.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Gain on Sale for Cost Method Investment</w:t>
      </w:r>
    </w:p>
    <w:p>
      <w:pPr>
        <w:spacing w:after="0" w:line="131" w:lineRule="exact"/>
        <w:rPr>
          <w:sz w:val="20"/>
          <w:szCs w:val="20"/>
          <w:color w:val="auto"/>
        </w:rPr>
      </w:pPr>
    </w:p>
    <w:p>
      <w:pPr>
        <w:jc w:val="both"/>
        <w:ind w:right="40" w:firstLine="1074"/>
        <w:spacing w:after="0" w:line="281" w:lineRule="auto"/>
        <w:rPr>
          <w:sz w:val="20"/>
          <w:szCs w:val="20"/>
          <w:color w:val="auto"/>
        </w:rPr>
      </w:pPr>
      <w:r>
        <w:rPr>
          <w:rFonts w:ascii="Times New Roman" w:cs="Times New Roman" w:eastAsia="Times New Roman" w:hAnsi="Times New Roman"/>
          <w:sz w:val="16"/>
          <w:szCs w:val="16"/>
          <w:color w:val="auto"/>
        </w:rPr>
        <w:t>The Company did not recognize any gain or loss on sale for cost method investment during the year ended December 31, 2023. Gain on sale of cost method investment was $3.6 million for the year ended December 31, 2022. The gain recognized was due to the $3.9 million payment received in exchange for its equity interest in an investee as a result of the acquisition of the investee.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Income-Net</w:t>
      </w:r>
    </w:p>
    <w:p>
      <w:pPr>
        <w:spacing w:after="0" w:line="239" w:lineRule="exact"/>
        <w:rPr>
          <w:sz w:val="20"/>
          <w:szCs w:val="20"/>
          <w:color w:val="auto"/>
        </w:rPr>
      </w:pPr>
    </w:p>
    <w:p>
      <w:pPr>
        <w:jc w:val="both"/>
        <w:ind w:firstLine="749"/>
        <w:spacing w:after="0" w:line="281" w:lineRule="auto"/>
        <w:rPr>
          <w:sz w:val="20"/>
          <w:szCs w:val="20"/>
          <w:color w:val="auto"/>
        </w:rPr>
      </w:pPr>
      <w:r>
        <w:rPr>
          <w:rFonts w:ascii="Times New Roman" w:cs="Times New Roman" w:eastAsia="Times New Roman" w:hAnsi="Times New Roman"/>
          <w:sz w:val="16"/>
          <w:szCs w:val="16"/>
          <w:color w:val="auto"/>
        </w:rPr>
        <w:t>Other income-net decreased $4.6 million to $1.8 million for the year ended December 31, 2023 compared to $6.4 million for the year ended December 31, 2022. The decrease was primarily due to an $11.4 million difference in the change in fair value of the interest rate cap derivative instruments, partially offset by a $6.5 million increase in income from the interest rate cap derivative instruments.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Income Tax Provision</w:t>
      </w:r>
    </w:p>
    <w:p>
      <w:pPr>
        <w:spacing w:after="0" w:line="239" w:lineRule="exact"/>
        <w:rPr>
          <w:sz w:val="20"/>
          <w:szCs w:val="20"/>
          <w:color w:val="auto"/>
        </w:rPr>
      </w:pPr>
    </w:p>
    <w:p>
      <w:pPr>
        <w:ind w:right="140" w:firstLine="1033"/>
        <w:spacing w:after="0" w:line="275" w:lineRule="auto"/>
        <w:rPr>
          <w:sz w:val="20"/>
          <w:szCs w:val="20"/>
          <w:color w:val="auto"/>
        </w:rPr>
      </w:pPr>
      <w:r>
        <w:rPr>
          <w:rFonts w:ascii="Times New Roman" w:cs="Times New Roman" w:eastAsia="Times New Roman" w:hAnsi="Times New Roman"/>
          <w:sz w:val="16"/>
          <w:szCs w:val="16"/>
          <w:color w:val="auto"/>
        </w:rPr>
        <w:t>Income tax provision is $5.5 million for the year ended December 31, 2023, compared to $11.5 million for the year ended December 31, 2022. The income tax provision for the year ended December 31, 2023 was primarily due to the Company's taxable income, after the effect of permanent differences related to stock-based compensation expense and the impairment of certain intangible assets. The income tax provision for the year ended December 31, 2022 was due to the Company's pretax income.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Comparison of Fiscal Year Ended December 31, 2022 to Fiscal Year Ended December 31, 2021</w:t>
      </w:r>
    </w:p>
    <w:p>
      <w:pPr>
        <w:spacing w:after="0" w:line="131" w:lineRule="exact"/>
        <w:rPr>
          <w:sz w:val="20"/>
          <w:szCs w:val="20"/>
          <w:color w:val="auto"/>
        </w:rPr>
      </w:pPr>
    </w:p>
    <w:p>
      <w:pPr>
        <w:ind w:right="200" w:firstLine="1033"/>
        <w:spacing w:after="0" w:line="281" w:lineRule="auto"/>
        <w:rPr>
          <w:sz w:val="20"/>
          <w:szCs w:val="20"/>
          <w:color w:val="auto"/>
        </w:rPr>
      </w:pPr>
      <w:r>
        <w:rPr>
          <w:rFonts w:ascii="Times New Roman" w:cs="Times New Roman" w:eastAsia="Times New Roman" w:hAnsi="Times New Roman"/>
          <w:sz w:val="16"/>
          <w:szCs w:val="16"/>
          <w:color w:val="auto"/>
        </w:rPr>
        <w:t>Refer to Item 7. Management's Discussion and Analysis of Financial Condition and Results of Operations located in our Annual Report on Form 10-K for the year ended December 31, 2022, filed on March 1, 2023, for the discussion of the comparison of the year ended December 31, 2022 to the year ended December 31, 2021, the earliest of the three fiscal years presented in the consolidated financial statements.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Non-GAAP Financial Measures</w:t>
      </w:r>
    </w:p>
    <w:p>
      <w:pPr>
        <w:spacing w:after="0" w:line="129" w:lineRule="exact"/>
        <w:rPr>
          <w:sz w:val="20"/>
          <w:szCs w:val="20"/>
          <w:color w:val="auto"/>
        </w:rPr>
      </w:pPr>
    </w:p>
    <w:p>
      <w:pPr>
        <w:ind w:right="40" w:firstLine="1033"/>
        <w:spacing w:after="0" w:line="267" w:lineRule="auto"/>
        <w:rPr>
          <w:sz w:val="20"/>
          <w:szCs w:val="20"/>
          <w:color w:val="auto"/>
        </w:rPr>
      </w:pPr>
      <w:r>
        <w:rPr>
          <w:rFonts w:ascii="Times New Roman" w:cs="Times New Roman" w:eastAsia="Times New Roman" w:hAnsi="Times New Roman"/>
          <w:sz w:val="16"/>
          <w:szCs w:val="16"/>
          <w:color w:val="auto"/>
        </w:rPr>
        <w:t>In addition to our results determined in accordance with GAAP, we believe that Adjusted Gross Profit, Adjusted Operating Expenses, Adjusted Operating Income, Adjusted EBITDA, Adjusted Net Income and Adjusted Earnings Per Share, and Free Cash Flow, which are each non-GAAP measures, are useful in evaluating our operational performance. We use this non-GAAP financial information to evaluate our ongoing operations and for internal planning, budgeting and forecasting purposes and setting management bonus programs. We believe that non-GAAP financial information, when taken collectively with GAAP measures, may be helpful to investors in assessing our operating performance and comparing our performance with competitors and other comparable companies, which may present similar non-GAAP financial measures to investors. Our computation of these non-GAAP measures may not be comparable to other similarly titled measures computed by other companies, because all companies may not calculate these measures in the same fashion. We endeavor to compensate for the limitation of the non-GAAP measure presented by also providing the most directly comparable GAAP measure and a description of the reconciling items and adjustments to derive the non-GAAP measure. These non-GAAP measures should be considered in addition to results prepared in accordance with GAAP, but should not be considered in isolation or as a substitute for performance measures calculated in accordance with GAAP. We compensate for these limitations by relying primarily on our GAAP results and using non-GAAP measures on a supplemental basis.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Adjusted Gross Profit</w:t>
      </w:r>
    </w:p>
    <w:p>
      <w:pPr>
        <w:spacing w:after="0" w:line="131" w:lineRule="exact"/>
        <w:rPr>
          <w:sz w:val="20"/>
          <w:szCs w:val="20"/>
          <w:color w:val="auto"/>
        </w:rPr>
      </w:pPr>
    </w:p>
    <w:p>
      <w:pPr>
        <w:ind w:right="300" w:firstLine="1033"/>
        <w:spacing w:after="0" w:line="266" w:lineRule="auto"/>
        <w:rPr>
          <w:sz w:val="20"/>
          <w:szCs w:val="20"/>
          <w:color w:val="auto"/>
        </w:rPr>
      </w:pPr>
      <w:r>
        <w:rPr>
          <w:rFonts w:ascii="Times New Roman" w:cs="Times New Roman" w:eastAsia="Times New Roman" w:hAnsi="Times New Roman"/>
          <w:sz w:val="16"/>
          <w:szCs w:val="16"/>
          <w:color w:val="auto"/>
        </w:rPr>
        <w:t>We believe that Adjusted Gross Profit, as defined below, provides meaningful supplemental information regarding our performance by excluding certain items that may not be indicative of our recurring core business operating results. Adjusted Gross Profit is defined as gross profit adjusted for amortization of acquired technologies, stock-based compensation and related employer payroll tax, impairment of acquired technologies, contract termination costs, and Business Combination transaction and related costs. The Adjusted Gross Margin is defined as Adjusted Gross Profit divided by Revenue.</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45" w:name="page46"/>
    <w:bookmarkEnd w:id="45"/>
    <w:p>
      <w:pPr>
        <w:ind w:left="760"/>
        <w:spacing w:after="0"/>
        <w:rPr>
          <w:sz w:val="20"/>
          <w:szCs w:val="20"/>
          <w:color w:val="auto"/>
        </w:rPr>
      </w:pPr>
      <w:r>
        <w:rPr>
          <w:rFonts w:ascii="Times New Roman" w:cs="Times New Roman" w:eastAsia="Times New Roman" w:hAnsi="Times New Roman"/>
          <w:sz w:val="16"/>
          <w:szCs w:val="16"/>
          <w:color w:val="auto"/>
        </w:rPr>
        <w:t>The following table reconciles Gross Profit to Adjusted Gross Profit for the years ended December 31, 2023, 2022 and 2021:</w:t>
      </w:r>
    </w:p>
    <w:p>
      <w:pPr>
        <w:spacing w:after="0" w:line="273" w:lineRule="exact"/>
        <w:rPr>
          <w:sz w:val="20"/>
          <w:szCs w:val="20"/>
          <w:color w:val="auto"/>
        </w:rPr>
      </w:pPr>
    </w:p>
    <w:tbl>
      <w:tblPr>
        <w:tblLayout w:type="fixed"/>
        <w:tblInd w:w="580" w:type="dxa"/>
        <w:tblCellMar>
          <w:top w:w="0" w:type="dxa"/>
          <w:left w:w="0" w:type="dxa"/>
          <w:bottom w:w="0" w:type="dxa"/>
          <w:right w:w="0" w:type="dxa"/>
        </w:tblCellMar>
      </w:tblPr>
      <w:tr>
        <w:trPr>
          <w:trHeight w:val="225"/>
        </w:trPr>
        <w:tc>
          <w:tcPr>
            <w:tcW w:w="5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(amounts in thousands, except percentages)</w:t>
            </w:r>
          </w:p>
        </w:tc>
        <w:tc>
          <w:tcPr>
            <w:tcW w:w="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55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Gross Profit</w:t>
            </w:r>
          </w:p>
        </w:tc>
        <w:tc>
          <w:tcPr>
            <w:tcW w:w="3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636,159</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568,509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492,633</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55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Amortization of acquired technologies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26,464</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26,938</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26,320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9"/>
        </w:trPr>
        <w:tc>
          <w:tcPr>
            <w:tcW w:w="5580" w:type="dxa"/>
            <w:vAlign w:val="bottom"/>
            <w:gridSpan w:val="2"/>
            <w:shd w:val="clear" w:color="auto" w:fill="CFF0FC"/>
          </w:tcPr>
          <w:p>
            <w:pPr>
              <w:ind w:left="460"/>
              <w:spacing w:after="0"/>
              <w:rPr>
                <w:sz w:val="20"/>
                <w:szCs w:val="20"/>
                <w:color w:val="auto"/>
              </w:rPr>
            </w:pPr>
            <w:r>
              <w:rPr>
                <w:rFonts w:ascii="Times New Roman" w:cs="Times New Roman" w:eastAsia="Times New Roman" w:hAnsi="Times New Roman"/>
                <w:sz w:val="16"/>
                <w:szCs w:val="16"/>
                <w:color w:val="auto"/>
              </w:rPr>
              <w:t>Stock-based compensation and related employer payroll tax</w:t>
            </w:r>
          </w:p>
        </w:tc>
        <w:tc>
          <w:tcPr>
            <w:tcW w:w="3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9,129</w:t>
            </w:r>
          </w:p>
        </w:tc>
        <w:tc>
          <w:tcPr>
            <w:tcW w:w="4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6,090</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13,644</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55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Impairment of acquired technologies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r>
      <w:tr>
        <w:trPr>
          <w:trHeight w:val="249"/>
        </w:trPr>
        <w:tc>
          <w:tcPr>
            <w:tcW w:w="5580" w:type="dxa"/>
            <w:vAlign w:val="bottom"/>
            <w:gridSpan w:val="2"/>
            <w:shd w:val="clear" w:color="auto" w:fill="CFF0FC"/>
          </w:tcPr>
          <w:p>
            <w:pPr>
              <w:ind w:left="460"/>
              <w:spacing w:after="0"/>
              <w:rPr>
                <w:sz w:val="20"/>
                <w:szCs w:val="20"/>
                <w:color w:val="auto"/>
              </w:rPr>
            </w:pPr>
            <w:r>
              <w:rPr>
                <w:rFonts w:ascii="Times New Roman" w:cs="Times New Roman" w:eastAsia="Times New Roman" w:hAnsi="Times New Roman"/>
                <w:sz w:val="16"/>
                <w:szCs w:val="16"/>
                <w:color w:val="auto"/>
              </w:rPr>
              <w:t>Contract termination costs</w:t>
            </w:r>
          </w:p>
        </w:tc>
        <w:tc>
          <w:tcPr>
            <w:tcW w:w="34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3,248</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r>
      <w:tr>
        <w:trPr>
          <w:trHeight w:val="227"/>
        </w:trPr>
        <w:tc>
          <w:tcPr>
            <w:tcW w:w="55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Business combination transaction and related costs</w:t>
            </w:r>
          </w:p>
        </w:tc>
        <w:tc>
          <w:tcPr>
            <w:tcW w:w="340" w:type="dxa"/>
            <w:vAlign w:val="bottom"/>
          </w:tcPr>
          <w:p>
            <w:pPr>
              <w:spacing w:after="0"/>
              <w:rPr>
                <w:sz w:val="19"/>
                <w:szCs w:val="19"/>
                <w:color w:val="auto"/>
              </w:rPr>
            </w:pPr>
          </w:p>
        </w:tc>
        <w:tc>
          <w:tcPr>
            <w:tcW w:w="1700" w:type="dxa"/>
            <w:vAlign w:val="bottom"/>
            <w:gridSpan w:val="2"/>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66"/>
        </w:trPr>
        <w:tc>
          <w:tcPr>
            <w:tcW w:w="558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Adjusted Gross Profit</w:t>
            </w:r>
          </w:p>
        </w:tc>
        <w:tc>
          <w:tcPr>
            <w:tcW w:w="340" w:type="dxa"/>
            <w:vAlign w:val="bottom"/>
            <w:tcBorders>
              <w:top w:val="single" w:sz="8" w:color="auto"/>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672,183</w:t>
            </w:r>
          </w:p>
        </w:tc>
        <w:tc>
          <w:tcPr>
            <w:tcW w:w="48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604,785</w:t>
            </w:r>
          </w:p>
        </w:tc>
        <w:tc>
          <w:tcPr>
            <w:tcW w:w="28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top w:val="single" w:sz="8" w:color="auto"/>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533,502</w:t>
            </w:r>
          </w:p>
        </w:tc>
        <w:tc>
          <w:tcPr>
            <w:tcW w:w="100" w:type="dxa"/>
            <w:vAlign w:val="bottom"/>
            <w:tcBorders>
              <w:bottom w:val="single" w:sz="8" w:color="CFF0FC"/>
            </w:tcBorders>
            <w:shd w:val="clear" w:color="auto" w:fill="CFF0FC"/>
          </w:tcPr>
          <w:p>
            <w:pPr>
              <w:spacing w:after="0"/>
              <w:rPr>
                <w:sz w:val="23"/>
                <w:szCs w:val="23"/>
                <w:color w:val="auto"/>
              </w:rPr>
            </w:pPr>
          </w:p>
        </w:tc>
        <w:tc>
          <w:tcPr>
            <w:tcW w:w="60" w:type="dxa"/>
            <w:vAlign w:val="bottom"/>
          </w:tcPr>
          <w:p>
            <w:pPr>
              <w:spacing w:after="0"/>
              <w:rPr>
                <w:sz w:val="23"/>
                <w:szCs w:val="23"/>
                <w:color w:val="auto"/>
              </w:rPr>
            </w:pPr>
          </w:p>
        </w:tc>
      </w:tr>
      <w:tr>
        <w:trPr>
          <w:trHeight w:val="191"/>
        </w:trPr>
        <w:tc>
          <w:tcPr>
            <w:tcW w:w="55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Gross Profit Margin</w:t>
            </w:r>
          </w:p>
        </w:tc>
        <w:tc>
          <w:tcPr>
            <w:tcW w:w="340" w:type="dxa"/>
            <w:vAlign w:val="bottom"/>
          </w:tcPr>
          <w:p>
            <w:pPr>
              <w:spacing w:after="0"/>
              <w:rPr>
                <w:sz w:val="16"/>
                <w:szCs w:val="16"/>
                <w:color w:val="auto"/>
              </w:rPr>
            </w:pPr>
          </w:p>
        </w:tc>
        <w:tc>
          <w:tcPr>
            <w:tcW w:w="170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73 %</w:t>
            </w:r>
          </w:p>
        </w:tc>
        <w:tc>
          <w:tcPr>
            <w:tcW w:w="24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73 %</w:t>
            </w:r>
          </w:p>
        </w:tc>
        <w:tc>
          <w:tcPr>
            <w:tcW w:w="36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72 %</w:t>
            </w:r>
          </w:p>
        </w:tc>
      </w:tr>
      <w:tr>
        <w:trPr>
          <w:trHeight w:val="229"/>
        </w:trPr>
        <w:tc>
          <w:tcPr>
            <w:tcW w:w="55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Adjusted Gross Profit Margin</w:t>
            </w:r>
          </w:p>
        </w:tc>
        <w:tc>
          <w:tcPr>
            <w:tcW w:w="340" w:type="dxa"/>
            <w:vAlign w:val="bottom"/>
          </w:tcPr>
          <w:p>
            <w:pPr>
              <w:spacing w:after="0"/>
              <w:rPr>
                <w:sz w:val="19"/>
                <w:szCs w:val="19"/>
                <w:color w:val="auto"/>
              </w:rPr>
            </w:pPr>
          </w:p>
        </w:tc>
        <w:tc>
          <w:tcPr>
            <w:tcW w:w="170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78 %</w:t>
            </w:r>
          </w:p>
        </w:tc>
        <w:tc>
          <w:tcPr>
            <w:tcW w:w="24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77 %</w:t>
            </w:r>
          </w:p>
        </w:tc>
        <w:tc>
          <w:tcPr>
            <w:tcW w:w="36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-132715</wp:posOffset>
            </wp:positionV>
            <wp:extent cx="6772275"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72275" cy="14605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-304165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-287020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-304165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-287020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-304165</wp:posOffset>
            </wp:positionV>
            <wp:extent cx="596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-287020</wp:posOffset>
            </wp:positionV>
            <wp:extent cx="596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Adjusted Operating Expenses</w:t>
      </w:r>
    </w:p>
    <w:p>
      <w:pPr>
        <w:spacing w:after="0" w:line="131" w:lineRule="exact"/>
        <w:rPr>
          <w:sz w:val="20"/>
          <w:szCs w:val="20"/>
          <w:color w:val="auto"/>
        </w:rPr>
      </w:pPr>
    </w:p>
    <w:p>
      <w:pPr>
        <w:ind w:right="200" w:firstLine="1033"/>
        <w:spacing w:after="0" w:line="271" w:lineRule="auto"/>
        <w:rPr>
          <w:sz w:val="20"/>
          <w:szCs w:val="20"/>
          <w:color w:val="auto"/>
        </w:rPr>
      </w:pPr>
      <w:r>
        <w:rPr>
          <w:rFonts w:ascii="Times New Roman" w:cs="Times New Roman" w:eastAsia="Times New Roman" w:hAnsi="Times New Roman"/>
          <w:sz w:val="16"/>
          <w:szCs w:val="16"/>
          <w:color w:val="auto"/>
        </w:rPr>
        <w:t>We believe that Adjusted Operating Expenses, as defined below, provides meaningful supplemental information regarding our performance by excluding certain items that may not be indicative of our recurring core business operating results. Adjusted Operating Expenses is defined as operating expenses adjusted for amortization of intangible assets, stock-based compensation expense and related employer payroll tax, goodwill and intangible asset impairment charges, litigation costs in legal matters in which the Company is the plaintiff, merger and acquisition ("M&amp;A") and integration costs, Business Combination transaction and related costs, including secondary offering costs, lease abandonment charges, lease overlap costs for the incremental expenses associated with the Company’s new corporate headquarters prior to termination of its then existing headquarters’ lease, change in fair value of contingent consideration and income (costs) related to divestiture, net.</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The following table reconciles operating expenses to Adjusted Operating Expenses for the years ended December 31, 2023, 2022 and 2021:</w:t>
      </w:r>
    </w:p>
    <w:p>
      <w:pPr>
        <w:spacing w:after="0" w:line="246" w:lineRule="exact"/>
        <w:rPr>
          <w:sz w:val="20"/>
          <w:szCs w:val="20"/>
          <w:color w:val="auto"/>
        </w:rPr>
      </w:pPr>
    </w:p>
    <w:tbl>
      <w:tblPr>
        <w:tblLayout w:type="fixed"/>
        <w:tblInd w:w="580" w:type="dxa"/>
        <w:tblCellMar>
          <w:top w:w="0" w:type="dxa"/>
          <w:left w:w="0" w:type="dxa"/>
          <w:bottom w:w="0" w:type="dxa"/>
          <w:right w:w="0" w:type="dxa"/>
        </w:tblCellMar>
      </w:tblPr>
      <w:tr>
        <w:trPr>
          <w:trHeight w:val="225"/>
        </w:trPr>
        <w:tc>
          <w:tcPr>
            <w:tcW w:w="5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(dollar amounts in thousands)</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r>
      <w:tr>
        <w:trPr>
          <w:trHeight w:val="230"/>
        </w:trPr>
        <w:tc>
          <w:tcPr>
            <w:tcW w:w="5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660,084</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516,587</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637,308</w:t>
            </w:r>
          </w:p>
        </w:tc>
        <w:tc>
          <w:tcPr>
            <w:tcW w:w="100" w:type="dxa"/>
            <w:vAlign w:val="bottom"/>
            <w:shd w:val="clear" w:color="auto" w:fill="CFF0FC"/>
          </w:tcPr>
          <w:p>
            <w:pPr>
              <w:spacing w:after="0"/>
              <w:rPr>
                <w:sz w:val="19"/>
                <w:szCs w:val="19"/>
                <w:color w:val="auto"/>
              </w:rPr>
            </w:pPr>
          </w:p>
        </w:tc>
      </w:tr>
      <w:tr>
        <w:trPr>
          <w:trHeight w:val="220"/>
        </w:trPr>
        <w:tc>
          <w:tcPr>
            <w:tcW w:w="59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00" w:type="dxa"/>
            <w:vAlign w:val="bottom"/>
          </w:tcPr>
          <w:p>
            <w:pPr>
              <w:spacing w:after="0"/>
              <w:rPr>
                <w:sz w:val="19"/>
                <w:szCs w:val="19"/>
                <w:color w:val="auto"/>
              </w:rPr>
            </w:pPr>
          </w:p>
        </w:tc>
        <w:tc>
          <w:tcPr>
            <w:tcW w:w="13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(71,972 )</w:t>
            </w:r>
          </w:p>
        </w:tc>
        <w:tc>
          <w:tcPr>
            <w:tcW w:w="3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(72,278 )</w:t>
            </w:r>
          </w:p>
        </w:tc>
        <w:tc>
          <w:tcPr>
            <w:tcW w:w="3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(72,358 )</w:t>
            </w:r>
          </w:p>
        </w:tc>
      </w:tr>
      <w:tr>
        <w:trPr>
          <w:trHeight w:val="212"/>
        </w:trPr>
        <w:tc>
          <w:tcPr>
            <w:tcW w:w="590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Stock-based compensation expense and related</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90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employer payroll tax</w:t>
            </w:r>
          </w:p>
        </w:tc>
        <w:tc>
          <w:tcPr>
            <w:tcW w:w="3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(138,578 )</w:t>
            </w:r>
          </w:p>
        </w:tc>
        <w:tc>
          <w:tcPr>
            <w:tcW w:w="3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(105,775 )</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(248,351 )</w:t>
            </w:r>
          </w:p>
        </w:tc>
      </w:tr>
      <w:tr>
        <w:trPr>
          <w:trHeight w:val="220"/>
        </w:trPr>
        <w:tc>
          <w:tcPr>
            <w:tcW w:w="59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Goodwill and intangible asset impairment charges</w:t>
            </w:r>
          </w:p>
        </w:tc>
        <w:tc>
          <w:tcPr>
            <w:tcW w:w="300" w:type="dxa"/>
            <w:vAlign w:val="bottom"/>
          </w:tcPr>
          <w:p>
            <w:pPr>
              <w:spacing w:after="0"/>
              <w:rPr>
                <w:sz w:val="19"/>
                <w:szCs w:val="19"/>
                <w:color w:val="auto"/>
              </w:rPr>
            </w:pPr>
          </w:p>
        </w:tc>
        <w:tc>
          <w:tcPr>
            <w:tcW w:w="13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(82,311 )</w:t>
            </w:r>
          </w:p>
        </w:tc>
        <w:tc>
          <w:tcPr>
            <w:tcW w:w="30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590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Plaintiff litigation costs</w:t>
            </w:r>
          </w:p>
        </w:tc>
        <w:tc>
          <w:tcPr>
            <w:tcW w:w="30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(5,068 )</w:t>
            </w:r>
          </w:p>
        </w:tc>
        <w:tc>
          <w:tcPr>
            <w:tcW w:w="3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(894 )</w:t>
            </w:r>
          </w:p>
        </w:tc>
        <w:tc>
          <w:tcPr>
            <w:tcW w:w="3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59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M&amp;A and integration costs</w:t>
            </w:r>
          </w:p>
        </w:tc>
        <w:tc>
          <w:tcPr>
            <w:tcW w:w="300" w:type="dxa"/>
            <w:vAlign w:val="bottom"/>
          </w:tcPr>
          <w:p>
            <w:pPr>
              <w:spacing w:after="0"/>
              <w:rPr>
                <w:sz w:val="19"/>
                <w:szCs w:val="19"/>
                <w:color w:val="auto"/>
              </w:rPr>
            </w:pPr>
          </w:p>
        </w:tc>
        <w:tc>
          <w:tcPr>
            <w:tcW w:w="13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(3,372 )</w:t>
            </w:r>
          </w:p>
        </w:tc>
        <w:tc>
          <w:tcPr>
            <w:tcW w:w="3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(1,772 )</w:t>
            </w: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590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Business combination transaction and related costs, including secondary offering</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90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costs</w:t>
            </w:r>
          </w:p>
        </w:tc>
        <w:tc>
          <w:tcPr>
            <w:tcW w:w="3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(2,031 )</w:t>
            </w:r>
          </w:p>
        </w:tc>
        <w:tc>
          <w:tcPr>
            <w:tcW w:w="3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(1,330 )</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(11,480 )</w:t>
            </w:r>
          </w:p>
        </w:tc>
      </w:tr>
      <w:tr>
        <w:trPr>
          <w:trHeight w:val="220"/>
        </w:trPr>
        <w:tc>
          <w:tcPr>
            <w:tcW w:w="59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Lease abandonment</w:t>
            </w:r>
          </w:p>
        </w:tc>
        <w:tc>
          <w:tcPr>
            <w:tcW w:w="300" w:type="dxa"/>
            <w:vAlign w:val="bottom"/>
          </w:tcPr>
          <w:p>
            <w:pPr>
              <w:spacing w:after="0"/>
              <w:rPr>
                <w:sz w:val="19"/>
                <w:szCs w:val="19"/>
                <w:color w:val="auto"/>
              </w:rPr>
            </w:pPr>
          </w:p>
        </w:tc>
        <w:tc>
          <w:tcPr>
            <w:tcW w:w="136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(6,137 )</w:t>
            </w:r>
          </w:p>
        </w:tc>
        <w:tc>
          <w:tcPr>
            <w:tcW w:w="3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(2,582 )</w:t>
            </w:r>
          </w:p>
        </w:tc>
      </w:tr>
      <w:tr>
        <w:trPr>
          <w:trHeight w:val="239"/>
        </w:trPr>
        <w:tc>
          <w:tcPr>
            <w:tcW w:w="590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Lease overlap costs</w:t>
            </w:r>
          </w:p>
        </w:tc>
        <w:tc>
          <w:tcPr>
            <w:tcW w:w="30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(1,338 )</w:t>
            </w:r>
          </w:p>
        </w:tc>
        <w:tc>
          <w:tcPr>
            <w:tcW w:w="3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(3,697 )</w:t>
            </w:r>
          </w:p>
        </w:tc>
      </w:tr>
      <w:tr>
        <w:trPr>
          <w:trHeight w:val="220"/>
        </w:trPr>
        <w:tc>
          <w:tcPr>
            <w:tcW w:w="59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Change in fair value of contingent consideration</w:t>
            </w:r>
          </w:p>
        </w:tc>
        <w:tc>
          <w:tcPr>
            <w:tcW w:w="300" w:type="dxa"/>
            <w:vAlign w:val="bottom"/>
          </w:tcPr>
          <w:p>
            <w:pPr>
              <w:spacing w:after="0"/>
              <w:rPr>
                <w:sz w:val="19"/>
                <w:szCs w:val="19"/>
                <w:color w:val="auto"/>
              </w:rPr>
            </w:pPr>
          </w:p>
        </w:tc>
        <w:tc>
          <w:tcPr>
            <w:tcW w:w="136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590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Income (costs) related to divestiture, net</w:t>
            </w:r>
          </w:p>
        </w:tc>
        <w:tc>
          <w:tcPr>
            <w:tcW w:w="30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877</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(2,177 )</w:t>
            </w:r>
          </w:p>
        </w:tc>
      </w:tr>
      <w:tr>
        <w:trPr>
          <w:trHeight w:val="223"/>
        </w:trPr>
        <w:tc>
          <w:tcPr>
            <w:tcW w:w="590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6"/>
                <w:szCs w:val="16"/>
                <w:color w:val="auto"/>
              </w:rPr>
              <w:t>Adjusted operating expenses</w:t>
            </w:r>
          </w:p>
        </w:tc>
        <w:tc>
          <w:tcPr>
            <w:tcW w:w="30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356,752</w:t>
            </w:r>
          </w:p>
        </w:tc>
        <w:tc>
          <w:tcPr>
            <w:tcW w:w="280" w:type="dxa"/>
            <w:vAlign w:val="bottom"/>
            <w:tcBorders>
              <w:top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328,040</w:t>
            </w:r>
          </w:p>
        </w:tc>
        <w:tc>
          <w:tcPr>
            <w:tcW w:w="260" w:type="dxa"/>
            <w:vAlign w:val="bottom"/>
            <w:tcBorders>
              <w:top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296,663</w:t>
            </w:r>
          </w:p>
        </w:tc>
        <w:tc>
          <w:tcPr>
            <w:tcW w:w="100" w:type="dxa"/>
            <w:vAlign w:val="bottom"/>
            <w:tcBorders>
              <w:top w:val="single" w:sz="8" w:color="CFF0FC"/>
            </w:tcBorders>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-179070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-179070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-179070</wp:posOffset>
            </wp:positionV>
            <wp:extent cx="596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Adjusted Operating Income</w:t>
      </w:r>
    </w:p>
    <w:p>
      <w:pPr>
        <w:spacing w:after="0" w:line="131" w:lineRule="exact"/>
        <w:rPr>
          <w:sz w:val="20"/>
          <w:szCs w:val="20"/>
          <w:color w:val="auto"/>
        </w:rPr>
      </w:pPr>
    </w:p>
    <w:p>
      <w:pPr>
        <w:ind w:right="220" w:firstLine="1033"/>
        <w:spacing w:after="0" w:line="265" w:lineRule="auto"/>
        <w:rPr>
          <w:sz w:val="20"/>
          <w:szCs w:val="20"/>
          <w:color w:val="auto"/>
        </w:rPr>
      </w:pPr>
      <w:r>
        <w:rPr>
          <w:rFonts w:ascii="Times New Roman" w:cs="Times New Roman" w:eastAsia="Times New Roman" w:hAnsi="Times New Roman"/>
          <w:sz w:val="16"/>
          <w:szCs w:val="16"/>
          <w:color w:val="auto"/>
        </w:rPr>
        <w:t>We believe that Adjusted Operating Income, as defined below, provides meaningful supplemental information regarding our performance by excluding certain items that may not be indicative of our recurring core business operating results. Adjusted Operating Income is defined as operating (loss) income adjusted for amortization, stock-based compensation expense and related employer payroll tax, goodwill and intangible asset impairment charges, lease abandonment charges, contract termination costs, M&amp;A and integration costs, lease overlap costs for the incremental expenses associated with the Company’s new corporate headquarters prior to termination of its then existing headquarters’ lease, Business Combination transaction and related costs, including secondary offering costs, litigation costs in legal matters in which the Company is the plaintiff, change in fair value of contingent consideration and (income) costs related to divestiture, net.</w:t>
      </w:r>
    </w:p>
    <w:p>
      <w:pPr>
        <w:spacing w:after="0" w:line="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098" w:right="279" w:bottom="1440" w:gutter="0" w:footer="0" w:header="0"/>
        </w:sectPr>
      </w:pPr>
    </w:p>
    <w:bookmarkStart w:id="46" w:name="page47"/>
    <w:bookmarkEnd w:id="46"/>
    <w:p>
      <w:pPr>
        <w:jc w:val="center"/>
        <w:ind w:right="-79"/>
        <w:spacing w:after="0"/>
        <w:rPr>
          <w:sz w:val="20"/>
          <w:szCs w:val="20"/>
          <w:color w:val="auto"/>
        </w:rPr>
      </w:pPr>
      <w:r>
        <w:rPr>
          <w:rFonts w:ascii="Times New Roman" w:cs="Times New Roman" w:eastAsia="Times New Roman" w:hAnsi="Times New Roman"/>
          <w:sz w:val="16"/>
          <w:szCs w:val="16"/>
          <w:color w:val="auto"/>
        </w:rPr>
        <w:t>The following table reconciles operating (loss) income to Adjusted Operating Income for the years ended December 31, 2023, 2022 and 2021:</w:t>
      </w:r>
    </w:p>
    <w:p>
      <w:pPr>
        <w:spacing w:after="0" w:line="200" w:lineRule="exact"/>
        <w:rPr>
          <w:sz w:val="20"/>
          <w:szCs w:val="20"/>
          <w:color w:val="auto"/>
        </w:rPr>
      </w:pPr>
    </w:p>
    <w:p>
      <w:pPr>
        <w:spacing w:after="0" w:line="249" w:lineRule="exact"/>
        <w:rPr>
          <w:sz w:val="20"/>
          <w:szCs w:val="20"/>
          <w:color w:val="auto"/>
        </w:rPr>
      </w:pPr>
    </w:p>
    <w:tbl>
      <w:tblPr>
        <w:tblLayout w:type="fixed"/>
        <w:tblInd w:w="580" w:type="dxa"/>
        <w:tblCellMar>
          <w:top w:w="0" w:type="dxa"/>
          <w:left w:w="0" w:type="dxa"/>
          <w:bottom w:w="0" w:type="dxa"/>
          <w:right w:w="0" w:type="dxa"/>
        </w:tblCellMar>
      </w:tblPr>
      <w:tr>
        <w:trPr>
          <w:trHeight w:val="225"/>
        </w:trPr>
        <w:tc>
          <w:tcPr>
            <w:tcW w:w="5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(dollar amounts in thousands)</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r>
      <w:tr>
        <w:trPr>
          <w:trHeight w:val="230"/>
        </w:trPr>
        <w:tc>
          <w:tcPr>
            <w:tcW w:w="6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(loss) income</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(23,925 )</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51,922</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(144,675 )</w:t>
            </w:r>
          </w:p>
        </w:tc>
      </w:tr>
      <w:tr>
        <w:trPr>
          <w:trHeight w:val="220"/>
        </w:trPr>
        <w:tc>
          <w:tcPr>
            <w:tcW w:w="61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71,972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72,278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72,358</w:t>
            </w:r>
          </w:p>
        </w:tc>
        <w:tc>
          <w:tcPr>
            <w:tcW w:w="100" w:type="dxa"/>
            <w:vAlign w:val="bottom"/>
          </w:tcPr>
          <w:p>
            <w:pPr>
              <w:spacing w:after="0"/>
              <w:rPr>
                <w:sz w:val="19"/>
                <w:szCs w:val="19"/>
                <w:color w:val="auto"/>
              </w:rPr>
            </w:pPr>
          </w:p>
        </w:tc>
      </w:tr>
      <w:tr>
        <w:trPr>
          <w:trHeight w:val="239"/>
        </w:trPr>
        <w:tc>
          <w:tcPr>
            <w:tcW w:w="612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Amortization of acquired technologies—Cost of revenue</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26,464</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26,938</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26,320</w:t>
            </w:r>
          </w:p>
        </w:tc>
        <w:tc>
          <w:tcPr>
            <w:tcW w:w="100" w:type="dxa"/>
            <w:vAlign w:val="bottom"/>
            <w:shd w:val="clear" w:color="auto" w:fill="CFF0FC"/>
          </w:tcPr>
          <w:p>
            <w:pPr>
              <w:spacing w:after="0"/>
              <w:rPr>
                <w:sz w:val="20"/>
                <w:szCs w:val="20"/>
                <w:color w:val="auto"/>
              </w:rPr>
            </w:pPr>
          </w:p>
        </w:tc>
      </w:tr>
      <w:tr>
        <w:trPr>
          <w:trHeight w:val="202"/>
        </w:trPr>
        <w:tc>
          <w:tcPr>
            <w:tcW w:w="61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Stock-based compensation expense and related employer</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61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payroll tax</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147,707</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111,865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261,995</w:t>
            </w:r>
          </w:p>
        </w:tc>
        <w:tc>
          <w:tcPr>
            <w:tcW w:w="100" w:type="dxa"/>
            <w:vAlign w:val="bottom"/>
          </w:tcPr>
          <w:p>
            <w:pPr>
              <w:spacing w:after="0"/>
              <w:rPr>
                <w:sz w:val="19"/>
                <w:szCs w:val="19"/>
                <w:color w:val="auto"/>
              </w:rPr>
            </w:pPr>
          </w:p>
        </w:tc>
      </w:tr>
      <w:tr>
        <w:trPr>
          <w:trHeight w:val="239"/>
        </w:trPr>
        <w:tc>
          <w:tcPr>
            <w:tcW w:w="612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Goodwill and intangible asset impairment charges</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82,742</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61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Plaintiff litigation costs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612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M&amp;A and integration costs</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3,372</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1,772</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61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Business combination transaction and related costs, including secondary offering</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61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costs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12,385</w:t>
            </w:r>
          </w:p>
        </w:tc>
        <w:tc>
          <w:tcPr>
            <w:tcW w:w="100" w:type="dxa"/>
            <w:vAlign w:val="bottom"/>
          </w:tcPr>
          <w:p>
            <w:pPr>
              <w:spacing w:after="0"/>
              <w:rPr>
                <w:sz w:val="19"/>
                <w:szCs w:val="19"/>
                <w:color w:val="auto"/>
              </w:rPr>
            </w:pPr>
          </w:p>
        </w:tc>
      </w:tr>
      <w:tr>
        <w:trPr>
          <w:trHeight w:val="239"/>
        </w:trPr>
        <w:tc>
          <w:tcPr>
            <w:tcW w:w="612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Lease abandonment</w:t>
            </w:r>
          </w:p>
        </w:tc>
        <w:tc>
          <w:tcPr>
            <w:tcW w:w="30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6,137</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2,582</w:t>
            </w:r>
          </w:p>
        </w:tc>
        <w:tc>
          <w:tcPr>
            <w:tcW w:w="100" w:type="dxa"/>
            <w:vAlign w:val="bottom"/>
            <w:shd w:val="clear" w:color="auto" w:fill="CFF0FC"/>
          </w:tcPr>
          <w:p>
            <w:pPr>
              <w:spacing w:after="0"/>
              <w:rPr>
                <w:sz w:val="20"/>
                <w:szCs w:val="20"/>
                <w:color w:val="auto"/>
              </w:rPr>
            </w:pPr>
          </w:p>
        </w:tc>
      </w:tr>
      <w:tr>
        <w:trPr>
          <w:trHeight w:val="220"/>
        </w:trPr>
        <w:tc>
          <w:tcPr>
            <w:tcW w:w="61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Contract termination costs</w:t>
            </w:r>
          </w:p>
        </w:tc>
        <w:tc>
          <w:tcPr>
            <w:tcW w:w="300" w:type="dxa"/>
            <w:vAlign w:val="bottom"/>
          </w:tcPr>
          <w:p>
            <w:pPr>
              <w:spacing w:after="0"/>
              <w:rPr>
                <w:sz w:val="19"/>
                <w:szCs w:val="19"/>
                <w:color w:val="auto"/>
              </w:rPr>
            </w:pPr>
          </w:p>
        </w:tc>
        <w:tc>
          <w:tcPr>
            <w:tcW w:w="13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612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Lease overlap costs</w:t>
            </w:r>
          </w:p>
        </w:tc>
        <w:tc>
          <w:tcPr>
            <w:tcW w:w="30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1,338</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3,697</w:t>
            </w:r>
          </w:p>
        </w:tc>
        <w:tc>
          <w:tcPr>
            <w:tcW w:w="100" w:type="dxa"/>
            <w:vAlign w:val="bottom"/>
            <w:shd w:val="clear" w:color="auto" w:fill="CFF0FC"/>
          </w:tcPr>
          <w:p>
            <w:pPr>
              <w:spacing w:after="0"/>
              <w:rPr>
                <w:sz w:val="20"/>
                <w:szCs w:val="20"/>
                <w:color w:val="auto"/>
              </w:rPr>
            </w:pPr>
          </w:p>
        </w:tc>
      </w:tr>
      <w:tr>
        <w:trPr>
          <w:trHeight w:val="220"/>
        </w:trPr>
        <w:tc>
          <w:tcPr>
            <w:tcW w:w="61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Change in fair value of contingent consideration</w:t>
            </w:r>
          </w:p>
        </w:tc>
        <w:tc>
          <w:tcPr>
            <w:tcW w:w="300" w:type="dxa"/>
            <w:vAlign w:val="bottom"/>
          </w:tcPr>
          <w:p>
            <w:pPr>
              <w:spacing w:after="0"/>
              <w:rPr>
                <w:sz w:val="19"/>
                <w:szCs w:val="19"/>
                <w:color w:val="auto"/>
              </w:rPr>
            </w:pPr>
          </w:p>
        </w:tc>
        <w:tc>
          <w:tcPr>
            <w:tcW w:w="13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(100 )</w:t>
            </w:r>
          </w:p>
        </w:tc>
        <w:tc>
          <w:tcPr>
            <w:tcW w:w="28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612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(Income) costs related to divestiture, net</w:t>
            </w:r>
          </w:p>
        </w:tc>
        <w:tc>
          <w:tcPr>
            <w:tcW w:w="30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(877 )</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2,177</w:t>
            </w:r>
          </w:p>
        </w:tc>
        <w:tc>
          <w:tcPr>
            <w:tcW w:w="100" w:type="dxa"/>
            <w:vAlign w:val="bottom"/>
            <w:shd w:val="clear" w:color="auto" w:fill="CFF0FC"/>
          </w:tcPr>
          <w:p>
            <w:pPr>
              <w:spacing w:after="0"/>
              <w:rPr>
                <w:sz w:val="20"/>
                <w:szCs w:val="20"/>
                <w:color w:val="auto"/>
              </w:rPr>
            </w:pPr>
          </w:p>
        </w:tc>
      </w:tr>
      <w:tr>
        <w:trPr>
          <w:trHeight w:val="223"/>
        </w:trPr>
        <w:tc>
          <w:tcPr>
            <w:tcW w:w="612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6"/>
                <w:szCs w:val="16"/>
                <w:color w:val="auto"/>
              </w:rPr>
              <w:t>Adjusted operating income</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315,431</w:t>
            </w:r>
          </w:p>
        </w:tc>
        <w:tc>
          <w:tcPr>
            <w:tcW w:w="260" w:type="dxa"/>
            <w:vAlign w:val="bottom"/>
            <w:tcBorders>
              <w:top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276,745</w:t>
            </w:r>
          </w:p>
        </w:tc>
        <w:tc>
          <w:tcPr>
            <w:tcW w:w="220" w:type="dxa"/>
            <w:vAlign w:val="bottom"/>
            <w:tcBorders>
              <w:top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236,839</w:t>
            </w:r>
          </w:p>
        </w:tc>
        <w:tc>
          <w:tcPr>
            <w:tcW w:w="100" w:type="dxa"/>
            <w:vAlign w:val="bottom"/>
            <w:tcBorders>
              <w:top w:val="single" w:sz="8" w:color="CFF0FC"/>
            </w:tcBorders>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-179070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-179070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-179070</wp:posOffset>
            </wp:positionV>
            <wp:extent cx="596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Adjusted EBITDA</w:t>
      </w:r>
    </w:p>
    <w:p>
      <w:pPr>
        <w:spacing w:after="0" w:line="131" w:lineRule="exact"/>
        <w:rPr>
          <w:sz w:val="20"/>
          <w:szCs w:val="20"/>
          <w:color w:val="auto"/>
        </w:rPr>
      </w:pPr>
    </w:p>
    <w:p>
      <w:pPr>
        <w:ind w:right="60" w:firstLine="1033"/>
        <w:spacing w:after="0" w:line="268" w:lineRule="auto"/>
        <w:rPr>
          <w:sz w:val="20"/>
          <w:szCs w:val="20"/>
          <w:color w:val="auto"/>
        </w:rPr>
      </w:pPr>
      <w:r>
        <w:rPr>
          <w:rFonts w:ascii="Times New Roman" w:cs="Times New Roman" w:eastAsia="Times New Roman" w:hAnsi="Times New Roman"/>
          <w:sz w:val="16"/>
          <w:szCs w:val="16"/>
          <w:color w:val="auto"/>
        </w:rPr>
        <w:t>We believe that Adjusted EBITDA, as defined below, is useful in evaluating our operational performance distinct and apart from financing costs, certain expenses that may not be indicative of our recurring core business operating results and non-operational expenses. Adjusted EBITDA is defined as net (loss) income adjusted for interest, taxes, amortization, depreciation, stock-based compensation expense and related employer payroll tax, goodwill and intangible asset impairment charges, change in fair value of warrant liabilities, change in fair value of derivative instruments, change in fair value of interest rate swap agreements, litigation costs in legal matters in which the Company is the plaintiff, M&amp;A and integration costs, Business Combination transaction and related costs, including secondary offering costs, income from derivative instruments, lease abandonment charges, contract termination costs, lease overlap costs for the incremental expenses associated with the Company’s new corporate headquarters prior to termination of its then existing headquarters’ lease, change in fair value of contingent consideration, (income) costs related to divestiture, net, gain on sale of cost method investment, and loss on early extinguishment of debt. Adjusted EBITDA Margin is defined as Adjusted EBITDA divided by Revenue.</w:t>
      </w:r>
    </w:p>
    <w:p>
      <w:pPr>
        <w:spacing w:after="0" w:line="28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The following table reconciles net (loss) income to Adjusted EBITDA for the years ended December 31, 2023, 2022 and 2021:</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25"/>
        </w:trPr>
        <w:tc>
          <w:tcPr>
            <w:tcW w:w="5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5"/>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 amounts in thousands)</w:t>
            </w:r>
          </w:p>
        </w:tc>
        <w:tc>
          <w:tcPr>
            <w:tcW w:w="1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60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Net (loss) income</w:t>
            </w:r>
          </w:p>
        </w:tc>
        <w:tc>
          <w:tcPr>
            <w:tcW w:w="46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(90,071 )</w:t>
            </w: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38,406</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(248,919 )</w:t>
            </w:r>
          </w:p>
        </w:tc>
        <w:tc>
          <w:tcPr>
            <w:tcW w:w="40" w:type="dxa"/>
            <w:vAlign w:val="bottom"/>
          </w:tcPr>
          <w:p>
            <w:pPr>
              <w:spacing w:after="0"/>
              <w:rPr>
                <w:sz w:val="19"/>
                <w:szCs w:val="19"/>
                <w:color w:val="auto"/>
              </w:rPr>
            </w:pPr>
          </w:p>
        </w:tc>
      </w:tr>
      <w:tr>
        <w:trPr>
          <w:trHeight w:val="210"/>
        </w:trPr>
        <w:tc>
          <w:tcPr>
            <w:tcW w:w="606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Interest expense</w:t>
            </w:r>
          </w:p>
        </w:tc>
        <w:tc>
          <w:tcPr>
            <w:tcW w:w="4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63,577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38,990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58,990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9"/>
        </w:trPr>
        <w:tc>
          <w:tcPr>
            <w:tcW w:w="606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Interest income</w:t>
            </w:r>
          </w:p>
        </w:tc>
        <w:tc>
          <w:tcPr>
            <w:tcW w:w="46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(16,252 )</w:t>
            </w:r>
          </w:p>
        </w:tc>
        <w:tc>
          <w:tcPr>
            <w:tcW w:w="2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(908 )</w:t>
            </w:r>
          </w:p>
        </w:tc>
        <w:tc>
          <w:tcPr>
            <w:tcW w:w="3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r>
      <w:tr>
        <w:trPr>
          <w:trHeight w:val="220"/>
        </w:trPr>
        <w:tc>
          <w:tcPr>
            <w:tcW w:w="606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5,524</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11,456</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(26,000 )</w:t>
            </w:r>
          </w:p>
        </w:tc>
        <w:tc>
          <w:tcPr>
            <w:tcW w:w="40" w:type="dxa"/>
            <w:vAlign w:val="bottom"/>
          </w:tcPr>
          <w:p>
            <w:pPr>
              <w:spacing w:after="0"/>
              <w:rPr>
                <w:sz w:val="19"/>
                <w:szCs w:val="19"/>
                <w:color w:val="auto"/>
              </w:rPr>
            </w:pPr>
          </w:p>
        </w:tc>
      </w:tr>
      <w:tr>
        <w:trPr>
          <w:trHeight w:val="239"/>
        </w:trPr>
        <w:tc>
          <w:tcPr>
            <w:tcW w:w="606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46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71,972</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72,278</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72,358</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0"/>
        </w:trPr>
        <w:tc>
          <w:tcPr>
            <w:tcW w:w="606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Amortization of acquired technologies—Cost of revenue</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26,464</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26,938</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26,320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9"/>
        </w:trPr>
        <w:tc>
          <w:tcPr>
            <w:tcW w:w="606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Depreciation and amortization related to software, equipment and property</w:t>
            </w:r>
          </w:p>
        </w:tc>
        <w:tc>
          <w:tcPr>
            <w:tcW w:w="46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8,577</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10,161</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12,511</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02"/>
        </w:trPr>
        <w:tc>
          <w:tcPr>
            <w:tcW w:w="606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Depreciation and amortization related to software, equipment and property—Cost</w:t>
            </w: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0"/>
        </w:trPr>
        <w:tc>
          <w:tcPr>
            <w:tcW w:w="606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of revenue</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28,325</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17,772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11,940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9"/>
        </w:trPr>
        <w:tc>
          <w:tcPr>
            <w:tcW w:w="606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Stock-based compensation expense and related employer payroll tax</w:t>
            </w:r>
          </w:p>
        </w:tc>
        <w:tc>
          <w:tcPr>
            <w:tcW w:w="46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147,707</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111,865</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261,995</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0"/>
        </w:trPr>
        <w:tc>
          <w:tcPr>
            <w:tcW w:w="606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Goodwill and intangible asset impairment charges</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82,742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r>
      <w:tr>
        <w:trPr>
          <w:trHeight w:val="239"/>
        </w:trPr>
        <w:tc>
          <w:tcPr>
            <w:tcW w:w="606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46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15,096</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(26,073 )</w:t>
            </w: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64,501</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0"/>
        </w:trPr>
        <w:tc>
          <w:tcPr>
            <w:tcW w:w="606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Change in fair value of derivative instruments</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(5,663 )</w:t>
            </w:r>
          </w:p>
        </w:tc>
        <w:tc>
          <w:tcPr>
            <w:tcW w:w="30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r>
      <w:tr>
        <w:trPr>
          <w:trHeight w:val="239"/>
        </w:trPr>
        <w:tc>
          <w:tcPr>
            <w:tcW w:w="606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Change in fair value of interest rate swap agreements</w:t>
            </w:r>
          </w:p>
        </w:tc>
        <w:tc>
          <w:tcPr>
            <w:tcW w:w="460" w:type="dxa"/>
            <w:vAlign w:val="bottom"/>
            <w:shd w:val="clear" w:color="auto" w:fill="CFF0FC"/>
          </w:tcPr>
          <w:p>
            <w:pPr>
              <w:spacing w:after="0"/>
              <w:rPr>
                <w:sz w:val="20"/>
                <w:szCs w:val="20"/>
                <w:color w:val="auto"/>
              </w:rPr>
            </w:pPr>
          </w:p>
        </w:tc>
        <w:tc>
          <w:tcPr>
            <w:tcW w:w="18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(8,373 )</w:t>
            </w:r>
          </w:p>
        </w:tc>
        <w:tc>
          <w:tcPr>
            <w:tcW w:w="40" w:type="dxa"/>
            <w:vAlign w:val="bottom"/>
          </w:tcPr>
          <w:p>
            <w:pPr>
              <w:spacing w:after="0"/>
              <w:rPr>
                <w:sz w:val="20"/>
                <w:szCs w:val="20"/>
                <w:color w:val="auto"/>
              </w:rPr>
            </w:pPr>
          </w:p>
        </w:tc>
      </w:tr>
      <w:tr>
        <w:trPr>
          <w:trHeight w:val="210"/>
        </w:trPr>
        <w:tc>
          <w:tcPr>
            <w:tcW w:w="606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Income from derivative instruments</w:t>
            </w:r>
          </w:p>
        </w:tc>
        <w:tc>
          <w:tcPr>
            <w:tcW w:w="460" w:type="dxa"/>
            <w:vAlign w:val="bottom"/>
          </w:tcPr>
          <w:p>
            <w:pPr>
              <w:spacing w:after="0"/>
              <w:rPr>
                <w:sz w:val="18"/>
                <w:szCs w:val="18"/>
                <w:color w:val="auto"/>
              </w:rPr>
            </w:pP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(6,460 )</w:t>
            </w:r>
          </w:p>
        </w:tc>
        <w:tc>
          <w:tcPr>
            <w:tcW w:w="2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r>
      <w:tr>
        <w:trPr>
          <w:trHeight w:val="249"/>
        </w:trPr>
        <w:tc>
          <w:tcPr>
            <w:tcW w:w="606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Plaintiff litigation costs</w:t>
            </w:r>
          </w:p>
        </w:tc>
        <w:tc>
          <w:tcPr>
            <w:tcW w:w="46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5,068</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r>
      <w:tr>
        <w:trPr>
          <w:trHeight w:val="220"/>
        </w:trPr>
        <w:tc>
          <w:tcPr>
            <w:tcW w:w="606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M&amp;A and integration costs</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r>
      <w:tr>
        <w:trPr>
          <w:trHeight w:val="212"/>
        </w:trPr>
        <w:tc>
          <w:tcPr>
            <w:tcW w:w="606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Business combination transaction and related costs, including secondary offering</w:t>
            </w:r>
          </w:p>
        </w:tc>
        <w:tc>
          <w:tcPr>
            <w:tcW w:w="4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606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costs</w:t>
            </w:r>
          </w:p>
        </w:tc>
        <w:tc>
          <w:tcPr>
            <w:tcW w:w="4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2,031</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1,330</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12,385</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10"/>
        </w:trPr>
        <w:tc>
          <w:tcPr>
            <w:tcW w:w="606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Lease abandonment</w:t>
            </w:r>
          </w:p>
        </w:tc>
        <w:tc>
          <w:tcPr>
            <w:tcW w:w="460" w:type="dxa"/>
            <w:vAlign w:val="bottom"/>
          </w:tcPr>
          <w:p>
            <w:pPr>
              <w:spacing w:after="0"/>
              <w:rPr>
                <w:sz w:val="18"/>
                <w:szCs w:val="18"/>
                <w:color w:val="auto"/>
              </w:rPr>
            </w:pPr>
          </w:p>
        </w:tc>
        <w:tc>
          <w:tcPr>
            <w:tcW w:w="18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9"/>
        </w:trPr>
        <w:tc>
          <w:tcPr>
            <w:tcW w:w="606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Contract termination costs</w:t>
            </w:r>
          </w:p>
        </w:tc>
        <w:tc>
          <w:tcPr>
            <w:tcW w:w="46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3,248</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r>
      <w:tr>
        <w:trPr>
          <w:trHeight w:val="210"/>
        </w:trPr>
        <w:tc>
          <w:tcPr>
            <w:tcW w:w="606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Lease overlap costs</w:t>
            </w:r>
          </w:p>
        </w:tc>
        <w:tc>
          <w:tcPr>
            <w:tcW w:w="460" w:type="dxa"/>
            <w:vAlign w:val="bottom"/>
          </w:tcPr>
          <w:p>
            <w:pPr>
              <w:spacing w:after="0"/>
              <w:rPr>
                <w:sz w:val="18"/>
                <w:szCs w:val="18"/>
                <w:color w:val="auto"/>
              </w:rPr>
            </w:pPr>
          </w:p>
        </w:tc>
        <w:tc>
          <w:tcPr>
            <w:tcW w:w="18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9"/>
        </w:trPr>
        <w:tc>
          <w:tcPr>
            <w:tcW w:w="606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Change in fair value of contingent consideration</w:t>
            </w:r>
          </w:p>
        </w:tc>
        <w:tc>
          <w:tcPr>
            <w:tcW w:w="46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(100 )</w:t>
            </w:r>
          </w:p>
        </w:tc>
        <w:tc>
          <w:tcPr>
            <w:tcW w:w="3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r>
      <w:tr>
        <w:trPr>
          <w:trHeight w:val="220"/>
        </w:trPr>
        <w:tc>
          <w:tcPr>
            <w:tcW w:w="606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Gain on sale of cost method investment</w:t>
            </w:r>
          </w:p>
        </w:tc>
        <w:tc>
          <w:tcPr>
            <w:tcW w:w="460" w:type="dxa"/>
            <w:vAlign w:val="bottom"/>
          </w:tcPr>
          <w:p>
            <w:pPr>
              <w:spacing w:after="0"/>
              <w:rPr>
                <w:sz w:val="19"/>
                <w:szCs w:val="19"/>
                <w:color w:val="auto"/>
              </w:rPr>
            </w:pPr>
          </w:p>
        </w:tc>
        <w:tc>
          <w:tcPr>
            <w:tcW w:w="18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(3,587 )</w:t>
            </w:r>
          </w:p>
        </w:tc>
        <w:tc>
          <w:tcPr>
            <w:tcW w:w="30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r>
      <w:tr>
        <w:trPr>
          <w:trHeight w:val="239"/>
        </w:trPr>
        <w:tc>
          <w:tcPr>
            <w:tcW w:w="606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(Income) costs related to divestiture, net</w:t>
            </w:r>
          </w:p>
        </w:tc>
        <w:tc>
          <w:tcPr>
            <w:tcW w:w="460" w:type="dxa"/>
            <w:vAlign w:val="bottom"/>
            <w:shd w:val="clear" w:color="auto" w:fill="CFF0FC"/>
          </w:tcPr>
          <w:p>
            <w:pPr>
              <w:spacing w:after="0"/>
              <w:rPr>
                <w:sz w:val="20"/>
                <w:szCs w:val="20"/>
                <w:color w:val="auto"/>
              </w:rPr>
            </w:pPr>
          </w:p>
        </w:tc>
        <w:tc>
          <w:tcPr>
            <w:tcW w:w="18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(877 )</w:t>
            </w: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2,177</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606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Loss on early extinguishment of debt</w:t>
            </w:r>
          </w:p>
        </w:tc>
        <w:tc>
          <w:tcPr>
            <w:tcW w:w="460" w:type="dxa"/>
            <w:vAlign w:val="bottom"/>
          </w:tcPr>
          <w:p>
            <w:pPr>
              <w:spacing w:after="0"/>
              <w:rPr>
                <w:sz w:val="19"/>
                <w:szCs w:val="19"/>
                <w:color w:val="auto"/>
              </w:rPr>
            </w:pPr>
          </w:p>
        </w:tc>
        <w:tc>
          <w:tcPr>
            <w:tcW w:w="18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15,240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67"/>
        </w:trPr>
        <w:tc>
          <w:tcPr>
            <w:tcW w:w="606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Adjusted EBITDA</w:t>
            </w:r>
          </w:p>
        </w:tc>
        <w:tc>
          <w:tcPr>
            <w:tcW w:w="460" w:type="dxa"/>
            <w:vAlign w:val="bottom"/>
            <w:tcBorders>
              <w:top w:val="single" w:sz="8" w:color="auto"/>
              <w:bottom w:val="single" w:sz="8" w:color="auto"/>
            </w:tcBorders>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353,415</w:t>
            </w:r>
          </w:p>
        </w:tc>
        <w:tc>
          <w:tcPr>
            <w:tcW w:w="26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305,377</w:t>
            </w:r>
          </w:p>
        </w:tc>
        <w:tc>
          <w:tcPr>
            <w:tcW w:w="22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261,404</w:t>
            </w:r>
          </w:p>
        </w:tc>
        <w:tc>
          <w:tcPr>
            <w:tcW w:w="100" w:type="dxa"/>
            <w:vAlign w:val="bottom"/>
            <w:tcBorders>
              <w:bottom w:val="single" w:sz="8" w:color="CFF0FC"/>
            </w:tcBorders>
            <w:shd w:val="clear" w:color="auto" w:fill="CFF0FC"/>
          </w:tcPr>
          <w:p>
            <w:pPr>
              <w:spacing w:after="0"/>
              <w:rPr>
                <w:sz w:val="23"/>
                <w:szCs w:val="23"/>
                <w:color w:val="auto"/>
              </w:rPr>
            </w:pPr>
          </w:p>
        </w:tc>
        <w:tc>
          <w:tcPr>
            <w:tcW w:w="40" w:type="dxa"/>
            <w:vAlign w:val="bottom"/>
          </w:tcPr>
          <w:p>
            <w:pPr>
              <w:spacing w:after="0"/>
              <w:rPr>
                <w:sz w:val="23"/>
                <w:szCs w:val="23"/>
                <w:color w:val="auto"/>
              </w:rPr>
            </w:pPr>
          </w:p>
        </w:tc>
      </w:tr>
      <w:tr>
        <w:trPr>
          <w:trHeight w:val="194"/>
        </w:trPr>
        <w:tc>
          <w:tcPr>
            <w:tcW w:w="60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Adjusted EBITDA Margin</w:t>
            </w:r>
          </w:p>
        </w:tc>
        <w:tc>
          <w:tcPr>
            <w:tcW w:w="460" w:type="dxa"/>
            <w:vAlign w:val="bottom"/>
          </w:tcPr>
          <w:p>
            <w:pPr>
              <w:spacing w:after="0"/>
              <w:rPr>
                <w:sz w:val="16"/>
                <w:szCs w:val="16"/>
                <w:color w:val="auto"/>
              </w:rPr>
            </w:pP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41 %</w:t>
            </w:r>
          </w:p>
        </w:tc>
        <w:tc>
          <w:tcPr>
            <w:tcW w:w="280" w:type="dxa"/>
            <w:vAlign w:val="bottom"/>
          </w:tcPr>
          <w:p>
            <w:pPr>
              <w:spacing w:after="0"/>
              <w:rPr>
                <w:sz w:val="16"/>
                <w:szCs w:val="16"/>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39 %</w:t>
            </w:r>
          </w:p>
        </w:tc>
        <w:tc>
          <w:tcPr>
            <w:tcW w:w="300" w:type="dxa"/>
            <w:vAlign w:val="bottom"/>
          </w:tcPr>
          <w:p>
            <w:pPr>
              <w:spacing w:after="0"/>
              <w:rPr>
                <w:sz w:val="16"/>
                <w:szCs w:val="16"/>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-158750</wp:posOffset>
            </wp:positionV>
            <wp:extent cx="774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-141605</wp:posOffset>
            </wp:positionV>
            <wp:extent cx="77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-158750</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-141605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-158750</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-141605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Adjusted Net Income and Adjusted Earnings Per Share</w:t>
      </w:r>
    </w:p>
    <w:p>
      <w:pPr>
        <w:spacing w:after="0" w:line="131" w:lineRule="exact"/>
        <w:rPr>
          <w:sz w:val="20"/>
          <w:szCs w:val="20"/>
          <w:color w:val="auto"/>
        </w:rPr>
      </w:pPr>
    </w:p>
    <w:p>
      <w:pPr>
        <w:ind w:right="160" w:firstLine="1033"/>
        <w:spacing w:after="0" w:line="265" w:lineRule="auto"/>
        <w:rPr>
          <w:sz w:val="20"/>
          <w:szCs w:val="20"/>
          <w:color w:val="auto"/>
        </w:rPr>
      </w:pPr>
      <w:r>
        <w:rPr>
          <w:rFonts w:ascii="Times New Roman" w:cs="Times New Roman" w:eastAsia="Times New Roman" w:hAnsi="Times New Roman"/>
          <w:sz w:val="16"/>
          <w:szCs w:val="16"/>
          <w:color w:val="auto"/>
        </w:rPr>
        <w:t>We believe that Adjusted Net Income, as defined below, and Adjusted Earnings Per Share are useful in evaluating our operational performance distinct and apart from certain expenses that may not be indicative of our recurring core business operating results. Adjusted Net Income is defined as net (loss) income adjusted for the after-tax effects of amortization, stock-based compensation expense and related employer payroll tax, income from derivative instruments, change in fair value of interest rate swap agreements, goodwill and intangible asset impairment charges, change in fair value of warrant liabilities, change in fair value of derivative instruments, litigation costs in legal matters in which the Company is the plaintiff, M&amp;A and integration costs, Business Combination transaction and related costs, including secondary offering costs, lease abandonment charges, contract termination costs, lease overlap costs for the incremental expenses associated with the Company’s new corporate headquarters prior to termination of its then existing headquarters’ lease, change in fair value of contingent consideration, (income) costs related to divestiture, net, gain on sale of cost method investment, and loss on early extinguishment of debt.</w:t>
      </w:r>
    </w:p>
    <w:p>
      <w:pPr>
        <w:spacing w:after="0" w:line="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001" w:right="299" w:bottom="1440" w:gutter="0" w:footer="0" w:header="0"/>
        </w:sectPr>
      </w:pPr>
    </w:p>
    <w:bookmarkStart w:id="48" w:name="page49"/>
    <w:bookmarkEnd w:id="48"/>
    <w:p>
      <w:pPr>
        <w:ind w:left="1040"/>
        <w:spacing w:after="0"/>
        <w:rPr>
          <w:sz w:val="20"/>
          <w:szCs w:val="20"/>
          <w:color w:val="auto"/>
        </w:rPr>
      </w:pPr>
      <w:r>
        <w:rPr>
          <w:rFonts w:ascii="Times New Roman" w:cs="Times New Roman" w:eastAsia="Times New Roman" w:hAnsi="Times New Roman"/>
          <w:sz w:val="16"/>
          <w:szCs w:val="16"/>
          <w:color w:val="auto"/>
        </w:rPr>
        <w:t>The following table reconciles net (loss) income to Adjusted Net Income and Adjusted Earnings per Share for the years ended December 31, 2023, 2022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2021.</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5"/>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23"/>
        </w:trPr>
        <w:tc>
          <w:tcPr>
            <w:tcW w:w="5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 amounts in thousands)</w:t>
            </w:r>
          </w:p>
        </w:tc>
        <w:tc>
          <w:tcPr>
            <w:tcW w:w="1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Pr>
          <w:p>
            <w:pPr>
              <w:spacing w:after="0"/>
              <w:rPr>
                <w:sz w:val="19"/>
                <w:szCs w:val="19"/>
                <w:color w:val="auto"/>
              </w:rPr>
            </w:pPr>
          </w:p>
        </w:tc>
      </w:tr>
      <w:tr>
        <w:trPr>
          <w:trHeight w:val="230"/>
        </w:trPr>
        <w:tc>
          <w:tcPr>
            <w:tcW w:w="60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Net (loss) income</w:t>
            </w:r>
          </w:p>
        </w:tc>
        <w:tc>
          <w:tcPr>
            <w:tcW w:w="42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(90,071 )</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38,406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(248,919 )</w:t>
            </w:r>
          </w:p>
        </w:tc>
      </w:tr>
      <w:tr>
        <w:trPr>
          <w:trHeight w:val="220"/>
        </w:trPr>
        <w:tc>
          <w:tcPr>
            <w:tcW w:w="60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71,972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72,278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72,358</w:t>
            </w:r>
          </w:p>
        </w:tc>
        <w:tc>
          <w:tcPr>
            <w:tcW w:w="220" w:type="dxa"/>
            <w:vAlign w:val="bottom"/>
          </w:tcPr>
          <w:p>
            <w:pPr>
              <w:spacing w:after="0"/>
              <w:rPr>
                <w:sz w:val="19"/>
                <w:szCs w:val="19"/>
                <w:color w:val="auto"/>
              </w:rPr>
            </w:pPr>
          </w:p>
        </w:tc>
      </w:tr>
      <w:tr>
        <w:trPr>
          <w:trHeight w:val="239"/>
        </w:trPr>
        <w:tc>
          <w:tcPr>
            <w:tcW w:w="602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Amortization of acquired technologies—Cost of revenue</w:t>
            </w:r>
          </w:p>
        </w:tc>
        <w:tc>
          <w:tcPr>
            <w:tcW w:w="42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26,464</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26,938</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26,320</w:t>
            </w:r>
          </w:p>
        </w:tc>
        <w:tc>
          <w:tcPr>
            <w:tcW w:w="220" w:type="dxa"/>
            <w:vAlign w:val="bottom"/>
            <w:shd w:val="clear" w:color="auto" w:fill="CFF0FC"/>
          </w:tcPr>
          <w:p>
            <w:pPr>
              <w:spacing w:after="0"/>
              <w:rPr>
                <w:sz w:val="20"/>
                <w:szCs w:val="20"/>
                <w:color w:val="auto"/>
              </w:rPr>
            </w:pPr>
          </w:p>
        </w:tc>
      </w:tr>
      <w:tr>
        <w:trPr>
          <w:trHeight w:val="220"/>
        </w:trPr>
        <w:tc>
          <w:tcPr>
            <w:tcW w:w="60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Stock-based compensation expense and related employer payroll tax</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147,707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111,865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261,995</w:t>
            </w:r>
          </w:p>
        </w:tc>
        <w:tc>
          <w:tcPr>
            <w:tcW w:w="220" w:type="dxa"/>
            <w:vAlign w:val="bottom"/>
          </w:tcPr>
          <w:p>
            <w:pPr>
              <w:spacing w:after="0"/>
              <w:rPr>
                <w:sz w:val="19"/>
                <w:szCs w:val="19"/>
                <w:color w:val="auto"/>
              </w:rPr>
            </w:pPr>
          </w:p>
        </w:tc>
      </w:tr>
      <w:tr>
        <w:trPr>
          <w:trHeight w:val="239"/>
        </w:trPr>
        <w:tc>
          <w:tcPr>
            <w:tcW w:w="602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Goodwill and intangible asset impairment charges</w:t>
            </w:r>
          </w:p>
        </w:tc>
        <w:tc>
          <w:tcPr>
            <w:tcW w:w="42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82,742</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60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15,096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(26,073 )</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64,501</w:t>
            </w:r>
          </w:p>
        </w:tc>
        <w:tc>
          <w:tcPr>
            <w:tcW w:w="220" w:type="dxa"/>
            <w:vAlign w:val="bottom"/>
          </w:tcPr>
          <w:p>
            <w:pPr>
              <w:spacing w:after="0"/>
              <w:rPr>
                <w:sz w:val="19"/>
                <w:szCs w:val="19"/>
                <w:color w:val="auto"/>
              </w:rPr>
            </w:pPr>
          </w:p>
        </w:tc>
      </w:tr>
      <w:tr>
        <w:trPr>
          <w:trHeight w:val="239"/>
        </w:trPr>
        <w:tc>
          <w:tcPr>
            <w:tcW w:w="602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Change in fair value of derivative instruments</w:t>
            </w:r>
          </w:p>
        </w:tc>
        <w:tc>
          <w:tcPr>
            <w:tcW w:w="42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5,743</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(5,663 )</w:t>
            </w: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60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Change in fair value of interest rate swap agreements</w:t>
            </w:r>
          </w:p>
        </w:tc>
        <w:tc>
          <w:tcPr>
            <w:tcW w:w="420" w:type="dxa"/>
            <w:vAlign w:val="bottom"/>
          </w:tcPr>
          <w:p>
            <w:pPr>
              <w:spacing w:after="0"/>
              <w:rPr>
                <w:sz w:val="19"/>
                <w:szCs w:val="19"/>
                <w:color w:val="auto"/>
              </w:rPr>
            </w:pP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(8,373 )</w:t>
            </w:r>
          </w:p>
        </w:tc>
      </w:tr>
      <w:tr>
        <w:trPr>
          <w:trHeight w:val="239"/>
        </w:trPr>
        <w:tc>
          <w:tcPr>
            <w:tcW w:w="602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Plaintiff litigation costs</w:t>
            </w:r>
          </w:p>
        </w:tc>
        <w:tc>
          <w:tcPr>
            <w:tcW w:w="42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5,068</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60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M&amp;A and integration costs</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602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Business combination transaction and related costs, including secondary offering</w:t>
            </w:r>
          </w:p>
        </w:tc>
        <w:tc>
          <w:tcPr>
            <w:tcW w:w="4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30"/>
        </w:trPr>
        <w:tc>
          <w:tcPr>
            <w:tcW w:w="602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costs</w:t>
            </w:r>
          </w:p>
        </w:tc>
        <w:tc>
          <w:tcPr>
            <w:tcW w:w="4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12,385</w:t>
            </w:r>
          </w:p>
        </w:tc>
        <w:tc>
          <w:tcPr>
            <w:tcW w:w="220" w:type="dxa"/>
            <w:vAlign w:val="bottom"/>
            <w:shd w:val="clear" w:color="auto" w:fill="CFF0FC"/>
          </w:tcPr>
          <w:p>
            <w:pPr>
              <w:spacing w:after="0"/>
              <w:rPr>
                <w:sz w:val="19"/>
                <w:szCs w:val="19"/>
                <w:color w:val="auto"/>
              </w:rPr>
            </w:pPr>
          </w:p>
        </w:tc>
      </w:tr>
      <w:tr>
        <w:trPr>
          <w:trHeight w:val="220"/>
        </w:trPr>
        <w:tc>
          <w:tcPr>
            <w:tcW w:w="60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Lease abandonment</w:t>
            </w:r>
          </w:p>
        </w:tc>
        <w:tc>
          <w:tcPr>
            <w:tcW w:w="420" w:type="dxa"/>
            <w:vAlign w:val="bottom"/>
          </w:tcPr>
          <w:p>
            <w:pPr>
              <w:spacing w:after="0"/>
              <w:rPr>
                <w:sz w:val="19"/>
                <w:szCs w:val="19"/>
                <w:color w:val="auto"/>
              </w:rPr>
            </w:pP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2,582</w:t>
            </w:r>
          </w:p>
        </w:tc>
        <w:tc>
          <w:tcPr>
            <w:tcW w:w="220" w:type="dxa"/>
            <w:vAlign w:val="bottom"/>
          </w:tcPr>
          <w:p>
            <w:pPr>
              <w:spacing w:after="0"/>
              <w:rPr>
                <w:sz w:val="19"/>
                <w:szCs w:val="19"/>
                <w:color w:val="auto"/>
              </w:rPr>
            </w:pPr>
          </w:p>
        </w:tc>
      </w:tr>
      <w:tr>
        <w:trPr>
          <w:trHeight w:val="239"/>
        </w:trPr>
        <w:tc>
          <w:tcPr>
            <w:tcW w:w="602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Contract termination costs</w:t>
            </w:r>
          </w:p>
        </w:tc>
        <w:tc>
          <w:tcPr>
            <w:tcW w:w="42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3,248</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60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Lease overlap costs</w:t>
            </w:r>
          </w:p>
        </w:tc>
        <w:tc>
          <w:tcPr>
            <w:tcW w:w="420" w:type="dxa"/>
            <w:vAlign w:val="bottom"/>
          </w:tcPr>
          <w:p>
            <w:pPr>
              <w:spacing w:after="0"/>
              <w:rPr>
                <w:sz w:val="19"/>
                <w:szCs w:val="19"/>
                <w:color w:val="auto"/>
              </w:rPr>
            </w:pP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3,697</w:t>
            </w:r>
          </w:p>
        </w:tc>
        <w:tc>
          <w:tcPr>
            <w:tcW w:w="220" w:type="dxa"/>
            <w:vAlign w:val="bottom"/>
          </w:tcPr>
          <w:p>
            <w:pPr>
              <w:spacing w:after="0"/>
              <w:rPr>
                <w:sz w:val="19"/>
                <w:szCs w:val="19"/>
                <w:color w:val="auto"/>
              </w:rPr>
            </w:pPr>
          </w:p>
        </w:tc>
      </w:tr>
      <w:tr>
        <w:trPr>
          <w:trHeight w:val="239"/>
        </w:trPr>
        <w:tc>
          <w:tcPr>
            <w:tcW w:w="602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Change in fair value of contingent consideration</w:t>
            </w:r>
          </w:p>
        </w:tc>
        <w:tc>
          <w:tcPr>
            <w:tcW w:w="42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(100 )</w:t>
            </w: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60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(Income) costs related to divestiture, net</w:t>
            </w:r>
          </w:p>
        </w:tc>
        <w:tc>
          <w:tcPr>
            <w:tcW w:w="420" w:type="dxa"/>
            <w:vAlign w:val="bottom"/>
          </w:tcPr>
          <w:p>
            <w:pPr>
              <w:spacing w:after="0"/>
              <w:rPr>
                <w:sz w:val="19"/>
                <w:szCs w:val="19"/>
                <w:color w:val="auto"/>
              </w:rPr>
            </w:pP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(877 )</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2,177</w:t>
            </w:r>
          </w:p>
        </w:tc>
        <w:tc>
          <w:tcPr>
            <w:tcW w:w="220" w:type="dxa"/>
            <w:vAlign w:val="bottom"/>
          </w:tcPr>
          <w:p>
            <w:pPr>
              <w:spacing w:after="0"/>
              <w:rPr>
                <w:sz w:val="19"/>
                <w:szCs w:val="19"/>
                <w:color w:val="auto"/>
              </w:rPr>
            </w:pPr>
          </w:p>
        </w:tc>
      </w:tr>
      <w:tr>
        <w:trPr>
          <w:trHeight w:val="239"/>
        </w:trPr>
        <w:tc>
          <w:tcPr>
            <w:tcW w:w="602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Gain on sale of cost method investment</w:t>
            </w:r>
          </w:p>
        </w:tc>
        <w:tc>
          <w:tcPr>
            <w:tcW w:w="42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(3,587 )</w:t>
            </w: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60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Loss on early extinguishment of debt</w:t>
            </w:r>
          </w:p>
        </w:tc>
        <w:tc>
          <w:tcPr>
            <w:tcW w:w="420" w:type="dxa"/>
            <w:vAlign w:val="bottom"/>
          </w:tcPr>
          <w:p>
            <w:pPr>
              <w:spacing w:after="0"/>
              <w:rPr>
                <w:sz w:val="19"/>
                <w:szCs w:val="19"/>
                <w:color w:val="auto"/>
              </w:rPr>
            </w:pP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15,240</w:t>
            </w:r>
          </w:p>
        </w:tc>
        <w:tc>
          <w:tcPr>
            <w:tcW w:w="220" w:type="dxa"/>
            <w:vAlign w:val="bottom"/>
          </w:tcPr>
          <w:p>
            <w:pPr>
              <w:spacing w:after="0"/>
              <w:rPr>
                <w:sz w:val="19"/>
                <w:szCs w:val="19"/>
                <w:color w:val="auto"/>
              </w:rPr>
            </w:pPr>
          </w:p>
        </w:tc>
      </w:tr>
      <w:tr>
        <w:trPr>
          <w:trHeight w:val="233"/>
        </w:trPr>
        <w:tc>
          <w:tcPr>
            <w:tcW w:w="602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Tax effect of adjustments</w:t>
            </w:r>
          </w:p>
        </w:tc>
        <w:tc>
          <w:tcPr>
            <w:tcW w:w="42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(59,638 )</w:t>
            </w:r>
          </w:p>
        </w:tc>
        <w:tc>
          <w:tcPr>
            <w:tcW w:w="3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(51,495 )</w:t>
            </w: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(73,684 )</w:t>
            </w:r>
          </w:p>
        </w:tc>
      </w:tr>
      <w:tr>
        <w:trPr>
          <w:trHeight w:val="210"/>
        </w:trPr>
        <w:tc>
          <w:tcPr>
            <w:tcW w:w="602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6"/>
                <w:szCs w:val="16"/>
                <w:color w:val="auto"/>
              </w:rPr>
              <w:t>Adjusted net income</w:t>
            </w:r>
          </w:p>
        </w:tc>
        <w:tc>
          <w:tcPr>
            <w:tcW w:w="42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210,486</w:t>
            </w:r>
          </w:p>
        </w:tc>
        <w:tc>
          <w:tcPr>
            <w:tcW w:w="24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176,411</w:t>
            </w:r>
          </w:p>
        </w:tc>
        <w:tc>
          <w:tcPr>
            <w:tcW w:w="24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130,279</w:t>
            </w:r>
          </w:p>
        </w:tc>
        <w:tc>
          <w:tcPr>
            <w:tcW w:w="220" w:type="dxa"/>
            <w:vAlign w:val="bottom"/>
            <w:tcBorders>
              <w:top w:val="single" w:sz="8" w:color="CFF0FC"/>
            </w:tcBorders>
          </w:tcPr>
          <w:p>
            <w:pPr>
              <w:spacing w:after="0"/>
              <w:rPr>
                <w:sz w:val="18"/>
                <w:szCs w:val="18"/>
                <w:color w:val="auto"/>
              </w:rPr>
            </w:pPr>
          </w:p>
        </w:tc>
      </w:tr>
      <w:tr>
        <w:trPr>
          <w:trHeight w:val="468"/>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Adjusted net income per share attributable to common stockholders</w:t>
            </w: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9"/>
        </w:trPr>
        <w:tc>
          <w:tcPr>
            <w:tcW w:w="60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Basic</w:t>
            </w:r>
          </w:p>
        </w:tc>
        <w:tc>
          <w:tcPr>
            <w:tcW w:w="42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220" w:type="dxa"/>
            <w:vAlign w:val="bottom"/>
            <w:shd w:val="clear" w:color="auto" w:fill="CFF0FC"/>
          </w:tcPr>
          <w:p>
            <w:pPr>
              <w:spacing w:after="0"/>
              <w:rPr>
                <w:sz w:val="20"/>
                <w:szCs w:val="20"/>
                <w:color w:val="auto"/>
              </w:rPr>
            </w:pPr>
          </w:p>
        </w:tc>
      </w:tr>
      <w:tr>
        <w:trPr>
          <w:trHeight w:val="210"/>
        </w:trPr>
        <w:tc>
          <w:tcPr>
            <w:tcW w:w="60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Diluted</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2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240" w:type="dxa"/>
            <w:vAlign w:val="bottom"/>
          </w:tcPr>
          <w:p>
            <w:pPr>
              <w:spacing w:after="0"/>
              <w:rPr>
                <w:sz w:val="18"/>
                <w:szCs w:val="18"/>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220" w:type="dxa"/>
            <w:vAlign w:val="bottom"/>
          </w:tcPr>
          <w:p>
            <w:pPr>
              <w:spacing w:after="0"/>
              <w:rPr>
                <w:sz w:val="18"/>
                <w:szCs w:val="18"/>
                <w:color w:val="auto"/>
              </w:rPr>
            </w:pPr>
          </w:p>
        </w:tc>
      </w:tr>
      <w:tr>
        <w:trPr>
          <w:trHeight w:val="249"/>
        </w:trPr>
        <w:tc>
          <w:tcPr>
            <w:tcW w:w="5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30"/>
        </w:trPr>
        <w:tc>
          <w:tcPr>
            <w:tcW w:w="60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4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20"/>
        </w:trPr>
        <w:tc>
          <w:tcPr>
            <w:tcW w:w="60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Basic</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617,889,384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607,760,886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543,558,222</w:t>
            </w:r>
          </w:p>
        </w:tc>
        <w:tc>
          <w:tcPr>
            <w:tcW w:w="220" w:type="dxa"/>
            <w:vAlign w:val="bottom"/>
          </w:tcPr>
          <w:p>
            <w:pPr>
              <w:spacing w:after="0"/>
              <w:rPr>
                <w:sz w:val="19"/>
                <w:szCs w:val="19"/>
                <w:color w:val="auto"/>
              </w:rPr>
            </w:pPr>
          </w:p>
        </w:tc>
      </w:tr>
      <w:tr>
        <w:trPr>
          <w:trHeight w:val="239"/>
        </w:trPr>
        <w:tc>
          <w:tcPr>
            <w:tcW w:w="60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Diluted</w:t>
            </w:r>
          </w:p>
        </w:tc>
        <w:tc>
          <w:tcPr>
            <w:tcW w:w="42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651,587,360</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642,841,596</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575,619,243</w:t>
            </w:r>
          </w:p>
        </w:tc>
        <w:tc>
          <w:tcPr>
            <w:tcW w:w="22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-1319530</wp:posOffset>
            </wp:positionV>
            <wp:extent cx="768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-1319530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-1319530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Free Cash Flow</w:t>
      </w:r>
    </w:p>
    <w:p>
      <w:pPr>
        <w:spacing w:after="0" w:line="131" w:lineRule="exact"/>
        <w:rPr>
          <w:sz w:val="20"/>
          <w:szCs w:val="20"/>
          <w:color w:val="auto"/>
        </w:rPr>
      </w:pPr>
    </w:p>
    <w:p>
      <w:pPr>
        <w:ind w:right="420" w:firstLine="1033"/>
        <w:spacing w:after="0" w:line="281" w:lineRule="auto"/>
        <w:rPr>
          <w:sz w:val="20"/>
          <w:szCs w:val="20"/>
          <w:color w:val="auto"/>
        </w:rPr>
      </w:pPr>
      <w:r>
        <w:rPr>
          <w:rFonts w:ascii="Times New Roman" w:cs="Times New Roman" w:eastAsia="Times New Roman" w:hAnsi="Times New Roman"/>
          <w:sz w:val="16"/>
          <w:szCs w:val="16"/>
          <w:color w:val="auto"/>
        </w:rPr>
        <w:t>We believe that Free Cash Flow, as defined below, provides meaningful supplemental information regarding our ability to generate cash and fund our operations and capital expenditures. Free Cash Flow is defined as net cash provided by operating activities less cash used for the purchases of software, equipment and property, and purchase of intangible assets.</w:t>
      </w:r>
    </w:p>
    <w:p>
      <w:pPr>
        <w:spacing w:after="0" w:line="6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The following table reconciles net cash provided by operating activities to Free Cash Flow for the years ended December 31, 2023, 2022 and 2021: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(dollar amounts in thousands)</w:t>
            </w: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3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r>
      <w:tr>
        <w:trPr>
          <w:trHeight w:val="226"/>
        </w:trPr>
        <w:tc>
          <w:tcPr>
            <w:tcW w:w="5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250,033</w:t>
            </w:r>
          </w:p>
        </w:tc>
        <w:tc>
          <w:tcPr>
            <w:tcW w:w="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199,907</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127,335</w:t>
            </w:r>
          </w:p>
        </w:tc>
        <w:tc>
          <w:tcPr>
            <w:tcW w:w="100" w:type="dxa"/>
            <w:vAlign w:val="bottom"/>
            <w:shd w:val="clear" w:color="auto" w:fill="CFF0FC"/>
          </w:tcPr>
          <w:p>
            <w:pPr>
              <w:spacing w:after="0"/>
              <w:rPr>
                <w:sz w:val="19"/>
                <w:szCs w:val="19"/>
                <w:color w:val="auto"/>
              </w:rPr>
            </w:pPr>
          </w:p>
        </w:tc>
      </w:tr>
      <w:tr>
        <w:trPr>
          <w:trHeight w:val="220"/>
        </w:trPr>
        <w:tc>
          <w:tcPr>
            <w:tcW w:w="5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Less: Purchases of software, equipment, and property</w:t>
            </w:r>
          </w:p>
        </w:tc>
        <w:tc>
          <w:tcPr>
            <w:tcW w:w="32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(55,032 )</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(47,951 )</w:t>
            </w:r>
          </w:p>
        </w:tc>
        <w:tc>
          <w:tcPr>
            <w:tcW w:w="3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(38,321 )</w:t>
            </w:r>
          </w:p>
        </w:tc>
      </w:tr>
      <w:tr>
        <w:trPr>
          <w:trHeight w:val="233"/>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Less: Purchase of intangible assets</w:t>
            </w: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(49 )</w:t>
            </w:r>
          </w:p>
        </w:tc>
      </w:tr>
      <w:tr>
        <w:trPr>
          <w:trHeight w:val="226"/>
        </w:trPr>
        <w:tc>
          <w:tcPr>
            <w:tcW w:w="5740" w:type="dxa"/>
            <w:vAlign w:val="bottom"/>
            <w:tcBorders>
              <w:top w:val="single" w:sz="8" w:color="CFF0FC"/>
            </w:tcBorders>
          </w:tcPr>
          <w:p>
            <w:pPr>
              <w:ind w:left="480"/>
              <w:spacing w:after="0"/>
              <w:rPr>
                <w:sz w:val="20"/>
                <w:szCs w:val="20"/>
                <w:color w:val="auto"/>
              </w:rPr>
            </w:pPr>
            <w:r>
              <w:rPr>
                <w:rFonts w:ascii="Times New Roman" w:cs="Times New Roman" w:eastAsia="Times New Roman" w:hAnsi="Times New Roman"/>
                <w:sz w:val="16"/>
                <w:szCs w:val="16"/>
                <w:color w:val="auto"/>
              </w:rPr>
              <w:t>Free Cash Flow</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195,001</w:t>
            </w:r>
          </w:p>
        </w:tc>
        <w:tc>
          <w:tcPr>
            <w:tcW w:w="8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151,956</w:t>
            </w:r>
          </w:p>
        </w:tc>
        <w:tc>
          <w:tcPr>
            <w:tcW w:w="320" w:type="dxa"/>
            <w:vAlign w:val="bottom"/>
            <w:tcBorders>
              <w:top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88,965</w:t>
            </w:r>
          </w:p>
        </w:tc>
        <w:tc>
          <w:tcPr>
            <w:tcW w:w="100" w:type="dxa"/>
            <w:vAlign w:val="bottom"/>
            <w:tcBorders>
              <w:top w:val="single" w:sz="8" w:color="CFF0FC"/>
            </w:tcBorders>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4544060</wp:posOffset>
            </wp:positionH>
            <wp:positionV relativeFrom="paragraph">
              <wp:posOffset>-937895</wp:posOffset>
            </wp:positionV>
            <wp:extent cx="93980" cy="1879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3980" cy="187960"/>
                    </a:xfrm>
                    <a:prstGeom prst="rect">
                      <a:avLst/>
                    </a:prstGeom>
                    <a:noFill/>
                  </pic:spPr>
                </pic:pic>
              </a:graphicData>
            </a:graphic>
          </wp:anchor>
        </w:drawing>
        <w:drawing>
          <wp:anchor simplePos="0" relativeHeight="251657728" behindDoc="1" locked="0" layoutInCell="0" allowOverlap="1">
            <wp:simplePos x="0" y="0"/>
            <wp:positionH relativeFrom="column">
              <wp:posOffset>5607050</wp:posOffset>
            </wp:positionH>
            <wp:positionV relativeFrom="paragraph">
              <wp:posOffset>-937895</wp:posOffset>
            </wp:positionV>
            <wp:extent cx="93980" cy="1879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3980" cy="187960"/>
                    </a:xfrm>
                    <a:prstGeom prst="rect">
                      <a:avLst/>
                    </a:prstGeom>
                    <a:noFill/>
                  </pic:spPr>
                </pic:pic>
              </a:graphicData>
            </a:graphic>
          </wp:anchor>
        </w:drawing>
        <w:drawing>
          <wp:anchor simplePos="0" relativeHeight="251657728" behindDoc="1" locked="0" layoutInCell="0" allowOverlap="1">
            <wp:simplePos x="0" y="0"/>
            <wp:positionH relativeFrom="column">
              <wp:posOffset>6704330</wp:posOffset>
            </wp:positionH>
            <wp:positionV relativeFrom="paragraph">
              <wp:posOffset>-937895</wp:posOffset>
            </wp:positionV>
            <wp:extent cx="85725" cy="1879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725" cy="18796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-179705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-179705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-179705</wp:posOffset>
            </wp:positionV>
            <wp:extent cx="603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29" w:lineRule="exact"/>
        <w:rPr>
          <w:sz w:val="20"/>
          <w:szCs w:val="20"/>
          <w:color w:val="auto"/>
        </w:rPr>
      </w:pPr>
    </w:p>
    <w:p>
      <w:pPr>
        <w:jc w:val="both"/>
        <w:ind w:right="200" w:firstLine="1033"/>
        <w:spacing w:after="0" w:line="281" w:lineRule="auto"/>
        <w:rPr>
          <w:sz w:val="20"/>
          <w:szCs w:val="20"/>
          <w:color w:val="auto"/>
        </w:rPr>
      </w:pPr>
      <w:r>
        <w:rPr>
          <w:rFonts w:ascii="Times New Roman" w:cs="Times New Roman" w:eastAsia="Times New Roman" w:hAnsi="Times New Roman"/>
          <w:sz w:val="16"/>
          <w:szCs w:val="16"/>
          <w:color w:val="auto"/>
        </w:rPr>
        <w:t>We have financed our operations with cash flows from operations. The Company generated $250.0 million of cash flows from operating activities for the year ended December 31, 2023. As of December 31, 2023, the Company had cash and cash equivalents of $195.6 million and a working capital surplus of $197.1 million. As of December 31, 2023, the Company had an accumulated deficit totaling $1,126.5 million and $784.0 million principal outstanding on our term loan.</w:t>
      </w:r>
    </w:p>
    <w:p>
      <w:pPr>
        <w:spacing w:after="0" w:line="69" w:lineRule="exact"/>
        <w:rPr>
          <w:sz w:val="20"/>
          <w:szCs w:val="20"/>
          <w:color w:val="auto"/>
        </w:rPr>
      </w:pPr>
    </w:p>
    <w:p>
      <w:pPr>
        <w:ind w:firstLine="1033"/>
        <w:spacing w:after="0" w:line="281" w:lineRule="auto"/>
        <w:rPr>
          <w:sz w:val="20"/>
          <w:szCs w:val="20"/>
          <w:color w:val="auto"/>
        </w:rPr>
      </w:pPr>
      <w:r>
        <w:rPr>
          <w:rFonts w:ascii="Times New Roman" w:cs="Times New Roman" w:eastAsia="Times New Roman" w:hAnsi="Times New Roman"/>
          <w:sz w:val="16"/>
          <w:szCs w:val="16"/>
          <w:color w:val="auto"/>
        </w:rPr>
        <w:t>We believe that our existing cash and cash equivalents, our cash flows from operating activities and our borrowing capacity under our 2021 Revolving Credit Facility will be sufficient to fund our operations, fund required long-term debt repayments and meet our commitments for capital expenditures for at least the next twelve months.</w:t>
      </w:r>
    </w:p>
    <w:p>
      <w:pPr>
        <w:spacing w:after="0" w:line="69" w:lineRule="exact"/>
        <w:rPr>
          <w:sz w:val="20"/>
          <w:szCs w:val="20"/>
          <w:color w:val="auto"/>
        </w:rPr>
      </w:pPr>
    </w:p>
    <w:p>
      <w:pPr>
        <w:ind w:firstLine="1033"/>
        <w:spacing w:after="0" w:line="267" w:lineRule="auto"/>
        <w:rPr>
          <w:sz w:val="20"/>
          <w:szCs w:val="20"/>
          <w:color w:val="auto"/>
        </w:rPr>
      </w:pPr>
      <w:r>
        <w:rPr>
          <w:rFonts w:ascii="Times New Roman" w:cs="Times New Roman" w:eastAsia="Times New Roman" w:hAnsi="Times New Roman"/>
          <w:sz w:val="16"/>
          <w:szCs w:val="16"/>
          <w:color w:val="auto"/>
        </w:rPr>
        <w:t>We are not currently a party to any material definitive agreement regarding potential investments in, or acquisitions of, complementary business, applications or technologies. However, we may enter into these types of arrangements, which could reduce our cash and cash equivalents or require us to seek additional equity or debt financing. Additional funds from financing arrangements may not be available on terms favorable to us or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042"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color w:val="auto"/>
        </w:rPr>
        <w:t>at all. We may require additional borrowings under our credit arrangements and alternative forms of financings or investments to achieve our longer-term strategic plans.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Debt</w:t>
      </w:r>
    </w:p>
    <w:p>
      <w:pPr>
        <w:spacing w:after="0" w:line="131" w:lineRule="exact"/>
        <w:rPr>
          <w:sz w:val="20"/>
          <w:szCs w:val="20"/>
          <w:color w:val="auto"/>
        </w:rPr>
      </w:pPr>
    </w:p>
    <w:p>
      <w:pPr>
        <w:ind w:right="460" w:firstLine="1033"/>
        <w:spacing w:after="0" w:line="298" w:lineRule="auto"/>
        <w:rPr>
          <w:sz w:val="20"/>
          <w:szCs w:val="20"/>
          <w:color w:val="auto"/>
        </w:rPr>
      </w:pPr>
      <w:r>
        <w:rPr>
          <w:rFonts w:ascii="Times New Roman" w:cs="Times New Roman" w:eastAsia="Times New Roman" w:hAnsi="Times New Roman"/>
          <w:sz w:val="16"/>
          <w:szCs w:val="16"/>
          <w:color w:val="auto"/>
        </w:rPr>
        <w:t>On September 21, 2021, CCC Intelligent Solutions Inc., an indirect wholly owned subsidiary of the Company, together with certain of the Company’s subsidiaries acting as guarantors entered into a credit agreement (the "2021 Credit Agreement").</w:t>
      </w:r>
    </w:p>
    <w:p>
      <w:pPr>
        <w:spacing w:after="0" w:line="56" w:lineRule="exact"/>
        <w:rPr>
          <w:sz w:val="20"/>
          <w:szCs w:val="20"/>
          <w:color w:val="auto"/>
        </w:rPr>
      </w:pPr>
    </w:p>
    <w:p>
      <w:pPr>
        <w:ind w:right="140" w:firstLine="1033"/>
        <w:spacing w:after="0" w:line="298" w:lineRule="auto"/>
        <w:rPr>
          <w:sz w:val="20"/>
          <w:szCs w:val="20"/>
          <w:color w:val="auto"/>
        </w:rPr>
      </w:pPr>
      <w:r>
        <w:rPr>
          <w:rFonts w:ascii="Times New Roman" w:cs="Times New Roman" w:eastAsia="Times New Roman" w:hAnsi="Times New Roman"/>
          <w:sz w:val="16"/>
          <w:szCs w:val="16"/>
          <w:color w:val="auto"/>
        </w:rPr>
        <w:t>The 2021 Credit Agreement replaced the Company’s 2017 First Lien Credit Agreement (the “First Lien Credit Agreement”), dated as of April 27, 2017, as amended as of February 14, 2020.</w:t>
      </w:r>
    </w:p>
    <w:p>
      <w:pPr>
        <w:spacing w:after="0" w:line="5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The proceeds of the 2021 Credit Agreement were used to repay all outstanding borrowings under the First Lien Credit Agreement.</w:t>
      </w:r>
    </w:p>
    <w:p>
      <w:pPr>
        <w:spacing w:after="0" w:line="125" w:lineRule="exact"/>
        <w:rPr>
          <w:sz w:val="20"/>
          <w:szCs w:val="20"/>
          <w:color w:val="auto"/>
        </w:rPr>
      </w:pPr>
    </w:p>
    <w:p>
      <w:pPr>
        <w:ind w:right="140" w:firstLine="1033"/>
        <w:spacing w:after="0" w:line="276" w:lineRule="auto"/>
        <w:rPr>
          <w:sz w:val="20"/>
          <w:szCs w:val="20"/>
          <w:color w:val="auto"/>
        </w:rPr>
      </w:pPr>
      <w:r>
        <w:rPr>
          <w:rFonts w:ascii="Times New Roman" w:cs="Times New Roman" w:eastAsia="Times New Roman" w:hAnsi="Times New Roman"/>
          <w:sz w:val="16"/>
          <w:szCs w:val="16"/>
          <w:i w:val="1"/>
          <w:iCs w:val="1"/>
          <w:color w:val="auto"/>
        </w:rPr>
        <w:t>2021 Credit Agreement</w:t>
      </w:r>
      <w:r>
        <w:rPr>
          <w:rFonts w:ascii="Times New Roman" w:cs="Times New Roman" w:eastAsia="Times New Roman" w:hAnsi="Times New Roman"/>
          <w:sz w:val="16"/>
          <w:szCs w:val="16"/>
          <w:color w:val="auto"/>
        </w:rPr>
        <w:t>—The 2021 Credit Agreement consists of the $800.0 million term loan (the "Term B Loan") and a revolving credit facility for 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aggregate principal amount of $250.0 million (the "2021 Revolving Credit Facility" and together with the Term B Loan, the "2021 Credit Facilities"). The 2021 Revolving Credit Facility has a sublimit of $75.0 million for letters of credit. The Company received proceeds of $798.0 million, net of debt discount of $2.0 million, related to the Term B Loan.</w:t>
      </w:r>
    </w:p>
    <w:p>
      <w:pPr>
        <w:spacing w:after="0" w:line="74" w:lineRule="exact"/>
        <w:rPr>
          <w:sz w:val="20"/>
          <w:szCs w:val="20"/>
          <w:color w:val="auto"/>
        </w:rPr>
      </w:pPr>
    </w:p>
    <w:p>
      <w:pPr>
        <w:ind w:right="80" w:firstLine="1033"/>
        <w:spacing w:after="0" w:line="269" w:lineRule="auto"/>
        <w:rPr>
          <w:sz w:val="20"/>
          <w:szCs w:val="20"/>
          <w:color w:val="auto"/>
        </w:rPr>
      </w:pPr>
      <w:r>
        <w:rPr>
          <w:rFonts w:ascii="Times New Roman" w:cs="Times New Roman" w:eastAsia="Times New Roman" w:hAnsi="Times New Roman"/>
          <w:sz w:val="16"/>
          <w:szCs w:val="16"/>
          <w:color w:val="auto"/>
        </w:rPr>
        <w:t>The Term B Loan requires quarterly principal payments of $2.0 million until June 30, 2028, with the remaining outstanding principal amount required to be paid on the maturity date, September 21, 2028. Beginning with fiscal year ended December 31, 2022, if the Company's leverage ratio, as defined in the 2021 Credit Agreement is greater than 3.5, the Term B Loan requires a prepayment of principal, subject to certain exceptions, in connection with the receipt of proceeds from certain asset sales, casualty events, and debt issuances by the Company, and up to 50% of annual excess cash flow, as defined in and as further set forth in the 2021 Credit Agreement. When a principal prepayment is required, the prepayment offsets the future quarterly principal payments of the same amount. As of December 31, 2023 and 2022, the Company's leverage ratio did not exceed the 3.5 threshold and the Company was not subject to the annual excess cash flow calculation, and as such, not required to make a prepayment of principal.</w:t>
      </w:r>
    </w:p>
    <w:p>
      <w:pPr>
        <w:spacing w:after="0" w:line="82" w:lineRule="exact"/>
        <w:rPr>
          <w:sz w:val="20"/>
          <w:szCs w:val="20"/>
          <w:color w:val="auto"/>
        </w:rPr>
      </w:pPr>
    </w:p>
    <w:p>
      <w:pPr>
        <w:ind w:right="400" w:firstLine="1033"/>
        <w:spacing w:after="0" w:line="298" w:lineRule="auto"/>
        <w:rPr>
          <w:sz w:val="20"/>
          <w:szCs w:val="20"/>
          <w:color w:val="auto"/>
        </w:rPr>
      </w:pPr>
      <w:r>
        <w:rPr>
          <w:rFonts w:ascii="Times New Roman" w:cs="Times New Roman" w:eastAsia="Times New Roman" w:hAnsi="Times New Roman"/>
          <w:sz w:val="16"/>
          <w:szCs w:val="16"/>
          <w:color w:val="auto"/>
        </w:rPr>
        <w:t>As of December 31, 2023 and 2022, the amount outstanding under the Term B Loan is $784.0 million and $792.0 million, respectively, of which, $8.0 million is classified as current.</w:t>
      </w:r>
    </w:p>
    <w:p>
      <w:pPr>
        <w:spacing w:after="0" w:line="56" w:lineRule="exact"/>
        <w:rPr>
          <w:sz w:val="20"/>
          <w:szCs w:val="20"/>
          <w:color w:val="auto"/>
        </w:rPr>
      </w:pPr>
    </w:p>
    <w:p>
      <w:pPr>
        <w:ind w:right="600" w:firstLine="1033"/>
        <w:spacing w:after="0" w:line="298" w:lineRule="auto"/>
        <w:rPr>
          <w:sz w:val="20"/>
          <w:szCs w:val="20"/>
          <w:color w:val="auto"/>
        </w:rPr>
      </w:pPr>
      <w:r>
        <w:rPr>
          <w:rFonts w:ascii="Times New Roman" w:cs="Times New Roman" w:eastAsia="Times New Roman" w:hAnsi="Times New Roman"/>
          <w:sz w:val="16"/>
          <w:szCs w:val="16"/>
          <w:color w:val="auto"/>
        </w:rPr>
        <w:t>Borrowings under the 2021 Credit Facilities bear interest at rates based on the ratio of the Company’s and its subsidiaries’ consolidated first lien net indebtedness to the Company’s and its subsidiaries’ consolidated EBITDA for applicable periods specified in the 2021 Credit Agreement.</w:t>
      </w:r>
    </w:p>
    <w:p>
      <w:pPr>
        <w:spacing w:after="0" w:line="56" w:lineRule="exact"/>
        <w:rPr>
          <w:sz w:val="20"/>
          <w:szCs w:val="20"/>
          <w:color w:val="auto"/>
        </w:rPr>
      </w:pPr>
    </w:p>
    <w:p>
      <w:pPr>
        <w:ind w:right="60" w:firstLine="1033"/>
        <w:spacing w:after="0" w:line="281" w:lineRule="auto"/>
        <w:rPr>
          <w:sz w:val="20"/>
          <w:szCs w:val="20"/>
          <w:color w:val="auto"/>
        </w:rPr>
      </w:pPr>
      <w:r>
        <w:rPr>
          <w:rFonts w:ascii="Times New Roman" w:cs="Times New Roman" w:eastAsia="Times New Roman" w:hAnsi="Times New Roman"/>
          <w:sz w:val="16"/>
          <w:szCs w:val="16"/>
          <w:color w:val="auto"/>
        </w:rPr>
        <w:t>On May 19, 2023, the Company entered into Amendment No. 1 to the 2021 Credit Agreement (the “Amendment”) to establish SOFR as the benchmark rate for determining the applicable interest rate, replacing LIBOR. No other terms, including the amount of borrowings, required payments or maturity date, were changed as a result of the Amendment. The Company did not incur any significant costs associated with the Amendment.</w:t>
      </w:r>
    </w:p>
    <w:p>
      <w:pPr>
        <w:spacing w:after="0" w:line="69" w:lineRule="exact"/>
        <w:rPr>
          <w:sz w:val="20"/>
          <w:szCs w:val="20"/>
          <w:color w:val="auto"/>
        </w:rPr>
      </w:pPr>
    </w:p>
    <w:p>
      <w:pPr>
        <w:ind w:firstLine="1033"/>
        <w:spacing w:after="0" w:line="281" w:lineRule="auto"/>
        <w:rPr>
          <w:sz w:val="20"/>
          <w:szCs w:val="20"/>
          <w:color w:val="auto"/>
        </w:rPr>
      </w:pPr>
      <w:r>
        <w:rPr>
          <w:rFonts w:ascii="Times New Roman" w:cs="Times New Roman" w:eastAsia="Times New Roman" w:hAnsi="Times New Roman"/>
          <w:sz w:val="16"/>
          <w:szCs w:val="16"/>
          <w:color w:val="auto"/>
        </w:rPr>
        <w:t>Subsequent to the execution of the Amendment, the interest rate per annum applicable to the loans is based on a fluctuating rate of interest equal to the sum of an applicable rate and term SOFR (other than with respect to Euros, Euribor and with respect to British Pounds Sterling, SONIA) with a term as selected by the Company, of one, three or six months (subject to (x) in the case of term loans, a 0.50% per annum floor and (y) in the case of revolving loans, a 0.00% per annum floor.</w:t>
      </w:r>
    </w:p>
    <w:p>
      <w:pPr>
        <w:spacing w:after="0" w:line="69" w:lineRule="exact"/>
        <w:rPr>
          <w:sz w:val="20"/>
          <w:szCs w:val="20"/>
          <w:color w:val="auto"/>
        </w:rPr>
      </w:pPr>
    </w:p>
    <w:p>
      <w:pPr>
        <w:ind w:right="20" w:firstLine="1033"/>
        <w:spacing w:after="0" w:line="298" w:lineRule="auto"/>
        <w:rPr>
          <w:sz w:val="20"/>
          <w:szCs w:val="20"/>
          <w:color w:val="auto"/>
        </w:rPr>
      </w:pPr>
      <w:r>
        <w:rPr>
          <w:rFonts w:ascii="Times New Roman" w:cs="Times New Roman" w:eastAsia="Times New Roman" w:hAnsi="Times New Roman"/>
          <w:sz w:val="16"/>
          <w:szCs w:val="16"/>
          <w:color w:val="auto"/>
        </w:rPr>
        <w:t>Prior to the execution of the Amendment, the interest rate per annum applicable to the loans was based on a fluctuating rate of interest equal to the sum of an applicable rate and, at the Company’s election from time to time, either:</w:t>
      </w:r>
    </w:p>
    <w:p>
      <w:pPr>
        <w:spacing w:after="0" w:line="56" w:lineRule="exact"/>
        <w:rPr>
          <w:sz w:val="20"/>
          <w:szCs w:val="20"/>
          <w:color w:val="auto"/>
        </w:rPr>
      </w:pPr>
    </w:p>
    <w:p>
      <w:pPr>
        <w:ind w:left="1120" w:right="60" w:hanging="558"/>
        <w:spacing w:after="0" w:line="281" w:lineRule="auto"/>
        <w:tabs>
          <w:tab w:leader="none" w:pos="11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base rate determined by reference to the highest of (a) the rate last quoted by the Wall Street Journal as the “prime rate,” (b) the federal funds effective rate plus 0.50%, (c) one-month LIBOR plus 1.00% and (d) with respect to the Term B Loan, 1.50% and with respect to the 2021 Revolving Credit Facility, 1.00%, or</w:t>
      </w:r>
    </w:p>
    <w:p>
      <w:pPr>
        <w:spacing w:after="0" w:line="69" w:lineRule="exact"/>
        <w:rPr>
          <w:rFonts w:ascii="Times New Roman" w:cs="Times New Roman" w:eastAsia="Times New Roman" w:hAnsi="Times New Roman"/>
          <w:sz w:val="16"/>
          <w:szCs w:val="16"/>
          <w:color w:val="auto"/>
        </w:rPr>
      </w:pPr>
    </w:p>
    <w:p>
      <w:pPr>
        <w:ind w:left="1120" w:hanging="558"/>
        <w:spacing w:after="0" w:line="281" w:lineRule="auto"/>
        <w:tabs>
          <w:tab w:leader="none" w:pos="11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Eurocurrency rate determined by reference to LIBOR (other than with respect to Euros, Euribor and with respect to British Pounds Sterling, SONIA) with a term as selected by the Company, of one, three or six months (subject to (x) in the case of term loans, a 0.50% per annum floor and (y) in the case of revolving loans, a 0.00% per annum floor).</w:t>
      </w:r>
    </w:p>
    <w:p>
      <w:pPr>
        <w:sectPr>
          <w:pgSz w:w="11900" w:h="16838" w:orient="portrait"/>
          <w:cols w:equalWidth="0" w:num="1">
            <w:col w:w="11220"/>
          </w:cols>
          <w:pgMar w:left="320" w:top="1098" w:right="359" w:bottom="1440" w:gutter="0" w:footer="0" w:header="0"/>
        </w:sectPr>
      </w:pPr>
    </w:p>
    <w:p>
      <w:pPr>
        <w:spacing w:after="0" w:line="69" w:lineRule="exact"/>
        <w:rPr>
          <w:sz w:val="20"/>
          <w:szCs w:val="20"/>
          <w:color w:val="auto"/>
        </w:rPr>
      </w:pPr>
    </w:p>
    <w:p>
      <w:pPr>
        <w:ind w:firstLine="1033"/>
        <w:spacing w:after="0" w:line="298" w:lineRule="auto"/>
        <w:rPr>
          <w:sz w:val="20"/>
          <w:szCs w:val="20"/>
          <w:color w:val="auto"/>
        </w:rPr>
      </w:pPr>
      <w:r>
        <w:rPr>
          <w:rFonts w:ascii="Times New Roman" w:cs="Times New Roman" w:eastAsia="Times New Roman" w:hAnsi="Times New Roman"/>
          <w:sz w:val="16"/>
          <w:szCs w:val="16"/>
          <w:color w:val="auto"/>
        </w:rPr>
        <w:t>A quarterly commitment fee of up to 0.50% is payable on the unused portion of the 2021 Revolving Credit Facility. The 2021 matures on September 21, 2026.</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Revolving Credit Facility</w:t>
      </w:r>
    </w:p>
    <w:p>
      <w:pPr>
        <w:spacing w:after="0" w:line="328" w:lineRule="exact"/>
        <w:rPr>
          <w:sz w:val="20"/>
          <w:szCs w:val="20"/>
          <w:color w:val="auto"/>
        </w:rPr>
      </w:pPr>
    </w:p>
    <w:p>
      <w:pPr>
        <w:sectPr>
          <w:pgSz w:w="11900" w:h="16838" w:orient="portrait"/>
          <w:cols w:equalWidth="0" w:num="2">
            <w:col w:w="9180" w:space="280"/>
            <w:col w:w="1760"/>
          </w:cols>
          <w:pgMar w:left="320" w:top="1098" w:right="359" w:bottom="1440" w:gutter="0" w:footer="0" w:header="0"/>
          <w:type w:val="continuous"/>
        </w:sectPr>
      </w:pPr>
    </w:p>
    <w:p>
      <w:pPr>
        <w:ind w:right="20" w:firstLine="1033"/>
        <w:spacing w:after="0" w:line="281" w:lineRule="auto"/>
        <w:rPr>
          <w:sz w:val="20"/>
          <w:szCs w:val="20"/>
          <w:color w:val="auto"/>
        </w:rPr>
      </w:pPr>
      <w:r>
        <w:rPr>
          <w:rFonts w:ascii="Times New Roman" w:cs="Times New Roman" w:eastAsia="Times New Roman" w:hAnsi="Times New Roman"/>
          <w:sz w:val="16"/>
          <w:szCs w:val="16"/>
          <w:color w:val="auto"/>
        </w:rPr>
        <w:t>During the years ended December 31, 2023, 2022, and 2021 the weighted-average interest rate on the outstanding borrowings under the Term B Loan was 7.5%, 4.2%, and 3.0%, respectively. The Company made Term B Loan interest payments of $58.6 million, $33.5 million, and $6.7 million during the years ended December 31, 2023, 2022, and 2021 respectively.</w:t>
      </w:r>
    </w:p>
    <w:p>
      <w:pPr>
        <w:spacing w:after="0" w:line="69" w:lineRule="exact"/>
        <w:rPr>
          <w:sz w:val="20"/>
          <w:szCs w:val="20"/>
          <w:color w:val="auto"/>
        </w:rPr>
      </w:pPr>
    </w:p>
    <w:p>
      <w:pPr>
        <w:ind w:right="620" w:firstLine="1033"/>
        <w:spacing w:after="0" w:line="298" w:lineRule="auto"/>
        <w:rPr>
          <w:sz w:val="20"/>
          <w:szCs w:val="20"/>
          <w:color w:val="auto"/>
        </w:rPr>
      </w:pPr>
      <w:r>
        <w:rPr>
          <w:rFonts w:ascii="Times New Roman" w:cs="Times New Roman" w:eastAsia="Times New Roman" w:hAnsi="Times New Roman"/>
          <w:sz w:val="16"/>
          <w:szCs w:val="16"/>
          <w:color w:val="auto"/>
        </w:rPr>
        <w:t>During the year ended December 31, 2021, the Company issued a standby letter of credit for $0.7 million which reduces the amount available to be borrowed under the 2021 Revolving Credit Facility and at December 31, 2023 and 2022, $249.3 million was available to be borrowed.</w:t>
      </w:r>
    </w:p>
    <w:p>
      <w:pPr>
        <w:spacing w:after="0" w:line="5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Borrowings under the 2021 Credit Agreement are guaranteed by Cypress Holdings Intermediate Holdings II, Inc., and certain of its US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subsidiaries by a perfected first priority lien on the stock of CCC Intelligent Solutions Inc., and substantially all of its assets, subject to various limitations and exceptions.</w:t>
      </w:r>
    </w:p>
    <w:p>
      <w:pPr>
        <w:spacing w:after="0" w:line="119" w:lineRule="exact"/>
        <w:rPr>
          <w:sz w:val="20"/>
          <w:szCs w:val="20"/>
          <w:color w:val="auto"/>
        </w:rPr>
      </w:pPr>
    </w:p>
    <w:p>
      <w:pPr>
        <w:ind w:right="100" w:firstLine="749"/>
        <w:spacing w:after="0" w:line="269" w:lineRule="auto"/>
        <w:rPr>
          <w:sz w:val="20"/>
          <w:szCs w:val="20"/>
          <w:color w:val="auto"/>
        </w:rPr>
      </w:pPr>
      <w:r>
        <w:rPr>
          <w:rFonts w:ascii="Times New Roman" w:cs="Times New Roman" w:eastAsia="Times New Roman" w:hAnsi="Times New Roman"/>
          <w:sz w:val="16"/>
          <w:szCs w:val="16"/>
          <w:color w:val="auto"/>
        </w:rPr>
        <w:t>The 2021 Credit Agreement contains representations and warranties, and affirmative and negative covenants, that among other things, restrict, subject to certain exceptions, our ability to: incur additional indebtedness, incur liens, engage in mergers, consolidations, liquidations or</w:t>
      </w: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8" w:right="35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6"/>
          <w:szCs w:val="16"/>
          <w:color w:val="auto"/>
        </w:rPr>
        <w:t>dissolutions; pay dividends and distributions on, or redeem, repurchase or retire our capital stock; and make certain investments, acquisitions, loans, or advances.</w:t>
      </w:r>
    </w:p>
    <w:p>
      <w:pPr>
        <w:spacing w:after="0" w:line="127" w:lineRule="exact"/>
        <w:rPr>
          <w:sz w:val="20"/>
          <w:szCs w:val="20"/>
          <w:color w:val="auto"/>
        </w:rPr>
      </w:pPr>
    </w:p>
    <w:p>
      <w:pPr>
        <w:ind w:right="20" w:firstLine="749"/>
        <w:spacing w:after="0" w:line="275" w:lineRule="auto"/>
        <w:rPr>
          <w:sz w:val="20"/>
          <w:szCs w:val="20"/>
          <w:color w:val="auto"/>
        </w:rPr>
      </w:pPr>
      <w:r>
        <w:rPr>
          <w:rFonts w:ascii="Times New Roman" w:cs="Times New Roman" w:eastAsia="Times New Roman" w:hAnsi="Times New Roman"/>
          <w:sz w:val="16"/>
          <w:szCs w:val="16"/>
          <w:color w:val="auto"/>
        </w:rPr>
        <w:t>The terms of the 2021 Credit Agreement include a financial covenant which requires that, at the end of each fiscal quarter, if the aggregate amount of borrowings under the 2021 Revolving Credit Facility exceeds 35% of the aggregate commitments, the Company’s leverage ratio cannot exceed 6.25 to 1.00. Borrowings under the 2021 Revolving Credit Facility did not exceed 35% of the aggregate commitments and the Company was not subject to the leverage test during the years ended December 31, 2023 and 2022.</w:t>
      </w:r>
    </w:p>
    <w:p>
      <w:pPr>
        <w:spacing w:after="0" w:line="73" w:lineRule="exact"/>
        <w:rPr>
          <w:sz w:val="20"/>
          <w:szCs w:val="20"/>
          <w:color w:val="auto"/>
        </w:rPr>
      </w:pPr>
    </w:p>
    <w:p>
      <w:pPr>
        <w:ind w:right="40" w:firstLine="749"/>
        <w:spacing w:after="0" w:line="276" w:lineRule="auto"/>
        <w:rPr>
          <w:sz w:val="20"/>
          <w:szCs w:val="20"/>
          <w:color w:val="auto"/>
        </w:rPr>
      </w:pPr>
      <w:r>
        <w:rPr>
          <w:rFonts w:ascii="Times New Roman" w:cs="Times New Roman" w:eastAsia="Times New Roman" w:hAnsi="Times New Roman"/>
          <w:sz w:val="16"/>
          <w:szCs w:val="16"/>
          <w:i w:val="1"/>
          <w:iCs w:val="1"/>
          <w:color w:val="auto"/>
        </w:rPr>
        <w:t>First Lien Credit Agreement</w:t>
      </w:r>
      <w:r>
        <w:rPr>
          <w:rFonts w:ascii="Times New Roman" w:cs="Times New Roman" w:eastAsia="Times New Roman" w:hAnsi="Times New Roman"/>
          <w:sz w:val="16"/>
          <w:szCs w:val="16"/>
          <w:color w:val="auto"/>
        </w:rPr>
        <w:t>—In April 2017, the Company entered into the First Lien Credit Agreement. The First Lien Credit Agreement initially consisted of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$1.0 billion term loan (“First Lien Term Loan”), a $65.0 million dollar revolving credit facility (“Dollar Revolver”), and a $35.0 million multicurrency revolving credit facility (“Multicurrency Revolver” and together with the Dollar Revolver, the “First Lien Revolvers”), with a sublimit of $30.0 million for letters of credit under the First Lien Revolvers. The Company received proceeds of $997.5 million, net of debt discount of $2.5 million, related to the First Lien Term Loan.</w:t>
      </w:r>
    </w:p>
    <w:p>
      <w:pPr>
        <w:spacing w:after="0" w:line="74" w:lineRule="exact"/>
        <w:rPr>
          <w:sz w:val="20"/>
          <w:szCs w:val="20"/>
          <w:color w:val="auto"/>
        </w:rPr>
      </w:pPr>
    </w:p>
    <w:p>
      <w:pPr>
        <w:ind w:right="260" w:firstLine="749"/>
        <w:spacing w:after="0" w:line="298" w:lineRule="auto"/>
        <w:rPr>
          <w:sz w:val="20"/>
          <w:szCs w:val="20"/>
          <w:color w:val="auto"/>
        </w:rPr>
      </w:pPr>
      <w:r>
        <w:rPr>
          <w:rFonts w:ascii="Times New Roman" w:cs="Times New Roman" w:eastAsia="Times New Roman" w:hAnsi="Times New Roman"/>
          <w:sz w:val="16"/>
          <w:szCs w:val="16"/>
          <w:color w:val="auto"/>
        </w:rPr>
        <w:t>In February 2020, the Company refinanced its long-term debt (“2020 Refinancing”) and entered into the First Amendment to the First Lien Credit Agreement (“First Lien Amendment”). The First Lien Amendment provided an incremental term loan in the amount of $375.0 million.</w:t>
      </w:r>
    </w:p>
    <w:p>
      <w:pPr>
        <w:spacing w:after="0" w:line="56" w:lineRule="exact"/>
        <w:rPr>
          <w:sz w:val="20"/>
          <w:szCs w:val="20"/>
          <w:color w:val="auto"/>
        </w:rPr>
      </w:pPr>
    </w:p>
    <w:p>
      <w:pPr>
        <w:ind w:right="40" w:firstLine="749"/>
        <w:spacing w:after="0" w:line="281" w:lineRule="auto"/>
        <w:rPr>
          <w:sz w:val="20"/>
          <w:szCs w:val="20"/>
          <w:color w:val="auto"/>
        </w:rPr>
      </w:pPr>
      <w:r>
        <w:rPr>
          <w:rFonts w:ascii="Times New Roman" w:cs="Times New Roman" w:eastAsia="Times New Roman" w:hAnsi="Times New Roman"/>
          <w:sz w:val="16"/>
          <w:szCs w:val="16"/>
          <w:color w:val="auto"/>
        </w:rPr>
        <w:t>Using a portion of the proceeds from the Business Combination, the Company made a principal prepayment of $525.0 million on July 30, 2021. Subsequently, in September 2021, using the proceeds from the Term B Loan provided in the 2021 Credit Agreement and cash on hand, the Company fully repaid the remaining $804.2 million of outstanding borrowings on the First Lien Term Loan.</w:t>
      </w:r>
    </w:p>
    <w:p>
      <w:pPr>
        <w:spacing w:after="0" w:line="69" w:lineRule="exact"/>
        <w:rPr>
          <w:sz w:val="20"/>
          <w:szCs w:val="20"/>
          <w:color w:val="auto"/>
        </w:rPr>
      </w:pPr>
    </w:p>
    <w:p>
      <w:pPr>
        <w:ind w:right="360" w:firstLine="749"/>
        <w:spacing w:after="0" w:line="298" w:lineRule="auto"/>
        <w:rPr>
          <w:sz w:val="20"/>
          <w:szCs w:val="20"/>
          <w:color w:val="auto"/>
        </w:rPr>
      </w:pPr>
      <w:r>
        <w:rPr>
          <w:rFonts w:ascii="Times New Roman" w:cs="Times New Roman" w:eastAsia="Times New Roman" w:hAnsi="Times New Roman"/>
          <w:sz w:val="16"/>
          <w:szCs w:val="16"/>
          <w:color w:val="auto"/>
        </w:rPr>
        <w:t>During the year ended December 31, 2021, the weighted-average interest rate on the outstanding borrowings under the First Lien Term Loan was 4.1%. The Company made interest payments of $36.1 million during the year ended December 31, 2021.</w:t>
      </w:r>
    </w:p>
    <w:p>
      <w:pPr>
        <w:spacing w:after="0" w:line="54"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6"/>
          <w:szCs w:val="16"/>
          <w:i w:val="1"/>
          <w:iCs w:val="1"/>
          <w:color w:val="auto"/>
        </w:rPr>
        <w:t>Interest Rate Cap</w:t>
      </w:r>
      <w:r>
        <w:rPr>
          <w:rFonts w:ascii="Times New Roman" w:cs="Times New Roman" w:eastAsia="Times New Roman" w:hAnsi="Times New Roman"/>
          <w:sz w:val="16"/>
          <w:szCs w:val="16"/>
          <w:color w:val="auto"/>
        </w:rPr>
        <w:t>—In August 2022, the Company entered into two interest rate cap agreements to reduce its exposure to increases in interest rates applicable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its floating rate long-term debt. The fair value of the interest rate cap agreements was estimated using inputs that were observable or that could be corroborated by observable market data and therefore, was classified within Level 2 of the fair value hierarchy as of December 31, 2023 and 2022.</w:t>
      </w:r>
    </w:p>
    <w:p>
      <w:pPr>
        <w:spacing w:after="0" w:line="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The Company did not designate its interest rate cap agreements as hedging instruments and records the changes in fair value within earnings.</w:t>
      </w:r>
    </w:p>
    <w:p>
      <w:pPr>
        <w:spacing w:after="0" w:line="127" w:lineRule="exact"/>
        <w:rPr>
          <w:sz w:val="20"/>
          <w:szCs w:val="20"/>
          <w:color w:val="auto"/>
        </w:rPr>
      </w:pPr>
    </w:p>
    <w:p>
      <w:pPr>
        <w:ind w:right="40" w:firstLine="749"/>
        <w:spacing w:after="0" w:line="275" w:lineRule="auto"/>
        <w:rPr>
          <w:sz w:val="20"/>
          <w:szCs w:val="20"/>
          <w:color w:val="auto"/>
        </w:rPr>
      </w:pPr>
      <w:r>
        <w:rPr>
          <w:rFonts w:ascii="Times New Roman" w:cs="Times New Roman" w:eastAsia="Times New Roman" w:hAnsi="Times New Roman"/>
          <w:sz w:val="16"/>
          <w:szCs w:val="16"/>
          <w:color w:val="auto"/>
        </w:rPr>
        <w:t>During the year ended December 31, 2023, the Company transitioned the referenced interest rate within the two interest rate cap agreements from LIBOR to SOFR by terminating the original agreements and simultaneously entering into new agreements. The terms of the new agreements were unchanged except for the referenced interest rate. The Company elected the optional expedients available within ASC 848 to allow for this transition without any modification to the derivative classification of the interest rate cap agreements.</w:t>
      </w:r>
    </w:p>
    <w:p>
      <w:pPr>
        <w:spacing w:after="0" w:line="75" w:lineRule="exact"/>
        <w:rPr>
          <w:sz w:val="20"/>
          <w:szCs w:val="20"/>
          <w:color w:val="auto"/>
        </w:rPr>
      </w:pPr>
    </w:p>
    <w:p>
      <w:pPr>
        <w:jc w:val="both"/>
        <w:ind w:right="100" w:firstLine="749"/>
        <w:spacing w:after="0" w:line="298" w:lineRule="auto"/>
        <w:rPr>
          <w:sz w:val="20"/>
          <w:szCs w:val="20"/>
          <w:color w:val="auto"/>
        </w:rPr>
      </w:pPr>
      <w:r>
        <w:rPr>
          <w:rFonts w:ascii="Times New Roman" w:cs="Times New Roman" w:eastAsia="Times New Roman" w:hAnsi="Times New Roman"/>
          <w:sz w:val="16"/>
          <w:szCs w:val="16"/>
          <w:color w:val="auto"/>
        </w:rPr>
        <w:t>As of December 31, 2023 and 2022, the interest rate cap agreements had a fair value of $6.2 million and 12.0 million, respectively, classified within other assets in the accompanying consolidated balance sheets.</w:t>
      </w:r>
    </w:p>
    <w:p>
      <w:pPr>
        <w:spacing w:after="0" w:line="56" w:lineRule="exact"/>
        <w:rPr>
          <w:sz w:val="20"/>
          <w:szCs w:val="20"/>
          <w:color w:val="auto"/>
        </w:rPr>
      </w:pPr>
    </w:p>
    <w:p>
      <w:pPr>
        <w:ind w:right="20" w:firstLine="749"/>
        <w:spacing w:after="0" w:line="298" w:lineRule="auto"/>
        <w:rPr>
          <w:sz w:val="20"/>
          <w:szCs w:val="20"/>
          <w:color w:val="auto"/>
        </w:rPr>
      </w:pPr>
      <w:r>
        <w:rPr>
          <w:rFonts w:ascii="Times New Roman" w:cs="Times New Roman" w:eastAsia="Times New Roman" w:hAnsi="Times New Roman"/>
          <w:sz w:val="16"/>
          <w:szCs w:val="16"/>
          <w:color w:val="auto"/>
        </w:rPr>
        <w:t>Cash received related to the interest rate cap agreements was $6.5 million for the year ended December 31, 2023. The Company received an insignificant amount of cash related to the interest rate cap agreements during the year ended December 31, 2022.</w:t>
      </w:r>
    </w:p>
    <w:p>
      <w:pPr>
        <w:spacing w:after="0" w:line="54" w:lineRule="exact"/>
        <w:rPr>
          <w:sz w:val="20"/>
          <w:szCs w:val="20"/>
          <w:color w:val="auto"/>
        </w:rPr>
      </w:pPr>
    </w:p>
    <w:p>
      <w:pPr>
        <w:jc w:val="both"/>
        <w:ind w:right="100" w:firstLine="749"/>
        <w:spacing w:after="0" w:line="282" w:lineRule="auto"/>
        <w:rPr>
          <w:sz w:val="20"/>
          <w:szCs w:val="20"/>
          <w:color w:val="auto"/>
        </w:rPr>
      </w:pPr>
      <w:r>
        <w:rPr>
          <w:rFonts w:ascii="Times New Roman" w:cs="Times New Roman" w:eastAsia="Times New Roman" w:hAnsi="Times New Roman"/>
          <w:sz w:val="16"/>
          <w:szCs w:val="16"/>
          <w:i w:val="1"/>
          <w:iCs w:val="1"/>
          <w:color w:val="auto"/>
        </w:rPr>
        <w:t>Interest Rate Swaps</w:t>
      </w:r>
      <w:r>
        <w:rPr>
          <w:rFonts w:ascii="Times New Roman" w:cs="Times New Roman" w:eastAsia="Times New Roman" w:hAnsi="Times New Roman"/>
          <w:sz w:val="16"/>
          <w:szCs w:val="16"/>
          <w:color w:val="auto"/>
        </w:rPr>
        <w:t>—In June 2017, the Company entered into three floating to fixed interest rate swap agreements (“Swap Agreements”) to reduce its exposure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the variability from future cash flows resulting from interest rate risk related to its floating rate long-term debt. On September 21, 2021, the Company made an aggregate payment of $10.0 million to extinguish the Swap Agreements that were scheduled to expire in June 2022.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Contractual Obligations and Commitments</w:t>
      </w:r>
    </w:p>
    <w:p>
      <w:pPr>
        <w:spacing w:after="0" w:line="1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Our estimated future contractual obligations and commitments as of December 31, 2023 consist of:</w:t>
      </w:r>
    </w:p>
    <w:p>
      <w:pPr>
        <w:spacing w:after="0" w:line="127"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Principal payments related to our long-term debt and related periodic interest payments;</w:t>
      </w:r>
    </w:p>
    <w:p>
      <w:pPr>
        <w:spacing w:after="0" w:line="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Routine tax payments;</w:t>
      </w:r>
    </w:p>
    <w:p>
      <w:pPr>
        <w:spacing w:after="0" w:line="1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lease liabilities;</w:t>
      </w:r>
    </w:p>
    <w:p>
      <w:pPr>
        <w:spacing w:after="0" w:line="1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Long-term licensing agreement; and</w:t>
      </w:r>
    </w:p>
    <w:p>
      <w:pPr>
        <w:spacing w:after="0" w:line="1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contractual purchase obligations.</w:t>
      </w:r>
    </w:p>
    <w:p>
      <w:pPr>
        <w:spacing w:after="0" w:line="119" w:lineRule="exact"/>
        <w:rPr>
          <w:sz w:val="20"/>
          <w:szCs w:val="20"/>
          <w:color w:val="auto"/>
        </w:rPr>
      </w:pPr>
    </w:p>
    <w:p>
      <w:pPr>
        <w:ind w:firstLine="749"/>
        <w:spacing w:after="0" w:line="298" w:lineRule="auto"/>
        <w:rPr>
          <w:sz w:val="20"/>
          <w:szCs w:val="20"/>
          <w:color w:val="auto"/>
        </w:rPr>
      </w:pPr>
      <w:r>
        <w:rPr>
          <w:rFonts w:ascii="Times New Roman" w:cs="Times New Roman" w:eastAsia="Times New Roman" w:hAnsi="Times New Roman"/>
          <w:sz w:val="16"/>
          <w:szCs w:val="16"/>
          <w:color w:val="auto"/>
        </w:rPr>
        <w:t>Refer to Note 7 "Income Taxes," Note 11 "Leases," Note 16 "Long-Term Debt," Note 17 "Long-Term Licensing Agreement," and Note 23 "Commitments" to our consolidated financial statements included in this Annual Report on Form 10-K for more information regarding our material contractual obligations and commitments.</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b w:val="1"/>
          <w:bCs w:val="1"/>
          <w:i w:val="1"/>
          <w:iCs w:val="1"/>
          <w:color w:val="auto"/>
        </w:rPr>
        <w:t>Cash Flows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20" w:type="dxa"/>
            <w:vAlign w:val="bottom"/>
            <w:gridSpan w:val="6"/>
          </w:tcPr>
          <w:p>
            <w:pPr>
              <w:ind w:left="1040"/>
              <w:spacing w:after="0"/>
              <w:rPr>
                <w:sz w:val="20"/>
                <w:szCs w:val="20"/>
                <w:color w:val="auto"/>
              </w:rPr>
            </w:pPr>
            <w:r>
              <w:rPr>
                <w:rFonts w:ascii="Times New Roman" w:cs="Times New Roman" w:eastAsia="Times New Roman" w:hAnsi="Times New Roman"/>
                <w:sz w:val="16"/>
                <w:szCs w:val="16"/>
                <w:color w:val="auto"/>
              </w:rPr>
              <w:t>The following table provides a summary of cash flow data for the years ended December 31, 2023, 2022 and 2021:</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45"/>
        </w:trPr>
        <w:tc>
          <w:tcPr>
            <w:tcW w:w="59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6"/>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(dollar amounts in thousands)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6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r>
      <w:tr>
        <w:trPr>
          <w:trHeight w:val="226"/>
        </w:trPr>
        <w:tc>
          <w:tcPr>
            <w:tcW w:w="5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250,033</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199,907</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127,335</w:t>
            </w:r>
          </w:p>
        </w:tc>
        <w:tc>
          <w:tcPr>
            <w:tcW w:w="100" w:type="dxa"/>
            <w:vAlign w:val="bottom"/>
            <w:shd w:val="clear" w:color="auto" w:fill="CFF0FC"/>
          </w:tcPr>
          <w:p>
            <w:pPr>
              <w:spacing w:after="0"/>
              <w:rPr>
                <w:sz w:val="19"/>
                <w:szCs w:val="19"/>
                <w:color w:val="auto"/>
              </w:rPr>
            </w:pPr>
          </w:p>
        </w:tc>
      </w:tr>
      <w:tr>
        <w:trPr>
          <w:trHeight w:val="220"/>
        </w:trPr>
        <w:tc>
          <w:tcPr>
            <w:tcW w:w="5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(55,032 )</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(76,292 )</w:t>
            </w:r>
          </w:p>
        </w:tc>
        <w:tc>
          <w:tcPr>
            <w:tcW w:w="3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(48,598 )</w:t>
            </w:r>
          </w:p>
        </w:tc>
      </w:tr>
      <w:tr>
        <w:trPr>
          <w:trHeight w:val="239"/>
        </w:trPr>
        <w:tc>
          <w:tcPr>
            <w:tcW w:w="5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34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(323,026 )</w:t>
            </w: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17,875</w:t>
            </w:r>
          </w:p>
        </w:tc>
        <w:tc>
          <w:tcPr>
            <w:tcW w:w="3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(58,440 )</w:t>
            </w:r>
          </w:p>
        </w:tc>
      </w:tr>
      <w:tr>
        <w:trPr>
          <w:trHeight w:val="220"/>
        </w:trPr>
        <w:tc>
          <w:tcPr>
            <w:tcW w:w="5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effect of exchange rate change</w:t>
            </w:r>
          </w:p>
        </w:tc>
        <w:tc>
          <w:tcPr>
            <w:tcW w:w="3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(191 )</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(246 )</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Pr>
          <w:p>
            <w:pPr>
              <w:spacing w:after="0"/>
              <w:rPr>
                <w:sz w:val="19"/>
                <w:szCs w:val="19"/>
                <w:color w:val="auto"/>
              </w:rPr>
            </w:pPr>
          </w:p>
        </w:tc>
      </w:tr>
      <w:tr>
        <w:trPr>
          <w:trHeight w:val="23"/>
        </w:trPr>
        <w:tc>
          <w:tcPr>
            <w:tcW w:w="59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7"/>
        </w:trPr>
        <w:tc>
          <w:tcPr>
            <w:tcW w:w="59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Change in cash and cash equivalents</w:t>
            </w:r>
          </w:p>
        </w:tc>
        <w:tc>
          <w:tcPr>
            <w:tcW w:w="3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(128,216 )</w:t>
            </w:r>
          </w:p>
        </w:tc>
        <w:tc>
          <w:tcPr>
            <w:tcW w:w="1120" w:type="dxa"/>
            <w:vAlign w:val="bottom"/>
            <w:gridSpan w:val="2"/>
            <w:shd w:val="clear" w:color="auto" w:fill="CFF0FC"/>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141,244</w:t>
            </w: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20,426</w:t>
            </w:r>
          </w:p>
        </w:tc>
        <w:tc>
          <w:tcPr>
            <w:tcW w:w="100" w:type="dxa"/>
            <w:vAlign w:val="bottom"/>
            <w:shd w:val="clear" w:color="auto" w:fill="CFF0FC"/>
          </w:tcPr>
          <w:p>
            <w:pPr>
              <w:spacing w:after="0"/>
              <w:rPr>
                <w:sz w:val="21"/>
                <w:szCs w:val="21"/>
                <w:color w:val="auto"/>
              </w:rPr>
            </w:pPr>
          </w:p>
        </w:tc>
      </w:tr>
      <w:tr>
        <w:trPr>
          <w:trHeight w:val="20"/>
        </w:trPr>
        <w:tc>
          <w:tcPr>
            <w:tcW w:w="59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-25400</wp:posOffset>
            </wp:positionV>
            <wp:extent cx="7747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-7620</wp:posOffset>
            </wp:positionV>
            <wp:extent cx="774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2023</w:t>
      </w:r>
    </w:p>
    <w:p>
      <w:pPr>
        <w:spacing w:after="0" w:line="131" w:lineRule="exact"/>
        <w:rPr>
          <w:sz w:val="20"/>
          <w:szCs w:val="20"/>
          <w:color w:val="auto"/>
        </w:rPr>
      </w:pPr>
    </w:p>
    <w:p>
      <w:pPr>
        <w:ind w:right="20" w:firstLine="1033"/>
        <w:spacing w:after="0" w:line="269" w:lineRule="auto"/>
        <w:rPr>
          <w:sz w:val="20"/>
          <w:szCs w:val="20"/>
          <w:color w:val="auto"/>
        </w:rPr>
      </w:pPr>
      <w:r>
        <w:rPr>
          <w:rFonts w:ascii="Times New Roman" w:cs="Times New Roman" w:eastAsia="Times New Roman" w:hAnsi="Times New Roman"/>
          <w:sz w:val="16"/>
          <w:szCs w:val="16"/>
          <w:color w:val="auto"/>
        </w:rPr>
        <w:t>Net cash provided by operating activities was $250.0 million for the year ended December 31, 2023. Net cash provided by operating activities consists of net loss of $90.1 million, adjusted for $341.0 million of non-cash items, $1.8 million for changes in working capital and $(2.7) million for the effect of changes in other operating assets and liabilities. Significant non-cash adjustments include stock-based compensation expense of $144.5 million, depreciation and amortization of $135.3 million, impairment of goodwill and intangible assets of $82.7 million, change in fair value of warrant liabilities of $15.1 million, change in fair value of derivative instruments of $5.7 million and deferred income tax benefits of ($46.3) million. The change in working capital was primarily a result of an $8.3 million increase in deferred revenues due to revenue growth and timing of customer payments, a $5.0 million change in income taxes due to timing of payments and a $4.0 million decrease in other current assets due to timing of payments for prepaid and other deferred costs, partially offset by a decrease in accounts payable of $11.3 million due to timing of payments and an increase in accounts receivable of $4.0 million due to revenue growth.</w:t>
      </w:r>
    </w:p>
    <w:p>
      <w:pPr>
        <w:spacing w:after="0" w:line="78" w:lineRule="exact"/>
        <w:rPr>
          <w:sz w:val="20"/>
          <w:szCs w:val="20"/>
          <w:color w:val="auto"/>
        </w:rPr>
      </w:pPr>
    </w:p>
    <w:p>
      <w:pPr>
        <w:ind w:right="140" w:firstLine="1033"/>
        <w:spacing w:after="0" w:line="298" w:lineRule="auto"/>
        <w:rPr>
          <w:sz w:val="20"/>
          <w:szCs w:val="20"/>
          <w:color w:val="auto"/>
        </w:rPr>
      </w:pPr>
      <w:r>
        <w:rPr>
          <w:rFonts w:ascii="Times New Roman" w:cs="Times New Roman" w:eastAsia="Times New Roman" w:hAnsi="Times New Roman"/>
          <w:sz w:val="16"/>
          <w:szCs w:val="16"/>
          <w:color w:val="auto"/>
        </w:rPr>
        <w:t>Net cash used in investing activities was $55.0 million for the year ended December 31, 2023. Net cash used in investing activities was due to purchases of software, equipment and property, primarily from capitalized time on new and enhanced customer solutions and platform development.</w:t>
      </w:r>
    </w:p>
    <w:p>
      <w:pPr>
        <w:spacing w:after="0" w:line="56" w:lineRule="exact"/>
        <w:rPr>
          <w:sz w:val="20"/>
          <w:szCs w:val="20"/>
          <w:color w:val="auto"/>
        </w:rPr>
      </w:pPr>
    </w:p>
    <w:p>
      <w:pPr>
        <w:ind w:right="140" w:firstLine="1033"/>
        <w:spacing w:after="0" w:line="275" w:lineRule="auto"/>
        <w:rPr>
          <w:sz w:val="20"/>
          <w:szCs w:val="20"/>
          <w:color w:val="auto"/>
        </w:rPr>
      </w:pPr>
      <w:r>
        <w:rPr>
          <w:rFonts w:ascii="Times New Roman" w:cs="Times New Roman" w:eastAsia="Times New Roman" w:hAnsi="Times New Roman"/>
          <w:sz w:val="16"/>
          <w:szCs w:val="16"/>
          <w:color w:val="auto"/>
        </w:rPr>
        <w:t>Net cash used in financing activities was $323.0 million for the year ended December 31, 2023. Net cash used in financing activities was due to a $328.5 million repurchase of common stock, $16.7 million of payroll tax payments related to the net share settlement of equity awards, and $8.0 million of long-term debt payments, partially offset by $25.4 million of proceeds from stock options exercises and $4.8 million of proceeds from shares purchased through the Company's Employee Stock Purchase Plan.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2022</w:t>
      </w:r>
    </w:p>
    <w:p>
      <w:pPr>
        <w:spacing w:after="0" w:line="30"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6"/>
          <w:szCs w:val="16"/>
          <w:color w:val="auto"/>
        </w:rPr>
        <w:t>Net cash provided by operating activities was $199.9 million for the year ended December 31, 2022. Net cash provided by operating activities consists of net income of $38.4 million, adjusted for $175.4 million of non-cash items, $2.7 million for changes in working capital and ($16.7) million for the effect of changes in other operating assets and liabilities. Non-cash adjustments include stock-based compensation expense of $109.4 million, depreciation and amortization of $127.1 million, non-cash lease expense of $3.7 million, amortization of deferred financing fees and debt discount of $2.1 million, change in fair value of warrant liabilities of ($26.1) million, deferred income tax benefits of ($34.6) million and a change in fair value of derivative instruments of ($5.7) million. The change in working capital was primarily a result of an increase in accounts payable of $15.5 million due to timing of payments, a decrease in other current assets of $9.8 million due to timing of payments for prepaid and other deferred costs, an increase in accrued expenses of $4.8 million and an increase in deferred revenue of $4.2 million due to revenue growth and timing of customer payments, partially offset by an increase in accounts receivable of $19.8 million due to revenue growth and timing of receipt of customer payments and a change in income taxes of $10.0 million due to timing of payments. The change in other operating assets and liabilities was a result of an increase in non-current other assets of $14.5 million due to timing of payments for prepaid and other deferred costs, including the $6.3 million interest rate cap premium payment.</w:t>
      </w:r>
    </w:p>
    <w:p>
      <w:pPr>
        <w:spacing w:after="0" w:line="86" w:lineRule="exact"/>
        <w:rPr>
          <w:sz w:val="20"/>
          <w:szCs w:val="20"/>
          <w:color w:val="auto"/>
        </w:rPr>
      </w:pPr>
    </w:p>
    <w:p>
      <w:pPr>
        <w:jc w:val="both"/>
        <w:ind w:right="80" w:firstLine="749"/>
        <w:spacing w:after="0" w:line="281" w:lineRule="auto"/>
        <w:rPr>
          <w:sz w:val="20"/>
          <w:szCs w:val="20"/>
          <w:color w:val="auto"/>
        </w:rPr>
      </w:pPr>
      <w:r>
        <w:rPr>
          <w:rFonts w:ascii="Times New Roman" w:cs="Times New Roman" w:eastAsia="Times New Roman" w:hAnsi="Times New Roman"/>
          <w:sz w:val="16"/>
          <w:szCs w:val="16"/>
          <w:color w:val="auto"/>
        </w:rPr>
        <w:t>Net cash used in investing activities was ($76.3) million for the year ended December 31, 2022. Net cash used in investing activities was due to $48.0 million of purchases of software, equipment and property, including capitalized internally developed software projects and $32.2 million for a business acquisition, partially offset by $3.9 million of proceeds from the sale of a cost method investment.</w:t>
      </w:r>
    </w:p>
    <w:p>
      <w:pPr>
        <w:spacing w:after="0" w:line="69" w:lineRule="exact"/>
        <w:rPr>
          <w:sz w:val="20"/>
          <w:szCs w:val="20"/>
          <w:color w:val="auto"/>
        </w:rPr>
      </w:pPr>
    </w:p>
    <w:p>
      <w:pPr>
        <w:ind w:right="120" w:firstLine="749"/>
        <w:spacing w:after="0" w:line="281" w:lineRule="auto"/>
        <w:rPr>
          <w:sz w:val="20"/>
          <w:szCs w:val="20"/>
          <w:color w:val="auto"/>
        </w:rPr>
      </w:pPr>
      <w:r>
        <w:rPr>
          <w:rFonts w:ascii="Times New Roman" w:cs="Times New Roman" w:eastAsia="Times New Roman" w:hAnsi="Times New Roman"/>
          <w:sz w:val="16"/>
          <w:szCs w:val="16"/>
          <w:color w:val="auto"/>
        </w:rPr>
        <w:t>Net cash provided by financing activities was $17.9 million for the year ended December 31, 2022. Net cash provided by financing activities was due to $27.7 million of proceeds from stock option exercises and $3.2 million of proceeds from shares purchased through the Company's Employee Stock Purchase Plan, partially offset by $8.0 million of principal payments of long-term debt and $5.0 million of tax payments related to the net share settlement of employee equity awards.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2021</w:t>
      </w:r>
    </w:p>
    <w:p>
      <w:pPr>
        <w:spacing w:after="0" w:line="131" w:lineRule="exact"/>
        <w:rPr>
          <w:sz w:val="20"/>
          <w:szCs w:val="20"/>
          <w:color w:val="auto"/>
        </w:rPr>
      </w:pPr>
    </w:p>
    <w:p>
      <w:pPr>
        <w:ind w:right="20" w:firstLine="1033"/>
        <w:spacing w:after="0" w:line="265" w:lineRule="auto"/>
        <w:rPr>
          <w:sz w:val="20"/>
          <w:szCs w:val="20"/>
          <w:color w:val="auto"/>
        </w:rPr>
      </w:pPr>
      <w:r>
        <w:rPr>
          <w:rFonts w:ascii="Times New Roman" w:cs="Times New Roman" w:eastAsia="Times New Roman" w:hAnsi="Times New Roman"/>
          <w:sz w:val="16"/>
          <w:szCs w:val="16"/>
          <w:color w:val="auto"/>
        </w:rPr>
        <w:t>Net cash provided by operating activities was $127.3 million for the year ended December 31, 2021. Net cash provided by operating activities consists of net loss of $248.9 million, adjusted for $420.1 million of non-cash items, ($4.5) million for changes in working capital and ($39.4) million for the effect of changes in other operating assets and liabilities. Non-cash adjustments include stock-based compensation expense of $262.0 million, depreciation and amortization of $123.1 million, change in fair value of warrant liabilities of $64.5 million, a loss on early extinguishment of debt of $15.2 million, $6.3 million in non-cash lease expense, amortization of deferred financing fees and debt discount of $4.3 million, deferred income tax benefits of ($46.9) million and a change in fair value of interest rate swaps of ($8.4) million. The change in working capital was primarily a result of an increase in other current assets of $12.3 million due to timing of payments for prepaid and other deferred costs, an increase in accounts receivable of $4.7 million due to revenue growth and an increase in the current portion of deferred contract costs of $3.1 million due to higher employee sales incentives, partially offset by an increase in accrued expenses of $8.3 million due to timing of payments, an increase in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2" w:right="339" w:bottom="1440" w:gutter="0" w:footer="0" w:header="0"/>
        </w:sectPr>
      </w:pPr>
    </w:p>
    <w:bookmarkStart w:id="52" w:name="page53"/>
    <w:bookmarkEnd w:id="52"/>
    <w:p>
      <w:pPr>
        <w:ind w:right="120"/>
        <w:spacing w:after="0" w:line="275" w:lineRule="auto"/>
        <w:rPr>
          <w:sz w:val="20"/>
          <w:szCs w:val="20"/>
          <w:color w:val="auto"/>
        </w:rPr>
      </w:pPr>
      <w:r>
        <w:rPr>
          <w:rFonts w:ascii="Times New Roman" w:cs="Times New Roman" w:eastAsia="Times New Roman" w:hAnsi="Times New Roman"/>
          <w:sz w:val="16"/>
          <w:szCs w:val="16"/>
          <w:color w:val="auto"/>
        </w:rPr>
        <w:t>deferred revenue of $4.5 million due to revenue growth and timing of customer payments and an increase in income taxes of $3.8 million due to timing of payments. The change in other operating assets and liabilities was primarily a result of an increase in non-current other assets of $7.8 million due to timing of payments and other deferred costs, an increase in non-current deferred contract costs of $7.7 million due to higher employee sales incentives, a $10.2 million cash settlement of vested phantom stock, and a $10.0 million payment for the early extinguishment of the Company’s interest rate swap agreements.</w:t>
      </w:r>
    </w:p>
    <w:p>
      <w:pPr>
        <w:spacing w:after="0" w:line="75" w:lineRule="exact"/>
        <w:rPr>
          <w:sz w:val="20"/>
          <w:szCs w:val="20"/>
          <w:color w:val="auto"/>
        </w:rPr>
      </w:pPr>
    </w:p>
    <w:p>
      <w:pPr>
        <w:ind w:right="100" w:firstLine="1033"/>
        <w:spacing w:after="0" w:line="281" w:lineRule="auto"/>
        <w:rPr>
          <w:sz w:val="20"/>
          <w:szCs w:val="20"/>
          <w:color w:val="auto"/>
        </w:rPr>
      </w:pPr>
      <w:r>
        <w:rPr>
          <w:rFonts w:ascii="Times New Roman" w:cs="Times New Roman" w:eastAsia="Times New Roman" w:hAnsi="Times New Roman"/>
          <w:sz w:val="16"/>
          <w:szCs w:val="16"/>
          <w:color w:val="auto"/>
        </w:rPr>
        <w:t>Net cash used in investing activities was $48.6 million for the year ended December 31, 2021. Net cash used in investing activities is primarily related to capitalized time on internally developed software projects and purchases of software, equipment and property of $38.3 million and an investment in a limited partnership of $10.2 million.</w:t>
      </w:r>
    </w:p>
    <w:p>
      <w:pPr>
        <w:spacing w:after="0" w:line="69" w:lineRule="exact"/>
        <w:rPr>
          <w:sz w:val="20"/>
          <w:szCs w:val="20"/>
          <w:color w:val="auto"/>
        </w:rPr>
      </w:pPr>
    </w:p>
    <w:p>
      <w:pPr>
        <w:ind w:right="120" w:firstLine="1033"/>
        <w:spacing w:after="0" w:line="275" w:lineRule="auto"/>
        <w:rPr>
          <w:sz w:val="20"/>
          <w:szCs w:val="20"/>
          <w:color w:val="auto"/>
        </w:rPr>
      </w:pPr>
      <w:r>
        <w:rPr>
          <w:rFonts w:ascii="Times New Roman" w:cs="Times New Roman" w:eastAsia="Times New Roman" w:hAnsi="Times New Roman"/>
          <w:sz w:val="16"/>
          <w:szCs w:val="16"/>
          <w:color w:val="auto"/>
        </w:rPr>
        <w:t>Net cash used in financing activities was $58.4 million for the year ended December 31, 2021. Net cash used in financing activities was primarily related to principal payments of long-term debt of $1,336.2 million, dividends to shareholders prior to the Business Combination of $269.2 million and a deemed distribution to CCCIS option holders of $9.0 million, partially offset by borrowings from the Term B Loan, net of fees paid to the lender, of $789.9 million, and net proceeds from the Business Combination of $763.3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129" w:lineRule="exact"/>
        <w:rPr>
          <w:sz w:val="20"/>
          <w:szCs w:val="20"/>
          <w:color w:val="auto"/>
        </w:rPr>
      </w:pPr>
    </w:p>
    <w:p>
      <w:pPr>
        <w:ind w:right="80" w:firstLine="1033"/>
        <w:spacing w:after="0" w:line="298" w:lineRule="auto"/>
        <w:rPr>
          <w:sz w:val="20"/>
          <w:szCs w:val="20"/>
          <w:color w:val="auto"/>
        </w:rPr>
      </w:pPr>
      <w:r>
        <w:rPr>
          <w:rFonts w:ascii="Times New Roman" w:cs="Times New Roman" w:eastAsia="Times New Roman" w:hAnsi="Times New Roman"/>
          <w:sz w:val="16"/>
          <w:szCs w:val="16"/>
          <w:color w:val="auto"/>
        </w:rPr>
        <w:t>See Note 2 to our audited consolidated financial statements for more information about recent accounting pronouncements, the timing of their adoption, and our assessment, to the extent we have made one, of their potential impact on our financial condition and our results of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Estimates</w:t>
      </w:r>
    </w:p>
    <w:p>
      <w:pPr>
        <w:spacing w:after="0" w:line="129" w:lineRule="exact"/>
        <w:rPr>
          <w:sz w:val="20"/>
          <w:szCs w:val="20"/>
          <w:color w:val="auto"/>
        </w:rPr>
      </w:pPr>
    </w:p>
    <w:p>
      <w:pPr>
        <w:jc w:val="both"/>
        <w:ind w:right="320" w:firstLine="1033"/>
        <w:spacing w:after="0" w:line="272" w:lineRule="auto"/>
        <w:rPr>
          <w:sz w:val="20"/>
          <w:szCs w:val="20"/>
          <w:color w:val="auto"/>
        </w:rPr>
      </w:pPr>
      <w:r>
        <w:rPr>
          <w:rFonts w:ascii="Times New Roman" w:cs="Times New Roman" w:eastAsia="Times New Roman" w:hAnsi="Times New Roman"/>
          <w:sz w:val="16"/>
          <w:szCs w:val="16"/>
          <w:color w:val="auto"/>
        </w:rPr>
        <w:t>Our consolidated financial statements are prepared in accordance with GAAP. The preparation of these financial statements requires our management to make estimates, judgments and assumptions that affect the reported amounts of assets, liabilities, revenue, costs, and expenses and related disclosures. Our estimates are based on our historical experience, trends and various other assumptions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material.</w:t>
      </w:r>
    </w:p>
    <w:p>
      <w:pPr>
        <w:spacing w:after="0" w:line="7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For information on our significant accounting policies, see Note 2 to our audited consolidated financial statements.</w:t>
      </w:r>
    </w:p>
    <w:p>
      <w:pPr>
        <w:spacing w:after="0" w:line="12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We believe the following critical accounting policies affect our most significant judgments and estimates used in preparation of our consolidated financial</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statements:</w:t>
      </w:r>
    </w:p>
    <w:p>
      <w:pPr>
        <w:spacing w:after="0" w:line="119"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Recognition</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Valuation of Goodwill and Intangible Assets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Stock-based Compensation</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Valuation of Warrant Liabilities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 Recognition</w:t>
      </w:r>
    </w:p>
    <w:p>
      <w:pPr>
        <w:spacing w:after="0" w:line="131" w:lineRule="exact"/>
        <w:rPr>
          <w:sz w:val="20"/>
          <w:szCs w:val="20"/>
          <w:color w:val="auto"/>
        </w:rPr>
      </w:pPr>
    </w:p>
    <w:p>
      <w:pPr>
        <w:ind w:right="60" w:firstLine="1033"/>
        <w:spacing w:after="0" w:line="298" w:lineRule="auto"/>
        <w:rPr>
          <w:sz w:val="20"/>
          <w:szCs w:val="20"/>
          <w:color w:val="auto"/>
        </w:rPr>
      </w:pPr>
      <w:r>
        <w:rPr>
          <w:rFonts w:ascii="Times New Roman" w:cs="Times New Roman" w:eastAsia="Times New Roman" w:hAnsi="Times New Roman"/>
          <w:sz w:val="16"/>
          <w:szCs w:val="16"/>
          <w:color w:val="auto"/>
        </w:rPr>
        <w:t>Revenue recognition requires judgment and the use of estimates. The Company generates revenue from subscription-based contracts that are billed either on a subscription or transactional basis. Revenue is derived from the sale of SaaS subscriptions, and other revenue, primarily professional and non-software services.</w:t>
      </w:r>
    </w:p>
    <w:p>
      <w:pPr>
        <w:spacing w:after="0" w:line="54" w:lineRule="exact"/>
        <w:rPr>
          <w:sz w:val="20"/>
          <w:szCs w:val="20"/>
          <w:color w:val="auto"/>
        </w:rPr>
      </w:pPr>
    </w:p>
    <w:p>
      <w:pPr>
        <w:ind w:right="180" w:firstLine="1033"/>
        <w:spacing w:after="0" w:line="301" w:lineRule="auto"/>
        <w:rPr>
          <w:sz w:val="20"/>
          <w:szCs w:val="20"/>
          <w:color w:val="auto"/>
        </w:rPr>
      </w:pPr>
      <w:r>
        <w:rPr>
          <w:rFonts w:ascii="Times New Roman" w:cs="Times New Roman" w:eastAsia="Times New Roman" w:hAnsi="Times New Roman"/>
          <w:sz w:val="16"/>
          <w:szCs w:val="16"/>
          <w:color w:val="auto"/>
        </w:rPr>
        <w:t xml:space="preserve">The estimates and assumptions requiring significant judgment under our revenue recognition policy in accordance with ASC 606, </w:t>
      </w:r>
      <w:r>
        <w:rPr>
          <w:rFonts w:ascii="Times New Roman" w:cs="Times New Roman" w:eastAsia="Times New Roman" w:hAnsi="Times New Roman"/>
          <w:sz w:val="16"/>
          <w:szCs w:val="16"/>
          <w:i w:val="1"/>
          <w:iCs w:val="1"/>
          <w:color w:val="auto"/>
        </w:rPr>
        <w:t>Revenue from Contracts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with Customers</w:t>
      </w:r>
      <w:r>
        <w:rPr>
          <w:rFonts w:ascii="Times New Roman" w:cs="Times New Roman" w:eastAsia="Times New Roman" w:hAnsi="Times New Roman"/>
          <w:sz w:val="16"/>
          <w:szCs w:val="16"/>
          <w:color w:val="auto"/>
        </w:rPr>
        <w:t>, are as follows: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Determine the transaction price</w:t>
      </w:r>
    </w:p>
    <w:p>
      <w:pPr>
        <w:spacing w:after="0" w:line="129" w:lineRule="exact"/>
        <w:rPr>
          <w:sz w:val="20"/>
          <w:szCs w:val="20"/>
          <w:color w:val="auto"/>
        </w:rPr>
      </w:pPr>
    </w:p>
    <w:p>
      <w:pPr>
        <w:ind w:firstLine="1033"/>
        <w:spacing w:after="0" w:line="272" w:lineRule="auto"/>
        <w:rPr>
          <w:sz w:val="20"/>
          <w:szCs w:val="20"/>
          <w:color w:val="auto"/>
        </w:rPr>
      </w:pPr>
      <w:r>
        <w:rPr>
          <w:rFonts w:ascii="Times New Roman" w:cs="Times New Roman" w:eastAsia="Times New Roman" w:hAnsi="Times New Roman"/>
          <w:sz w:val="16"/>
          <w:szCs w:val="16"/>
          <w:color w:val="auto"/>
        </w:rPr>
        <w:t>The transaction price is determined based on the consideration to which we expect to be entitled in exchange for services to the customer. Variable consideration is included in the transaction price if, in our judgment, it is probable that no significant future reversal of cumulative revenue under the contract will occur. The sale of our SaaS subscriptions may include variable consideration related to usage-based contracts and provisions for additional fees when the volume of a customer’s transactions exceeds agreed upon maximums within defined reporting periods. We estimate variable consideration based on the most likely amount, to the extent that a significant revenue reversal is not probable to occur.</w:t>
      </w:r>
    </w:p>
    <w:p>
      <w:pPr>
        <w:spacing w:after="0" w:line="78" w:lineRule="exact"/>
        <w:rPr>
          <w:sz w:val="20"/>
          <w:szCs w:val="20"/>
          <w:color w:val="auto"/>
        </w:rPr>
      </w:pPr>
    </w:p>
    <w:p>
      <w:pPr>
        <w:ind w:right="480" w:firstLine="1033"/>
        <w:spacing w:after="0" w:line="275" w:lineRule="auto"/>
        <w:rPr>
          <w:sz w:val="20"/>
          <w:szCs w:val="20"/>
          <w:color w:val="auto"/>
        </w:rPr>
      </w:pPr>
      <w:r>
        <w:rPr>
          <w:rFonts w:ascii="Times New Roman" w:cs="Times New Roman" w:eastAsia="Times New Roman" w:hAnsi="Times New Roman"/>
          <w:sz w:val="16"/>
          <w:szCs w:val="16"/>
          <w:color w:val="auto"/>
        </w:rPr>
        <w:t>The Company may occasionally recognize an adjustment in revenue in the current period for performance obligations partially or fully satisfied in the previous periods resulting from changes in estimates for the transaction price, including any changes to the Company’s assessment of whether an estimate of variable consideration is constrained. For the years ended December 31, 2023, 2022 and 2021, the impact on revenue recognized in the respective period, from performance obligations partially or fully satisfied in the previous period, was not significant.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Determine the amortizable life of contract assets</w:t>
      </w:r>
    </w:p>
    <w:p>
      <w:pPr>
        <w:spacing w:after="0" w:line="129" w:lineRule="exact"/>
        <w:rPr>
          <w:sz w:val="20"/>
          <w:szCs w:val="20"/>
          <w:color w:val="auto"/>
        </w:rPr>
      </w:pPr>
    </w:p>
    <w:p>
      <w:pPr>
        <w:ind w:right="20" w:firstLine="1033"/>
        <w:spacing w:after="0" w:line="267" w:lineRule="auto"/>
        <w:rPr>
          <w:sz w:val="20"/>
          <w:szCs w:val="20"/>
          <w:color w:val="auto"/>
        </w:rPr>
      </w:pPr>
      <w:r>
        <w:rPr>
          <w:rFonts w:ascii="Times New Roman" w:cs="Times New Roman" w:eastAsia="Times New Roman" w:hAnsi="Times New Roman"/>
          <w:sz w:val="16"/>
          <w:szCs w:val="16"/>
          <w:color w:val="auto"/>
        </w:rPr>
        <w:t>Sales commissions earned by our sales force are considered incremental and recoverable costs of obtaining a contract with a customer. Sales commissions for initial contracts are deferred and then amortized on a straight-line basis over a period of benefit that we have determined to generally be between three and five years. We determined the period of benefit by taking into consideration our customer contracts, our technology,</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53" w:name="page54"/>
    <w:bookmarkEnd w:id="53"/>
    <w:p>
      <w:pPr>
        <w:spacing w:after="0" w:line="269" w:lineRule="auto"/>
        <w:rPr>
          <w:sz w:val="20"/>
          <w:szCs w:val="20"/>
          <w:color w:val="auto"/>
        </w:rPr>
      </w:pPr>
      <w:r>
        <w:rPr>
          <w:rFonts w:ascii="Times New Roman" w:cs="Times New Roman" w:eastAsia="Times New Roman" w:hAnsi="Times New Roman"/>
          <w:sz w:val="16"/>
          <w:szCs w:val="16"/>
          <w:color w:val="auto"/>
        </w:rPr>
        <w:t>and other factors. Most often with larger customers, a new contract or amended master agreement will not include a renewal period that requires assessment of whether the new business and renewal business commissions are commensurate. This is because the solutions and services offered as part of the new contract or amended agreement will be different from the original due to changes in technology and offerings. While the renewal period may be reached, most often a new multi-year agreement is signed that includes new services and features which will pay out a commission on the new services and features at the new business percentage and the renewal services and features at the renewal commission percentage. In situations when the renewal period is triggered, it is typically with smaller customers where the sales commission paid is insignificant. Thus, sales commissions are amortized on a systematic basis over three to five years which corresponds to the period and pattern in which revenue is recognized. Sales commissions for renewal contracts are deferred and then amortized on a straight-line basis over the related contractual renewal period. Amortization expense is included in selling and marketing expenses on the consolidated statements of operations and comprehensive (loss) income.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Valuation of Goodwill and Intangible Assets</w:t>
      </w:r>
    </w:p>
    <w:p>
      <w:pPr>
        <w:spacing w:after="0" w:line="131" w:lineRule="exact"/>
        <w:rPr>
          <w:sz w:val="20"/>
          <w:szCs w:val="20"/>
          <w:color w:val="auto"/>
        </w:rPr>
      </w:pPr>
    </w:p>
    <w:p>
      <w:pPr>
        <w:ind w:right="820" w:firstLine="1033"/>
        <w:spacing w:after="0" w:line="298" w:lineRule="auto"/>
        <w:rPr>
          <w:sz w:val="20"/>
          <w:szCs w:val="20"/>
          <w:color w:val="auto"/>
        </w:rPr>
      </w:pPr>
      <w:r>
        <w:rPr>
          <w:rFonts w:ascii="Times New Roman" w:cs="Times New Roman" w:eastAsia="Times New Roman" w:hAnsi="Times New Roman"/>
          <w:sz w:val="16"/>
          <w:szCs w:val="16"/>
          <w:color w:val="auto"/>
        </w:rPr>
        <w:t>We perform an annual assessment for impairment of goodwill and indefinite-lived intangible assets each fiscal year, or whenever events occur or circumstances indicate that it is more likely than not that the fair value of a reporting unit or indefinite-lived intangible asset is below its carrying value.</w:t>
      </w:r>
    </w:p>
    <w:p>
      <w:pPr>
        <w:spacing w:after="0" w:line="56" w:lineRule="exact"/>
        <w:rPr>
          <w:sz w:val="20"/>
          <w:szCs w:val="20"/>
          <w:color w:val="auto"/>
        </w:rPr>
      </w:pPr>
    </w:p>
    <w:p>
      <w:pPr>
        <w:ind w:right="60" w:firstLine="749"/>
        <w:spacing w:after="0" w:line="275" w:lineRule="auto"/>
        <w:rPr>
          <w:sz w:val="20"/>
          <w:szCs w:val="20"/>
          <w:color w:val="auto"/>
        </w:rPr>
      </w:pPr>
      <w:r>
        <w:rPr>
          <w:rFonts w:ascii="Times New Roman" w:cs="Times New Roman" w:eastAsia="Times New Roman" w:hAnsi="Times New Roman"/>
          <w:sz w:val="16"/>
          <w:szCs w:val="16"/>
          <w:color w:val="auto"/>
        </w:rPr>
        <w:t>The process of evaluating the potential impairment of goodwill is subjective and requires significant judgment. In estimating the fair value of a reporting unit for the purposes of our annual or periodic impairment analyses, we make estimates and significant judgments about the future cash flows of that reporting unit. Our cash flow forecasts are based on assumptions that represent the highest and best use for our reporting units. Changes in judgment on these assumptions and estimates could result in goodwill impairment charges. We believe that the assumptions and estimates utilized are appropriate based on the information available to management.</w:t>
      </w:r>
    </w:p>
    <w:p>
      <w:pPr>
        <w:spacing w:after="0" w:line="75" w:lineRule="exact"/>
        <w:rPr>
          <w:sz w:val="20"/>
          <w:szCs w:val="20"/>
          <w:color w:val="auto"/>
        </w:rPr>
      </w:pPr>
    </w:p>
    <w:p>
      <w:pPr>
        <w:ind w:right="140" w:firstLine="749"/>
        <w:spacing w:after="0" w:line="275" w:lineRule="auto"/>
        <w:rPr>
          <w:sz w:val="20"/>
          <w:szCs w:val="20"/>
          <w:color w:val="auto"/>
        </w:rPr>
      </w:pPr>
      <w:r>
        <w:rPr>
          <w:rFonts w:ascii="Times New Roman" w:cs="Times New Roman" w:eastAsia="Times New Roman" w:hAnsi="Times New Roman"/>
          <w:sz w:val="16"/>
          <w:szCs w:val="16"/>
          <w:color w:val="auto"/>
        </w:rPr>
        <w:t>We have two reporting units, Domestic and China, for purposes of analyzing goodwill. As a result of adverse macroeconomic impacts due to changes in market conditions and increases in interest rates, which contributed to downward revisions to future projected earnings and cash flows, we performed an interim quantitative goodwill test of our China reporting unit during the three months ended June 30, 2023. As a result of our quantitative impairment test, we determined the fair value of our China reporting unit was less than its carrying value and we recorded a goodwill impairment charge of $77.4 million during the year ended December 31, 2023.</w:t>
      </w:r>
    </w:p>
    <w:p>
      <w:pPr>
        <w:spacing w:after="0" w:line="75" w:lineRule="exact"/>
        <w:rPr>
          <w:sz w:val="20"/>
          <w:szCs w:val="20"/>
          <w:color w:val="auto"/>
        </w:rPr>
      </w:pPr>
    </w:p>
    <w:p>
      <w:pPr>
        <w:ind w:right="180" w:firstLine="749"/>
        <w:spacing w:after="0" w:line="275" w:lineRule="auto"/>
        <w:rPr>
          <w:sz w:val="20"/>
          <w:szCs w:val="20"/>
          <w:color w:val="auto"/>
        </w:rPr>
      </w:pPr>
      <w:r>
        <w:rPr>
          <w:rFonts w:ascii="Times New Roman" w:cs="Times New Roman" w:eastAsia="Times New Roman" w:hAnsi="Times New Roman"/>
          <w:sz w:val="16"/>
          <w:szCs w:val="16"/>
          <w:color w:val="auto"/>
        </w:rPr>
        <w:t>We used a quantitative approach to measure the fair value of the China reporting unit using a discounted cash flow approach, which is a Level 3 measurement. The discounted cash flow analysis requires significant judgments, including estimates of future cash flows, which are dependent on internal forecasts and determination of the Company’s weighted average cost of capital, which is risk-adjusted to reflect the specific risk profile of the reporting unit being tested. The weighted average cost of capital used for the China reporting unit in the Company’s analysis was 12.5%.</w:t>
      </w:r>
    </w:p>
    <w:p>
      <w:pPr>
        <w:spacing w:after="0" w:line="75" w:lineRule="exact"/>
        <w:rPr>
          <w:sz w:val="20"/>
          <w:szCs w:val="20"/>
          <w:color w:val="auto"/>
        </w:rPr>
      </w:pPr>
    </w:p>
    <w:p>
      <w:pPr>
        <w:ind w:right="120" w:firstLine="749"/>
        <w:spacing w:after="0" w:line="269" w:lineRule="auto"/>
        <w:rPr>
          <w:sz w:val="20"/>
          <w:szCs w:val="20"/>
          <w:color w:val="auto"/>
        </w:rPr>
      </w:pPr>
      <w:r>
        <w:rPr>
          <w:rFonts w:ascii="Times New Roman" w:cs="Times New Roman" w:eastAsia="Times New Roman" w:hAnsi="Times New Roman"/>
          <w:sz w:val="16"/>
          <w:szCs w:val="16"/>
          <w:color w:val="auto"/>
        </w:rPr>
        <w:t>During the year ended December 31, 2023, the Company performed a qualitative assessment for its Domestic reporting unit's goodwill and trademark indefinite life intangible assets. For the qualitative analysis, the Company assessed several events and circumstances that could affect the significant inputs used to determine the fair values of the reporting unit and trademarks, including the significance of the amount of excess fair value over carrying value, consistency of operating margins and cash flows, budgeted-to-actual performance from prior year, overall change in economic climate, changes in the industry and competitive environment, key management turnover, and earnings quality and sustainability. There were no unanticipated changes or negative indicators in the above qualitative factors that would impact the fair values as of the annual impairment date. As such, the Company determined there were no indicators of impairment and that it is more likely than not that the fair value of the reporting unit and trademarks are greater than their carrying values and therefore performing the next step of the impairment test was unnecessary.</w:t>
      </w:r>
    </w:p>
    <w:p>
      <w:pPr>
        <w:spacing w:after="0" w:line="82" w:lineRule="exact"/>
        <w:rPr>
          <w:sz w:val="20"/>
          <w:szCs w:val="20"/>
          <w:color w:val="auto"/>
        </w:rPr>
      </w:pPr>
    </w:p>
    <w:p>
      <w:pPr>
        <w:ind w:left="60" w:right="460" w:firstLine="704"/>
        <w:spacing w:after="0" w:line="298" w:lineRule="auto"/>
        <w:rPr>
          <w:sz w:val="20"/>
          <w:szCs w:val="20"/>
          <w:color w:val="auto"/>
        </w:rPr>
      </w:pPr>
      <w:r>
        <w:rPr>
          <w:rFonts w:ascii="Times New Roman" w:cs="Times New Roman" w:eastAsia="Times New Roman" w:hAnsi="Times New Roman"/>
          <w:sz w:val="16"/>
          <w:szCs w:val="16"/>
          <w:color w:val="auto"/>
        </w:rPr>
        <w:t>For the years ended December 31, 2022 and 2021 the Company performed a quantitative impairment test which indicated no impairment and there was no change to the carrying amount of goodwill or trademarks due to impairment.</w:t>
      </w:r>
    </w:p>
    <w:p>
      <w:pPr>
        <w:spacing w:after="0" w:line="56" w:lineRule="exact"/>
        <w:rPr>
          <w:sz w:val="20"/>
          <w:szCs w:val="20"/>
          <w:color w:val="auto"/>
        </w:rPr>
      </w:pPr>
    </w:p>
    <w:p>
      <w:pPr>
        <w:ind w:right="140" w:firstLine="749"/>
        <w:spacing w:after="0" w:line="281" w:lineRule="auto"/>
        <w:rPr>
          <w:sz w:val="20"/>
          <w:szCs w:val="20"/>
          <w:color w:val="auto"/>
        </w:rPr>
      </w:pPr>
      <w:r>
        <w:rPr>
          <w:rFonts w:ascii="Times New Roman" w:cs="Times New Roman" w:eastAsia="Times New Roman" w:hAnsi="Times New Roman"/>
          <w:sz w:val="16"/>
          <w:szCs w:val="16"/>
          <w:color w:val="auto"/>
        </w:rPr>
        <w:t>If management's estimates of future operating results change or if there are changes to other assumptions due to these factors, the estimate of the fair value may change significantly. Such change could result in impairment charges in future periods, which could have a significant impact on our operating results and financial condition.</w:t>
      </w:r>
    </w:p>
    <w:p>
      <w:pPr>
        <w:spacing w:after="0" w:line="69" w:lineRule="exact"/>
        <w:rPr>
          <w:sz w:val="20"/>
          <w:szCs w:val="20"/>
          <w:color w:val="auto"/>
        </w:rPr>
      </w:pPr>
    </w:p>
    <w:p>
      <w:pPr>
        <w:ind w:right="40" w:firstLine="749"/>
        <w:spacing w:after="0" w:line="275" w:lineRule="auto"/>
        <w:rPr>
          <w:sz w:val="20"/>
          <w:szCs w:val="20"/>
          <w:color w:val="auto"/>
        </w:rPr>
      </w:pPr>
      <w:r>
        <w:rPr>
          <w:rFonts w:ascii="Times New Roman" w:cs="Times New Roman" w:eastAsia="Times New Roman" w:hAnsi="Times New Roman"/>
          <w:sz w:val="16"/>
          <w:szCs w:val="16"/>
          <w:color w:val="auto"/>
        </w:rPr>
        <w:t>Intangible assets with finite lives are amortized over their estimated useful life on a straight-line basis. We monitor conditions related to these assets to determine whether events and circumstances warrant a revision to the remaining amortization period. We test these assets for potential impairment whenever our management concludes events or changes in circumstances indicate that the carrying amount may not be recoverable. The original estimate of an asset’s useful life and the impact of an event or circumstance on either an asset’s useful life or carrying value involve significant judgment regarding estimates of the future cash flows associated with each asset.</w:t>
      </w:r>
    </w:p>
    <w:p>
      <w:pPr>
        <w:spacing w:after="0" w:line="75" w:lineRule="exact"/>
        <w:rPr>
          <w:sz w:val="20"/>
          <w:szCs w:val="20"/>
          <w:color w:val="auto"/>
        </w:rPr>
      </w:pPr>
    </w:p>
    <w:p>
      <w:pPr>
        <w:ind w:right="280" w:firstLine="749"/>
        <w:spacing w:after="0" w:line="281" w:lineRule="auto"/>
        <w:rPr>
          <w:sz w:val="20"/>
          <w:szCs w:val="20"/>
          <w:color w:val="auto"/>
        </w:rPr>
      </w:pPr>
      <w:r>
        <w:rPr>
          <w:rFonts w:ascii="Times New Roman" w:cs="Times New Roman" w:eastAsia="Times New Roman" w:hAnsi="Times New Roman"/>
          <w:sz w:val="16"/>
          <w:szCs w:val="16"/>
          <w:color w:val="auto"/>
        </w:rPr>
        <w:t>During the year ended December 31, 2023, the Company recorded an impairment charge to its China reporting unit's customer relationships and acquired technologies intangible assets. The Company's forecast of the China reporting unit's expected cash flows indicated the carrying amounts of the intangible assets were not recoverable and therefore the Company recorded an impairment charge of $5.3 million.</w:t>
      </w:r>
    </w:p>
    <w:p>
      <w:pPr>
        <w:spacing w:after="0" w:line="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There was no impairment charge recorded during the years ended December 31, 2022 and 2021.</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Stock-based Compensation</w:t>
      </w:r>
    </w:p>
    <w:p>
      <w:pPr>
        <w:spacing w:after="0" w:line="129" w:lineRule="exact"/>
        <w:rPr>
          <w:sz w:val="20"/>
          <w:szCs w:val="20"/>
          <w:color w:val="auto"/>
        </w:rPr>
      </w:pPr>
    </w:p>
    <w:p>
      <w:pPr>
        <w:ind w:right="140" w:firstLine="749"/>
        <w:spacing w:after="0" w:line="267" w:lineRule="auto"/>
        <w:rPr>
          <w:sz w:val="20"/>
          <w:szCs w:val="20"/>
          <w:color w:val="auto"/>
        </w:rPr>
      </w:pPr>
      <w:r>
        <w:rPr>
          <w:rFonts w:ascii="Times New Roman" w:cs="Times New Roman" w:eastAsia="Times New Roman" w:hAnsi="Times New Roman"/>
          <w:sz w:val="16"/>
          <w:szCs w:val="16"/>
          <w:color w:val="auto"/>
        </w:rPr>
        <w:t xml:space="preserve">The Company accounts for stock-based compensation plans in accordance with ASC 718, </w:t>
      </w:r>
      <w:r>
        <w:rPr>
          <w:rFonts w:ascii="Times New Roman" w:cs="Times New Roman" w:eastAsia="Times New Roman" w:hAnsi="Times New Roman"/>
          <w:sz w:val="16"/>
          <w:szCs w:val="16"/>
          <w:i w:val="1"/>
          <w:iCs w:val="1"/>
          <w:color w:val="auto"/>
        </w:rPr>
        <w:t>Compensation—Stock Compensation</w:t>
      </w:r>
      <w:r>
        <w:rPr>
          <w:rFonts w:ascii="Times New Roman" w:cs="Times New Roman" w:eastAsia="Times New Roman" w:hAnsi="Times New Roman"/>
          <w:sz w:val="16"/>
          <w:szCs w:val="16"/>
          <w:color w:val="auto"/>
        </w:rPr>
        <w:t>, which requires the recognition of expense measured based on the grant date fair value of the stock-based awards. Our stock-based awards include stock options, restricted stock units (“RSUs”), shares issued through our employee stock purchase program, and phantom shares. Stock-based payment awards that are settled in cash are accounted for as liabilities. Our stock-based awards have service-based vesting, performance-based vesting and performance-based vesting subject to a market condition.</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54" w:name="page55"/>
    <w:bookmarkEnd w:id="54"/>
    <w:p>
      <w:pPr>
        <w:ind w:right="420" w:firstLine="749"/>
        <w:spacing w:after="0" w:line="281" w:lineRule="auto"/>
        <w:rPr>
          <w:sz w:val="20"/>
          <w:szCs w:val="20"/>
          <w:color w:val="auto"/>
        </w:rPr>
      </w:pPr>
      <w:r>
        <w:rPr>
          <w:rFonts w:ascii="Times New Roman" w:cs="Times New Roman" w:eastAsia="Times New Roman" w:hAnsi="Times New Roman"/>
          <w:sz w:val="16"/>
          <w:szCs w:val="16"/>
          <w:color w:val="auto"/>
        </w:rPr>
        <w:t>The grant date fair value of our service-based awards, excluding RSUs, is determined using the Black-Scholes option-pricing model. The fair value of each service-based and performance-based RSU is determined using the fair value of the underlying common stock on the date of grant. The fair value of each award with performance-based vesting subject to a market condition is determined using a Monte Carlo simulation model.</w:t>
      </w:r>
    </w:p>
    <w:p>
      <w:pPr>
        <w:spacing w:after="0" w:line="69" w:lineRule="exact"/>
        <w:rPr>
          <w:sz w:val="20"/>
          <w:szCs w:val="20"/>
          <w:color w:val="auto"/>
        </w:rPr>
      </w:pPr>
    </w:p>
    <w:p>
      <w:pPr>
        <w:ind w:firstLine="749"/>
        <w:spacing w:after="0" w:line="267" w:lineRule="auto"/>
        <w:rPr>
          <w:sz w:val="20"/>
          <w:szCs w:val="20"/>
          <w:color w:val="auto"/>
        </w:rPr>
      </w:pPr>
      <w:r>
        <w:rPr>
          <w:rFonts w:ascii="Times New Roman" w:cs="Times New Roman" w:eastAsia="Times New Roman" w:hAnsi="Times New Roman"/>
          <w:sz w:val="16"/>
          <w:szCs w:val="16"/>
          <w:color w:val="auto"/>
        </w:rPr>
        <w:t>For stock-based awards with only service conditions, we recognize stock-based compensation expense on a straight-line basis over the requisite service period only for the portion of awards expected to vest, based on an estimated forfeiture rate. For stock-based awards with only performance conditions, we recognize stock-based compensation expense on a straight-line basis over the explicit performance period when the performance targets are probable of being achieved. As of each reporting period, we estimate the number of RSUs with a performance-based vesting component that are expected to vest based on our current estimate of performance compared to the target metrics and record a cumulative-effect adjustment to stock-based compensation expense when necessary. We recognize stock-based compensation expense on awards with performance-based vesting subject to a market condition when the performance targets are considered probable of being achieved. The determination of the grant date fair value for these awards is affected by assumptions regarding a number of complex and subjective variables, including expected stock price volatility over the expected term of the award, the risk-free interest rate for the expected term of the award and expected dividends. The market condition of these awards impacts the fair value at the grant date and is the reason the Monte Carlo simulation method is utilized to determine fair value. For stock-based awards that are accounted for as liabilities, we remeasure the fair value of the associated liability at each reporting date through settlement using the Black-Scholes option pricing model and recognize the adjustment as stock-based compensation expense.</w:t>
      </w:r>
    </w:p>
    <w:p>
      <w:pPr>
        <w:spacing w:after="0" w:line="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Key assumptions used in the Black-Scholes option pricing model and Monte Carlo simulation method include:</w:t>
      </w:r>
    </w:p>
    <w:p>
      <w:pPr>
        <w:spacing w:after="0" w:line="125" w:lineRule="exact"/>
        <w:rPr>
          <w:sz w:val="20"/>
          <w:szCs w:val="20"/>
          <w:color w:val="auto"/>
        </w:rPr>
      </w:pPr>
    </w:p>
    <w:p>
      <w:pPr>
        <w:ind w:left="1020" w:right="280" w:hanging="503"/>
        <w:spacing w:after="0" w:line="273" w:lineRule="auto"/>
        <w:tabs>
          <w:tab w:leader="none" w:pos="10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Fair Value of Common Stock</w:t>
      </w:r>
      <w:r>
        <w:rPr>
          <w:rFonts w:ascii="Times New Roman" w:cs="Times New Roman" w:eastAsia="Times New Roman" w:hAnsi="Times New Roman"/>
          <w:sz w:val="16"/>
          <w:szCs w:val="16"/>
          <w:color w:val="auto"/>
        </w:rPr>
        <w:t>—Prior to the Business Combination, there was no public market for our common stock. For those periods included in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consolidated financial statements, fair values of the shares of common stock underlying our stock-based awards were estimated on each grant date by our board of directors. Our board of directors, with input from management considered, among other things, valuations of our common stock, which were prepared in accordance with the guidance provided by the American Institute of Certified Public Accountants 2013 Practice Aid, Valuation of Privately-Held-Company Equity Securities Issued as Compensation as well as the most recent acquisition of the Company for grants in 2017.</w:t>
      </w:r>
    </w:p>
    <w:p>
      <w:pPr>
        <w:spacing w:after="0" w:line="74" w:lineRule="exact"/>
        <w:rPr>
          <w:rFonts w:ascii="Times New Roman" w:cs="Times New Roman" w:eastAsia="Times New Roman" w:hAnsi="Times New Roman"/>
          <w:sz w:val="16"/>
          <w:szCs w:val="16"/>
          <w:color w:val="auto"/>
        </w:rPr>
      </w:pPr>
    </w:p>
    <w:p>
      <w:pPr>
        <w:ind w:left="1020" w:right="140" w:hanging="503"/>
        <w:spacing w:after="0" w:line="301" w:lineRule="auto"/>
        <w:tabs>
          <w:tab w:leader="none" w:pos="10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Expected Term</w:t>
      </w:r>
      <w:r>
        <w:rPr>
          <w:rFonts w:ascii="Times New Roman" w:cs="Times New Roman" w:eastAsia="Times New Roman" w:hAnsi="Times New Roman"/>
          <w:sz w:val="16"/>
          <w:szCs w:val="16"/>
          <w:color w:val="auto"/>
        </w:rPr>
        <w:t>—The expected term represents the period that stock-based awards are expected to be outstanding and, for time-based awards, is determined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using the simplified method that uses the weighted average of the time-to-vesting and the contractual life of the awards.</w:t>
      </w:r>
    </w:p>
    <w:p>
      <w:pPr>
        <w:spacing w:after="0" w:line="51" w:lineRule="exact"/>
        <w:rPr>
          <w:rFonts w:ascii="Times New Roman" w:cs="Times New Roman" w:eastAsia="Times New Roman" w:hAnsi="Times New Roman"/>
          <w:sz w:val="16"/>
          <w:szCs w:val="16"/>
          <w:color w:val="auto"/>
        </w:rPr>
      </w:pPr>
    </w:p>
    <w:p>
      <w:pPr>
        <w:ind w:left="1020" w:right="60" w:hanging="503"/>
        <w:spacing w:after="0" w:line="282" w:lineRule="auto"/>
        <w:tabs>
          <w:tab w:leader="none" w:pos="10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Expected Volatility</w:t>
      </w:r>
      <w:r>
        <w:rPr>
          <w:rFonts w:ascii="Times New Roman" w:cs="Times New Roman" w:eastAsia="Times New Roman" w:hAnsi="Times New Roman"/>
          <w:sz w:val="16"/>
          <w:szCs w:val="16"/>
          <w:color w:val="auto"/>
        </w:rPr>
        <w:t>—As we have limited trading history for our common stock, the expected volatility was estimated based on the average volatility for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comparable publicly traded companies over a period equal to the expected term of the stock option grants. The comparable companies were chosen based on their similar size, stage in the life cycle or area of specialty.</w:t>
      </w:r>
    </w:p>
    <w:p>
      <w:pPr>
        <w:spacing w:after="0" w:line="66" w:lineRule="exact"/>
        <w:rPr>
          <w:rFonts w:ascii="Times New Roman" w:cs="Times New Roman" w:eastAsia="Times New Roman" w:hAnsi="Times New Roman"/>
          <w:sz w:val="16"/>
          <w:szCs w:val="16"/>
          <w:color w:val="auto"/>
        </w:rPr>
      </w:pPr>
    </w:p>
    <w:p>
      <w:pPr>
        <w:ind w:left="1020" w:right="140" w:hanging="503"/>
        <w:spacing w:after="0" w:line="301" w:lineRule="auto"/>
        <w:tabs>
          <w:tab w:leader="none" w:pos="10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Risk-Free Interest Rate</w:t>
      </w:r>
      <w:r>
        <w:rPr>
          <w:rFonts w:ascii="Times New Roman" w:cs="Times New Roman" w:eastAsia="Times New Roman" w:hAnsi="Times New Roman"/>
          <w:sz w:val="16"/>
          <w:szCs w:val="16"/>
          <w:color w:val="auto"/>
        </w:rPr>
        <w:t>—The risk-free interest rate is based on the U.S. Treasury zero coupon issues in effect at the time of grant for periods corresponding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with the expected term of awards.</w:t>
      </w:r>
    </w:p>
    <w:p>
      <w:pPr>
        <w:spacing w:after="0" w:line="51" w:lineRule="exact"/>
        <w:rPr>
          <w:rFonts w:ascii="Times New Roman" w:cs="Times New Roman" w:eastAsia="Times New Roman" w:hAnsi="Times New Roman"/>
          <w:sz w:val="16"/>
          <w:szCs w:val="16"/>
          <w:color w:val="auto"/>
        </w:rPr>
      </w:pPr>
    </w:p>
    <w:p>
      <w:pPr>
        <w:ind w:left="1020" w:right="140" w:hanging="503"/>
        <w:spacing w:after="0" w:line="301" w:lineRule="auto"/>
        <w:tabs>
          <w:tab w:leader="none" w:pos="10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Expected Dividend Yield</w:t>
      </w:r>
      <w:r>
        <w:rPr>
          <w:rFonts w:ascii="Times New Roman" w:cs="Times New Roman" w:eastAsia="Times New Roman" w:hAnsi="Times New Roman"/>
          <w:sz w:val="16"/>
          <w:szCs w:val="16"/>
          <w:color w:val="auto"/>
        </w:rPr>
        <w:t>—Historically, we have not paid regular dividends on our common stock and have no plans to pay dividends on our common stock</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on a regular basis. We do not have a dividend policy. Therefore, we used an expected dividend yield of zero.</w:t>
      </w:r>
    </w:p>
    <w:p>
      <w:pPr>
        <w:spacing w:after="0" w:line="54" w:lineRule="exact"/>
        <w:rPr>
          <w:sz w:val="20"/>
          <w:szCs w:val="20"/>
          <w:color w:val="auto"/>
        </w:rPr>
      </w:pPr>
    </w:p>
    <w:p>
      <w:pPr>
        <w:ind w:right="80" w:firstLine="749"/>
        <w:spacing w:after="0" w:line="275" w:lineRule="auto"/>
        <w:rPr>
          <w:sz w:val="20"/>
          <w:szCs w:val="20"/>
          <w:color w:val="auto"/>
        </w:rPr>
      </w:pPr>
      <w:r>
        <w:rPr>
          <w:rFonts w:ascii="Times New Roman" w:cs="Times New Roman" w:eastAsia="Times New Roman" w:hAnsi="Times New Roman"/>
          <w:sz w:val="16"/>
          <w:szCs w:val="16"/>
          <w:color w:val="auto"/>
        </w:rPr>
        <w:t>See Note 21 to our consolidated financial statements for more information concerning certain of the specific assumptions we used in applying the Black-Scholes option pricing model and Monte Carlo simulation method to determine the estimated fair value of our stock-based awards with service vesting and performance vesting. Some of these assumptions involve inherent uncertainties and the application of significant judgment. As a result, if factors or expected outcomes change and we use significantly different assumptions or estimates, our stock-based compensation could be materially different.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Valuation of Warrant Liabilities</w:t>
      </w:r>
    </w:p>
    <w:p>
      <w:pPr>
        <w:spacing w:after="0" w:line="131" w:lineRule="exact"/>
        <w:rPr>
          <w:sz w:val="20"/>
          <w:szCs w:val="20"/>
          <w:color w:val="auto"/>
        </w:rPr>
      </w:pPr>
    </w:p>
    <w:p>
      <w:pPr>
        <w:ind w:right="140" w:firstLine="749"/>
        <w:spacing w:after="0" w:line="275" w:lineRule="auto"/>
        <w:rPr>
          <w:sz w:val="20"/>
          <w:szCs w:val="20"/>
          <w:color w:val="auto"/>
        </w:rPr>
      </w:pPr>
      <w:r>
        <w:rPr>
          <w:rFonts w:ascii="Times New Roman" w:cs="Times New Roman" w:eastAsia="Times New Roman" w:hAnsi="Times New Roman"/>
          <w:sz w:val="16"/>
          <w:szCs w:val="16"/>
          <w:color w:val="auto"/>
        </w:rPr>
        <w:t>We account for our Private Warrants in accordance with the guidance contained in ASC 815-40. The warrants do not meet the criteria for equity treatment, thus we classify the warrants as liabilities at their fair value and adjust the warrants to fair value at each reporting period. This liability is subject to re-measurement at each balance sheet date until the warrants are exercised or redeemed. Any change in fair value is recognized in our consolidated statements of operations and comprehensive (loss) income. The fair value of the Private Warrants was determined using the Black-Scholes option pricing model.</w:t>
      </w:r>
    </w:p>
    <w:p>
      <w:pPr>
        <w:spacing w:after="0" w:line="75" w:lineRule="exact"/>
        <w:rPr>
          <w:sz w:val="20"/>
          <w:szCs w:val="20"/>
          <w:color w:val="auto"/>
        </w:rPr>
      </w:pPr>
    </w:p>
    <w:p>
      <w:pPr>
        <w:ind w:right="160" w:firstLine="749"/>
        <w:spacing w:after="0" w:line="275" w:lineRule="auto"/>
        <w:rPr>
          <w:sz w:val="20"/>
          <w:szCs w:val="20"/>
          <w:color w:val="auto"/>
        </w:rPr>
      </w:pPr>
      <w:r>
        <w:rPr>
          <w:rFonts w:ascii="Times New Roman" w:cs="Times New Roman" w:eastAsia="Times New Roman" w:hAnsi="Times New Roman"/>
          <w:sz w:val="16"/>
          <w:szCs w:val="16"/>
          <w:color w:val="auto"/>
        </w:rPr>
        <w:t>See Note 6 to our consolidated financial statements for more information concerning certain of the specific assumptions we used in applying the Black-Scholes option pricing model to determine the fair value of our Private Warrants. Some of these assumptions involve inherent uncertainties and the application of significant judgment. As a result, if factors or expected outcomes change and we use significantly different assumptions or estimates, our warrant liabilities could be materially different.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7A. Quantitative and Qualitative Disclosures About Market Risk.</w:t>
      </w:r>
    </w:p>
    <w:p>
      <w:pPr>
        <w:spacing w:after="0" w:line="129" w:lineRule="exact"/>
        <w:rPr>
          <w:sz w:val="20"/>
          <w:szCs w:val="20"/>
          <w:color w:val="auto"/>
        </w:rPr>
      </w:pPr>
    </w:p>
    <w:p>
      <w:pPr>
        <w:ind w:right="260" w:firstLine="1033"/>
        <w:spacing w:after="0" w:line="298" w:lineRule="auto"/>
        <w:rPr>
          <w:sz w:val="20"/>
          <w:szCs w:val="20"/>
          <w:color w:val="auto"/>
        </w:rPr>
      </w:pPr>
      <w:r>
        <w:rPr>
          <w:rFonts w:ascii="Times New Roman" w:cs="Times New Roman" w:eastAsia="Times New Roman" w:hAnsi="Times New Roman"/>
          <w:sz w:val="16"/>
          <w:szCs w:val="16"/>
          <w:color w:val="auto"/>
        </w:rPr>
        <w:t>We are exposed to a variety of market and other risks, including the effects of changes in interest rates, and inflation, as well as risks to the availability of funding sources, hazard events, and specific asset risks.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Rate Risk</w:t>
      </w:r>
    </w:p>
    <w:p>
      <w:pPr>
        <w:spacing w:after="0" w:line="13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We are exposed to market risk related to changes in interest rates on $784.0 million of borrowings at December 31, 2023 that are floating rate obligations.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These market risks result primarily from changes in SOFR or prime rates.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55" w:name="page56"/>
    <w:bookmarkEnd w:id="55"/>
    <w:p>
      <w:pPr>
        <w:ind w:firstLine="1033"/>
        <w:spacing w:after="0" w:line="281" w:lineRule="auto"/>
        <w:rPr>
          <w:sz w:val="20"/>
          <w:szCs w:val="20"/>
          <w:color w:val="auto"/>
        </w:rPr>
      </w:pPr>
      <w:r>
        <w:rPr>
          <w:rFonts w:ascii="Times New Roman" w:cs="Times New Roman" w:eastAsia="Times New Roman" w:hAnsi="Times New Roman"/>
          <w:sz w:val="16"/>
          <w:szCs w:val="16"/>
          <w:color w:val="auto"/>
        </w:rPr>
        <w:t>Interest rate fluctuations can affect the fair value of our floating rate debt, as well as earnings and cash flows. If market interest rates rise, our earnings and cash flows could be adversely affected by an increase in interest expense. In contrast, lower interest rates may reduce our borrowing costs and improve our operational results. We continuously monitor our interest rate exposure and have elected to use derivative instruments to manage interest rate risk associated with floating rate debt.</w:t>
      </w:r>
    </w:p>
    <w:p>
      <w:pPr>
        <w:spacing w:after="0" w:line="6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As of December 31, 2023, a 100-basis point increase in interest rates would increase annual interest expense by $7.8 million.</w:t>
      </w:r>
    </w:p>
    <w:p>
      <w:pPr>
        <w:spacing w:after="0" w:line="127" w:lineRule="exact"/>
        <w:rPr>
          <w:sz w:val="20"/>
          <w:szCs w:val="20"/>
          <w:color w:val="auto"/>
        </w:rPr>
      </w:pPr>
    </w:p>
    <w:p>
      <w:pPr>
        <w:ind w:right="420" w:firstLine="1033"/>
        <w:spacing w:after="0" w:line="298" w:lineRule="auto"/>
        <w:rPr>
          <w:sz w:val="20"/>
          <w:szCs w:val="20"/>
          <w:color w:val="auto"/>
        </w:rPr>
      </w:pPr>
      <w:r>
        <w:rPr>
          <w:rFonts w:ascii="Times New Roman" w:cs="Times New Roman" w:eastAsia="Times New Roman" w:hAnsi="Times New Roman"/>
          <w:sz w:val="16"/>
          <w:szCs w:val="16"/>
          <w:color w:val="auto"/>
        </w:rPr>
        <w:t>To reduce our exposure to increases in interest rates applicable to our floating rate long-term debt, we have two interest rate cap agreements with an aggregate notional amount of $600.0 million and a one-month SOFR cap rate of 4.00% through their expiration in July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Foreign Currency Risk</w:t>
      </w:r>
    </w:p>
    <w:p>
      <w:pPr>
        <w:spacing w:after="0" w:line="131" w:lineRule="exact"/>
        <w:rPr>
          <w:sz w:val="20"/>
          <w:szCs w:val="20"/>
          <w:color w:val="auto"/>
        </w:rPr>
      </w:pPr>
    </w:p>
    <w:p>
      <w:pPr>
        <w:ind w:right="40" w:firstLine="1033"/>
        <w:spacing w:after="0" w:line="267" w:lineRule="auto"/>
        <w:rPr>
          <w:sz w:val="20"/>
          <w:szCs w:val="20"/>
          <w:color w:val="auto"/>
        </w:rPr>
      </w:pPr>
      <w:r>
        <w:rPr>
          <w:rFonts w:ascii="Times New Roman" w:cs="Times New Roman" w:eastAsia="Times New Roman" w:hAnsi="Times New Roman"/>
          <w:sz w:val="16"/>
          <w:szCs w:val="16"/>
          <w:color w:val="auto"/>
        </w:rPr>
        <w:t>Our reporting currency is the U.S. dollar, however for operations located in China, the functional currency is the local currency. Although we have experienced and will continue to experience fluctuations in our net (loss) income as a result of transaction gains (losses) related to transactions denominated in currencies other than the U.S. dollar, we believe that a 10% change in foreign exchange rates would not have a material impact on our results of operations.</w:t>
      </w:r>
    </w:p>
    <w:p>
      <w:pPr>
        <w:spacing w:after="0" w:line="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098" w:right="5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b w:val="1"/>
          <w:bCs w:val="1"/>
          <w:color w:val="auto"/>
        </w:rPr>
        <w:t>Item 8. Financial Statements and Supplementary Data.</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Index to Consolidated Financial Statements</w:t>
      </w:r>
    </w:p>
    <w:p>
      <w:pPr>
        <w:spacing w:after="0" w:line="246" w:lineRule="exact"/>
        <w:rPr>
          <w:sz w:val="20"/>
          <w:szCs w:val="20"/>
          <w:color w:val="auto"/>
        </w:rPr>
      </w:pPr>
    </w:p>
    <w:tbl>
      <w:tblPr>
        <w:tblLayout w:type="fixed"/>
        <w:tblInd w:w="30" w:type="dxa"/>
        <w:tblCellMar>
          <w:top w:w="0" w:type="dxa"/>
          <w:left w:w="0" w:type="dxa"/>
          <w:bottom w:w="0" w:type="dxa"/>
          <w:right w:w="0" w:type="dxa"/>
        </w:tblCellMar>
      </w:tblPr>
      <w:tr>
        <w:trPr>
          <w:trHeight w:val="164"/>
        </w:trPr>
        <w:tc>
          <w:tcPr>
            <w:tcW w:w="1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3180" w:type="dxa"/>
            <w:vAlign w:val="bottom"/>
          </w:tcPr>
          <w:p>
            <w:pPr>
              <w:jc w:val="right"/>
              <w:ind w:right="2"/>
              <w:spacing w:after="0"/>
              <w:rPr>
                <w:sz w:val="20"/>
                <w:szCs w:val="20"/>
                <w:color w:val="auto"/>
              </w:rPr>
            </w:pPr>
            <w:r>
              <w:rPr>
                <w:rFonts w:ascii="Times New Roman" w:cs="Times New Roman" w:eastAsia="Times New Roman" w:hAnsi="Times New Roman"/>
                <w:sz w:val="13"/>
                <w:szCs w:val="13"/>
                <w:color w:val="auto"/>
              </w:rPr>
              <w:t>Page</w:t>
            </w:r>
          </w:p>
        </w:tc>
      </w:tr>
      <w:tr>
        <w:trPr>
          <w:trHeight w:val="178"/>
        </w:trPr>
        <w:tc>
          <w:tcPr>
            <w:tcW w:w="8020" w:type="dxa"/>
            <w:vAlign w:val="bottom"/>
            <w:gridSpan w:val="7"/>
          </w:tcPr>
          <w:p>
            <w:pPr>
              <w:spacing w:after="0" w:line="178" w:lineRule="exact"/>
              <w:rPr>
                <w:sz w:val="20"/>
                <w:szCs w:val="20"/>
                <w:color w:val="auto"/>
              </w:rPr>
            </w:pPr>
            <w:r>
              <w:rPr>
                <w:rFonts w:ascii="Times New Roman" w:cs="Times New Roman" w:eastAsia="Times New Roman" w:hAnsi="Times New Roman"/>
                <w:sz w:val="16"/>
                <w:szCs w:val="16"/>
                <w:color w:val="0000FF"/>
              </w:rPr>
              <w:t>Report of Independent Registered Public Accounting Firm (PCAOB ID No. 34)</w:t>
            </w:r>
          </w:p>
        </w:tc>
        <w:tc>
          <w:tcPr>
            <w:tcW w:w="318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58</w:t>
            </w:r>
          </w:p>
        </w:tc>
      </w:tr>
      <w:tr>
        <w:trPr>
          <w:trHeight w:val="210"/>
        </w:trPr>
        <w:tc>
          <w:tcPr>
            <w:tcW w:w="51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rPr>
              <w:t>Consolidated Balance Sheets</w:t>
            </w:r>
          </w:p>
        </w:tc>
        <w:tc>
          <w:tcPr>
            <w:tcW w:w="2840" w:type="dxa"/>
            <w:vAlign w:val="bottom"/>
          </w:tcPr>
          <w:p>
            <w:pPr>
              <w:spacing w:after="0"/>
              <w:rPr>
                <w:sz w:val="18"/>
                <w:szCs w:val="18"/>
                <w:color w:val="auto"/>
              </w:rPr>
            </w:pPr>
          </w:p>
        </w:tc>
        <w:tc>
          <w:tcPr>
            <w:tcW w:w="3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0"/>
        </w:trPr>
        <w:tc>
          <w:tcPr>
            <w:tcW w:w="19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209"/>
        </w:trPr>
        <w:tc>
          <w:tcPr>
            <w:tcW w:w="802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Consolidated Statements of Operations and Comprehensive (Loss) Income</w:t>
            </w:r>
          </w:p>
        </w:tc>
        <w:tc>
          <w:tcPr>
            <w:tcW w:w="3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0"/>
        </w:trPr>
        <w:tc>
          <w:tcPr>
            <w:tcW w:w="2620" w:type="dxa"/>
            <w:vAlign w:val="bottom"/>
            <w:tcBorders>
              <w:left w:val="single" w:sz="8" w:color="0000FF"/>
              <w:right w:val="single" w:sz="8" w:color="0000EE"/>
            </w:tcBorders>
            <w:gridSpan w:val="2"/>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209"/>
        </w:trPr>
        <w:tc>
          <w:tcPr>
            <w:tcW w:w="802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Consolidated Statements of Mezzanine Equity and Stockholders’ Equity</w:t>
            </w:r>
          </w:p>
        </w:tc>
        <w:tc>
          <w:tcPr>
            <w:tcW w:w="3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0"/>
        </w:trPr>
        <w:tc>
          <w:tcPr>
            <w:tcW w:w="262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210"/>
        </w:trPr>
        <w:tc>
          <w:tcPr>
            <w:tcW w:w="802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Consolidated Statements of Cash Flows</w:t>
            </w:r>
          </w:p>
        </w:tc>
        <w:tc>
          <w:tcPr>
            <w:tcW w:w="3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0"/>
        </w:trPr>
        <w:tc>
          <w:tcPr>
            <w:tcW w:w="262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160" w:type="dxa"/>
            <w:vAlign w:val="bottom"/>
            <w:gridSpan w:val="4"/>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209"/>
        </w:trPr>
        <w:tc>
          <w:tcPr>
            <w:tcW w:w="802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Notes to Consolidated Financial Statements</w:t>
            </w:r>
          </w:p>
        </w:tc>
        <w:tc>
          <w:tcPr>
            <w:tcW w:w="3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0"/>
        </w:trPr>
        <w:tc>
          <w:tcPr>
            <w:tcW w:w="19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8"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shareholders and the Board of Directors of CCC Intelligent Solutions Holdings Inc.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129"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CCC Intelligent Solutions Holdings Inc. and subsidiaries (the “Company”) as of December 31, 2023 and 2022, the related consolidated statements of operations and comprehensive (loss) income, mezzanine equity and stockholders’ equity, and cash flows,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spacing w:after="0" w:line="78"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6"/>
          <w:szCs w:val="16"/>
          <w:color w:val="auto"/>
        </w:rPr>
        <w:t xml:space="preserve">We have also audited, in accordance with the standards of the Public Company Accounting Oversight Board (United States) (PCAOB), the Company's internal control over financial reporting as of December 31, 2023, based on criteria established in </w:t>
      </w:r>
      <w:r>
        <w:rPr>
          <w:rFonts w:ascii="Times New Roman" w:cs="Times New Roman" w:eastAsia="Times New Roman" w:hAnsi="Times New Roman"/>
          <w:sz w:val="16"/>
          <w:szCs w:val="16"/>
          <w:i w:val="1"/>
          <w:iCs w:val="1"/>
          <w:color w:val="auto"/>
        </w:rPr>
        <w:t>Internal Control — Integrated Framework (2013)</w:t>
      </w:r>
      <w:r>
        <w:rPr>
          <w:rFonts w:ascii="Times New Roman" w:cs="Times New Roman" w:eastAsia="Times New Roman" w:hAnsi="Times New Roman"/>
          <w:sz w:val="16"/>
          <w:szCs w:val="16"/>
          <w:color w:val="auto"/>
        </w:rPr>
        <w:t xml:space="preserve"> issued by the Committee of Sponsoring Organizations of the Treadway Commission and our report dated February 28, 2024, expressed an unqualified opinion on the Company's internal control over financial reporting.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129" w:lineRule="exact"/>
        <w:rPr>
          <w:sz w:val="20"/>
          <w:szCs w:val="20"/>
          <w:color w:val="auto"/>
        </w:rPr>
      </w:pPr>
    </w:p>
    <w:p>
      <w:pPr>
        <w:jc w:val="both"/>
        <w:ind w:right="100"/>
        <w:spacing w:after="0" w:line="281"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9"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Audit Matters</w:t>
      </w:r>
    </w:p>
    <w:p>
      <w:pPr>
        <w:spacing w:after="0" w:line="129"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6"/>
          <w:szCs w:val="16"/>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 Recognition - Refer to Notes 2 and 5 to the financial statements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Critical Audit Matter Description</w:t>
      </w:r>
    </w:p>
    <w:p>
      <w:pPr>
        <w:spacing w:after="0" w:line="12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6"/>
          <w:szCs w:val="16"/>
          <w:color w:val="auto"/>
        </w:rPr>
        <w:t>The Company generates revenue from contracts that are generally billed either on a monthly subscription or transactional basis. Revenue is made up of a significant volume of transactions and sourced from systems and applications across different business markets. The processing of transactions and recording of revenue involves a combination of manual data input and automation, including migrating, formatting, and combining significant volumes of data across systems and interfaces. Management applies significant effort and judgment in evaluating contracts with customers in accordance with Accounting Standards Codification (“ASC”) 606, Contracts with Customers.</w:t>
      </w:r>
    </w:p>
    <w:p>
      <w:pPr>
        <w:spacing w:after="0" w:line="75"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6"/>
          <w:szCs w:val="16"/>
          <w:color w:val="auto"/>
        </w:rPr>
        <w:t>We identified revenue recognition as a critical audit matter given the increased extent of effort, including the need for us to involve professionals with expertise in information technology (IT), to identify, test, and evaluate the Company's systems, applications, and automated controls. High level of auditor judgement was necessary to determine the nature, timing and extent of audit procedures with respect to the auditing of revenue in accordance with ASC 606.</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How the Critical Audit Matter Was Addressed in the Audit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audit procedures related to the Company's recording of revenue included the following, among others:</w:t>
      </w:r>
    </w:p>
    <w:p>
      <w:pPr>
        <w:spacing w:after="0" w:line="127"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the assistance of our IT specialists, we:</w:t>
      </w:r>
    </w:p>
    <w:p>
      <w:pPr>
        <w:spacing w:after="0" w:line="126" w:lineRule="exact"/>
        <w:rPr>
          <w:rFonts w:ascii="Times New Roman" w:cs="Times New Roman" w:eastAsia="Times New Roman" w:hAnsi="Times New Roman"/>
          <w:sz w:val="16"/>
          <w:szCs w:val="16"/>
          <w:color w:val="auto"/>
        </w:rPr>
      </w:pPr>
    </w:p>
    <w:p>
      <w:pPr>
        <w:ind w:left="1540" w:hanging="509"/>
        <w:spacing w:after="0" w:line="29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oIdentified the significant systems used to process revenue transactions and tested the general IT controls over each of these systems, including testing of user access controls, change management controls, and IT operations controls.</w:t>
      </w:r>
    </w:p>
    <w:p>
      <w:pPr>
        <w:spacing w:after="0" w:line="56" w:lineRule="exact"/>
        <w:rPr>
          <w:rFonts w:ascii="Times New Roman" w:cs="Times New Roman" w:eastAsia="Times New Roman" w:hAnsi="Times New Roman"/>
          <w:sz w:val="16"/>
          <w:szCs w:val="16"/>
          <w:color w:val="auto"/>
        </w:rPr>
      </w:pPr>
    </w:p>
    <w:p>
      <w:pPr>
        <w:ind w:left="1540" w:hanging="509"/>
        <w:spacing w:after="0" w:line="29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oTested system interface controls and automated controls within the relevant revenue streams, as well as the controls designed to ensure the accuracy and completeness of revenue.</w:t>
      </w:r>
    </w:p>
    <w:p>
      <w:pPr>
        <w:spacing w:after="0" w:line="5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tested controls within the relevant revenue business processes, including those in place to record revenue.</w:t>
      </w:r>
    </w:p>
    <w:p>
      <w:pPr>
        <w:spacing w:after="0" w:line="126" w:lineRule="exact"/>
        <w:rPr>
          <w:rFonts w:ascii="Times New Roman" w:cs="Times New Roman" w:eastAsia="Times New Roman" w:hAnsi="Times New Roman"/>
          <w:sz w:val="16"/>
          <w:szCs w:val="16"/>
          <w:color w:val="auto"/>
        </w:rPr>
      </w:pPr>
    </w:p>
    <w:p>
      <w:pPr>
        <w:ind w:left="1020" w:right="40" w:hanging="503"/>
        <w:spacing w:after="0" w:line="269" w:lineRule="auto"/>
        <w:tabs>
          <w:tab w:leader="none" w:pos="10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selected a sample of contracts and evaluated the terms of the arrangement to assess whether revenue was appropriately recorded in accordance with ASC 606.</w:t>
      </w: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58" w:name="page59"/>
    <w:bookmarkEnd w:id="58"/>
    <w:p>
      <w:pPr>
        <w:ind w:left="1020" w:hanging="503"/>
        <w:spacing w:after="0" w:line="298" w:lineRule="auto"/>
        <w:tabs>
          <w:tab w:leader="none" w:pos="10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 sample of revenue transactions, we tested the selected transactions by agreeing the amount of revenue recognized to source documents and tested the mathematical accuracy of the recorded revenue.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Deloitte &amp; Touche LLP</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Chicago, IL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28, 2024</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2006.</w:t>
      </w:r>
    </w:p>
    <w:p>
      <w:pPr>
        <w:spacing w:after="0" w:line="1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098" w:right="519" w:bottom="1440" w:gutter="0" w:footer="0" w:header="0"/>
        </w:sectPr>
      </w:pPr>
    </w:p>
    <w:bookmarkStart w:id="59" w:name="page60"/>
    <w:bookmarkEnd w:id="59"/>
    <w:p>
      <w:pPr>
        <w:ind w:left="2940"/>
        <w:spacing w:after="0"/>
        <w:rPr>
          <w:sz w:val="20"/>
          <w:szCs w:val="20"/>
          <w:color w:val="auto"/>
        </w:rPr>
      </w:pPr>
      <w:r>
        <w:rPr>
          <w:rFonts w:ascii="Times New Roman" w:cs="Times New Roman" w:eastAsia="Times New Roman" w:hAnsi="Times New Roman"/>
          <w:sz w:val="16"/>
          <w:szCs w:val="16"/>
          <w:b w:val="1"/>
          <w:bCs w:val="1"/>
          <w:color w:val="auto"/>
        </w:rPr>
        <w:t>CCC INTELLIGENT SOLUTIONS HOLDINGS INC. AND SUBSIDIARIES</w:t>
      </w:r>
    </w:p>
    <w:p>
      <w:pPr>
        <w:spacing w:after="0" w:line="14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2023 AND 2022</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80" w:type="dxa"/>
            <w:vAlign w:val="bottom"/>
          </w:tcPr>
          <w:p>
            <w:pPr>
              <w:spacing w:after="0"/>
              <w:rPr>
                <w:sz w:val="14"/>
                <w:szCs w:val="14"/>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67"/>
        </w:trPr>
        <w:tc>
          <w:tcPr>
            <w:tcW w:w="8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4"/>
                <w:szCs w:val="14"/>
                <w:color w:val="auto"/>
              </w:rPr>
            </w:pPr>
          </w:p>
        </w:tc>
      </w:tr>
      <w:tr>
        <w:trPr>
          <w:trHeight w:val="231"/>
        </w:trPr>
        <w:tc>
          <w:tcPr>
            <w:tcW w:w="8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84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195,572</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323,788</w:t>
            </w:r>
          </w:p>
        </w:tc>
        <w:tc>
          <w:tcPr>
            <w:tcW w:w="100" w:type="dxa"/>
            <w:vAlign w:val="bottom"/>
            <w:shd w:val="clear" w:color="auto" w:fill="CFF0FC"/>
          </w:tcPr>
          <w:p>
            <w:pPr>
              <w:spacing w:after="0"/>
              <w:rPr>
                <w:sz w:val="20"/>
                <w:szCs w:val="20"/>
                <w:color w:val="auto"/>
              </w:rPr>
            </w:pPr>
          </w:p>
        </w:tc>
      </w:tr>
      <w:tr>
        <w:trPr>
          <w:trHeight w:val="220"/>
        </w:trPr>
        <w:tc>
          <w:tcPr>
            <w:tcW w:w="84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Accounts receivable—Net of allowances of $5,574 and $5,339 as of December 31, 2023 and 2022, respectively</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102,365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98,353</w:t>
            </w:r>
          </w:p>
        </w:tc>
        <w:tc>
          <w:tcPr>
            <w:tcW w:w="100" w:type="dxa"/>
            <w:vAlign w:val="bottom"/>
          </w:tcPr>
          <w:p>
            <w:pPr>
              <w:spacing w:after="0"/>
              <w:rPr>
                <w:sz w:val="19"/>
                <w:szCs w:val="19"/>
                <w:color w:val="auto"/>
              </w:rPr>
            </w:pPr>
          </w:p>
        </w:tc>
      </w:tr>
      <w:tr>
        <w:trPr>
          <w:trHeight w:val="239"/>
        </w:trPr>
        <w:tc>
          <w:tcPr>
            <w:tcW w:w="84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Income taxes receivable</w:t>
            </w: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1,798</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4,015</w:t>
            </w:r>
          </w:p>
        </w:tc>
        <w:tc>
          <w:tcPr>
            <w:tcW w:w="100" w:type="dxa"/>
            <w:vAlign w:val="bottom"/>
            <w:shd w:val="clear" w:color="auto" w:fill="CFF0FC"/>
          </w:tcPr>
          <w:p>
            <w:pPr>
              <w:spacing w:after="0"/>
              <w:rPr>
                <w:sz w:val="20"/>
                <w:szCs w:val="20"/>
                <w:color w:val="auto"/>
              </w:rPr>
            </w:pPr>
          </w:p>
        </w:tc>
      </w:tr>
      <w:tr>
        <w:trPr>
          <w:trHeight w:val="220"/>
        </w:trPr>
        <w:tc>
          <w:tcPr>
            <w:tcW w:w="84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Deferred contract costs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17,900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16,556</w:t>
            </w:r>
          </w:p>
        </w:tc>
        <w:tc>
          <w:tcPr>
            <w:tcW w:w="100" w:type="dxa"/>
            <w:vAlign w:val="bottom"/>
          </w:tcPr>
          <w:p>
            <w:pPr>
              <w:spacing w:after="0"/>
              <w:rPr>
                <w:sz w:val="19"/>
                <w:szCs w:val="19"/>
                <w:color w:val="auto"/>
              </w:rPr>
            </w:pPr>
          </w:p>
        </w:tc>
      </w:tr>
      <w:tr>
        <w:trPr>
          <w:trHeight w:val="233"/>
        </w:trPr>
        <w:tc>
          <w:tcPr>
            <w:tcW w:w="84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Other current assets</w:t>
            </w:r>
          </w:p>
        </w:tc>
        <w:tc>
          <w:tcPr>
            <w:tcW w:w="1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32,364</w:t>
            </w:r>
          </w:p>
        </w:tc>
        <w:tc>
          <w:tcPr>
            <w:tcW w:w="2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36,358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0"/>
        </w:trPr>
        <w:tc>
          <w:tcPr>
            <w:tcW w:w="844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349,999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479,070</w:t>
            </w:r>
          </w:p>
        </w:tc>
        <w:tc>
          <w:tcPr>
            <w:tcW w:w="100" w:type="dxa"/>
            <w:vAlign w:val="bottom"/>
          </w:tcPr>
          <w:p>
            <w:pPr>
              <w:spacing w:after="0"/>
              <w:rPr>
                <w:sz w:val="19"/>
                <w:szCs w:val="19"/>
                <w:color w:val="auto"/>
              </w:rPr>
            </w:pPr>
          </w:p>
        </w:tc>
      </w:tr>
      <w:tr>
        <w:trPr>
          <w:trHeight w:val="239"/>
        </w:trPr>
        <w:tc>
          <w:tcPr>
            <w:tcW w:w="8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SOFTWARE, EQUIPMENT, AND PROPERTY—Net</w:t>
            </w: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160,416</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146,443</w:t>
            </w:r>
          </w:p>
        </w:tc>
        <w:tc>
          <w:tcPr>
            <w:tcW w:w="100" w:type="dxa"/>
            <w:vAlign w:val="bottom"/>
            <w:shd w:val="clear" w:color="auto" w:fill="CFF0FC"/>
          </w:tcPr>
          <w:p>
            <w:pPr>
              <w:spacing w:after="0"/>
              <w:rPr>
                <w:sz w:val="20"/>
                <w:szCs w:val="20"/>
                <w:color w:val="auto"/>
              </w:rPr>
            </w:pPr>
          </w:p>
        </w:tc>
      </w:tr>
      <w:tr>
        <w:trPr>
          <w:trHeight w:val="220"/>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ASSETS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30,456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32,874</w:t>
            </w:r>
          </w:p>
        </w:tc>
        <w:tc>
          <w:tcPr>
            <w:tcW w:w="100" w:type="dxa"/>
            <w:vAlign w:val="bottom"/>
          </w:tcPr>
          <w:p>
            <w:pPr>
              <w:spacing w:after="0"/>
              <w:rPr>
                <w:sz w:val="19"/>
                <w:szCs w:val="19"/>
                <w:color w:val="auto"/>
              </w:rPr>
            </w:pPr>
          </w:p>
        </w:tc>
      </w:tr>
      <w:tr>
        <w:trPr>
          <w:trHeight w:val="239"/>
        </w:trPr>
        <w:tc>
          <w:tcPr>
            <w:tcW w:w="8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INTANGIBLE ASSETS—Net</w:t>
            </w: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1,015,046</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1,118,819</w:t>
            </w:r>
          </w:p>
        </w:tc>
        <w:tc>
          <w:tcPr>
            <w:tcW w:w="100" w:type="dxa"/>
            <w:vAlign w:val="bottom"/>
            <w:shd w:val="clear" w:color="auto" w:fill="CFF0FC"/>
          </w:tcPr>
          <w:p>
            <w:pPr>
              <w:spacing w:after="0"/>
              <w:rPr>
                <w:sz w:val="20"/>
                <w:szCs w:val="20"/>
                <w:color w:val="auto"/>
              </w:rPr>
            </w:pPr>
          </w:p>
        </w:tc>
      </w:tr>
      <w:tr>
        <w:trPr>
          <w:trHeight w:val="220"/>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1,417,724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1,495,129</w:t>
            </w:r>
          </w:p>
        </w:tc>
        <w:tc>
          <w:tcPr>
            <w:tcW w:w="100" w:type="dxa"/>
            <w:vAlign w:val="bottom"/>
          </w:tcPr>
          <w:p>
            <w:pPr>
              <w:spacing w:after="0"/>
              <w:rPr>
                <w:sz w:val="19"/>
                <w:szCs w:val="19"/>
                <w:color w:val="auto"/>
              </w:rPr>
            </w:pPr>
          </w:p>
        </w:tc>
      </w:tr>
      <w:tr>
        <w:trPr>
          <w:trHeight w:val="239"/>
        </w:trPr>
        <w:tc>
          <w:tcPr>
            <w:tcW w:w="8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DEFERRED FINANCING FEES, REVOLVER—Net</w:t>
            </w: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1,672</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2,286</w:t>
            </w:r>
          </w:p>
        </w:tc>
        <w:tc>
          <w:tcPr>
            <w:tcW w:w="100" w:type="dxa"/>
            <w:vAlign w:val="bottom"/>
            <w:shd w:val="clear" w:color="auto" w:fill="CFF0FC"/>
          </w:tcPr>
          <w:p>
            <w:pPr>
              <w:spacing w:after="0"/>
              <w:rPr>
                <w:sz w:val="20"/>
                <w:szCs w:val="20"/>
                <w:color w:val="auto"/>
              </w:rPr>
            </w:pPr>
          </w:p>
        </w:tc>
      </w:tr>
      <w:tr>
        <w:trPr>
          <w:trHeight w:val="220"/>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CONTRACT COSTS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22,302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20,161</w:t>
            </w:r>
          </w:p>
        </w:tc>
        <w:tc>
          <w:tcPr>
            <w:tcW w:w="100" w:type="dxa"/>
            <w:vAlign w:val="bottom"/>
          </w:tcPr>
          <w:p>
            <w:pPr>
              <w:spacing w:after="0"/>
              <w:rPr>
                <w:sz w:val="19"/>
                <w:szCs w:val="19"/>
                <w:color w:val="auto"/>
              </w:rPr>
            </w:pPr>
          </w:p>
        </w:tc>
      </w:tr>
      <w:tr>
        <w:trPr>
          <w:trHeight w:val="239"/>
        </w:trPr>
        <w:tc>
          <w:tcPr>
            <w:tcW w:w="8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EQUITY METHOD INVESTMENT</w:t>
            </w: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10,228</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10,228</w:t>
            </w:r>
          </w:p>
        </w:tc>
        <w:tc>
          <w:tcPr>
            <w:tcW w:w="100" w:type="dxa"/>
            <w:vAlign w:val="bottom"/>
            <w:shd w:val="clear" w:color="auto" w:fill="CFF0FC"/>
          </w:tcPr>
          <w:p>
            <w:pPr>
              <w:spacing w:after="0"/>
              <w:rPr>
                <w:sz w:val="20"/>
                <w:szCs w:val="20"/>
                <w:color w:val="auto"/>
              </w:rPr>
            </w:pPr>
          </w:p>
        </w:tc>
      </w:tr>
      <w:tr>
        <w:trPr>
          <w:trHeight w:val="223"/>
        </w:trPr>
        <w:tc>
          <w:tcPr>
            <w:tcW w:w="84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43,197</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45,911</w:t>
            </w:r>
          </w:p>
        </w:tc>
        <w:tc>
          <w:tcPr>
            <w:tcW w:w="100" w:type="dxa"/>
            <w:vAlign w:val="bottom"/>
            <w:tcBorders>
              <w:bottom w:val="single" w:sz="8" w:color="CFF0FC"/>
            </w:tcBorders>
          </w:tcPr>
          <w:p>
            <w:pPr>
              <w:spacing w:after="0"/>
              <w:rPr>
                <w:sz w:val="19"/>
                <w:szCs w:val="19"/>
                <w:color w:val="auto"/>
              </w:rPr>
            </w:pPr>
          </w:p>
        </w:tc>
      </w:tr>
      <w:tr>
        <w:trPr>
          <w:trHeight w:val="263"/>
        </w:trPr>
        <w:tc>
          <w:tcPr>
            <w:tcW w:w="8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3,051,040</w:t>
            </w:r>
          </w:p>
        </w:tc>
        <w:tc>
          <w:tcPr>
            <w:tcW w:w="2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3,350,921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08"/>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MEZZANINE EQUITY AND STOCKHOLDERS’ EQUITY</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84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16,324</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27,599</w:t>
            </w:r>
          </w:p>
        </w:tc>
        <w:tc>
          <w:tcPr>
            <w:tcW w:w="100" w:type="dxa"/>
            <w:vAlign w:val="bottom"/>
          </w:tcPr>
          <w:p>
            <w:pPr>
              <w:spacing w:after="0"/>
              <w:rPr>
                <w:sz w:val="19"/>
                <w:szCs w:val="19"/>
                <w:color w:val="auto"/>
              </w:rPr>
            </w:pPr>
          </w:p>
        </w:tc>
      </w:tr>
      <w:tr>
        <w:trPr>
          <w:trHeight w:val="239"/>
        </w:trPr>
        <w:tc>
          <w:tcPr>
            <w:tcW w:w="84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Accrued expenses</w:t>
            </w: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71,478</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71,445</w:t>
            </w:r>
          </w:p>
        </w:tc>
        <w:tc>
          <w:tcPr>
            <w:tcW w:w="100" w:type="dxa"/>
            <w:vAlign w:val="bottom"/>
            <w:shd w:val="clear" w:color="auto" w:fill="CFF0FC"/>
          </w:tcPr>
          <w:p>
            <w:pPr>
              <w:spacing w:after="0"/>
              <w:rPr>
                <w:sz w:val="20"/>
                <w:szCs w:val="20"/>
                <w:color w:val="auto"/>
              </w:rPr>
            </w:pPr>
          </w:p>
        </w:tc>
      </w:tr>
      <w:tr>
        <w:trPr>
          <w:trHeight w:val="220"/>
        </w:trPr>
        <w:tc>
          <w:tcPr>
            <w:tcW w:w="84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Income taxes payable</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w:t>
            </w:r>
          </w:p>
        </w:tc>
        <w:tc>
          <w:tcPr>
            <w:tcW w:w="100" w:type="dxa"/>
            <w:vAlign w:val="bottom"/>
          </w:tcPr>
          <w:p>
            <w:pPr>
              <w:spacing w:after="0"/>
              <w:rPr>
                <w:sz w:val="19"/>
                <w:szCs w:val="19"/>
                <w:color w:val="auto"/>
              </w:rPr>
            </w:pPr>
          </w:p>
        </w:tc>
      </w:tr>
      <w:tr>
        <w:trPr>
          <w:trHeight w:val="239"/>
        </w:trPr>
        <w:tc>
          <w:tcPr>
            <w:tcW w:w="84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8,000</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8,000</w:t>
            </w:r>
          </w:p>
        </w:tc>
        <w:tc>
          <w:tcPr>
            <w:tcW w:w="100" w:type="dxa"/>
            <w:vAlign w:val="bottom"/>
            <w:shd w:val="clear" w:color="auto" w:fill="CFF0FC"/>
          </w:tcPr>
          <w:p>
            <w:pPr>
              <w:spacing w:after="0"/>
              <w:rPr>
                <w:sz w:val="20"/>
                <w:szCs w:val="20"/>
                <w:color w:val="auto"/>
              </w:rPr>
            </w:pPr>
          </w:p>
        </w:tc>
      </w:tr>
      <w:tr>
        <w:trPr>
          <w:trHeight w:val="220"/>
        </w:trPr>
        <w:tc>
          <w:tcPr>
            <w:tcW w:w="84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Current portion of long-term licensing agreement—Net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2,876</w:t>
            </w:r>
          </w:p>
        </w:tc>
        <w:tc>
          <w:tcPr>
            <w:tcW w:w="100" w:type="dxa"/>
            <w:vAlign w:val="bottom"/>
          </w:tcPr>
          <w:p>
            <w:pPr>
              <w:spacing w:after="0"/>
              <w:rPr>
                <w:sz w:val="19"/>
                <w:szCs w:val="19"/>
                <w:color w:val="auto"/>
              </w:rPr>
            </w:pPr>
          </w:p>
        </w:tc>
      </w:tr>
      <w:tr>
        <w:trPr>
          <w:trHeight w:val="239"/>
        </w:trPr>
        <w:tc>
          <w:tcPr>
            <w:tcW w:w="84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6,788</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5,484</w:t>
            </w:r>
          </w:p>
        </w:tc>
        <w:tc>
          <w:tcPr>
            <w:tcW w:w="100" w:type="dxa"/>
            <w:vAlign w:val="bottom"/>
            <w:shd w:val="clear" w:color="auto" w:fill="CFF0FC"/>
          </w:tcPr>
          <w:p>
            <w:pPr>
              <w:spacing w:after="0"/>
              <w:rPr>
                <w:sz w:val="20"/>
                <w:szCs w:val="20"/>
                <w:color w:val="auto"/>
              </w:rPr>
            </w:pPr>
          </w:p>
        </w:tc>
      </w:tr>
      <w:tr>
        <w:trPr>
          <w:trHeight w:val="223"/>
        </w:trPr>
        <w:tc>
          <w:tcPr>
            <w:tcW w:w="84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Deferred revenues</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43,567</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35,239</w:t>
            </w:r>
          </w:p>
        </w:tc>
        <w:tc>
          <w:tcPr>
            <w:tcW w:w="100" w:type="dxa"/>
            <w:vAlign w:val="bottom"/>
          </w:tcPr>
          <w:p>
            <w:pPr>
              <w:spacing w:after="0"/>
              <w:rPr>
                <w:sz w:val="19"/>
                <w:szCs w:val="19"/>
                <w:color w:val="auto"/>
              </w:rPr>
            </w:pPr>
          </w:p>
        </w:tc>
      </w:tr>
      <w:tr>
        <w:trPr>
          <w:trHeight w:val="229"/>
        </w:trPr>
        <w:tc>
          <w:tcPr>
            <w:tcW w:w="8440" w:type="dxa"/>
            <w:vAlign w:val="bottom"/>
            <w:shd w:val="clear" w:color="auto" w:fill="CFF0FC"/>
          </w:tcPr>
          <w:p>
            <w:pPr>
              <w:ind w:left="8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152,907</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151,565</w:t>
            </w:r>
          </w:p>
        </w:tc>
        <w:tc>
          <w:tcPr>
            <w:tcW w:w="100" w:type="dxa"/>
            <w:vAlign w:val="bottom"/>
            <w:shd w:val="clear" w:color="auto" w:fill="CFF0FC"/>
          </w:tcPr>
          <w:p>
            <w:pPr>
              <w:spacing w:after="0"/>
              <w:rPr>
                <w:sz w:val="19"/>
                <w:szCs w:val="19"/>
                <w:color w:val="auto"/>
              </w:rPr>
            </w:pPr>
          </w:p>
        </w:tc>
      </w:tr>
      <w:tr>
        <w:trPr>
          <w:trHeight w:val="220"/>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DEBT—Net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767,504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774,132</w:t>
            </w:r>
          </w:p>
        </w:tc>
        <w:tc>
          <w:tcPr>
            <w:tcW w:w="100" w:type="dxa"/>
            <w:vAlign w:val="bottom"/>
          </w:tcPr>
          <w:p>
            <w:pPr>
              <w:spacing w:after="0"/>
              <w:rPr>
                <w:sz w:val="19"/>
                <w:szCs w:val="19"/>
                <w:color w:val="auto"/>
              </w:rPr>
            </w:pPr>
          </w:p>
        </w:tc>
      </w:tr>
      <w:tr>
        <w:trPr>
          <w:trHeight w:val="239"/>
        </w:trPr>
        <w:tc>
          <w:tcPr>
            <w:tcW w:w="8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DEFERRED INCOME TAXES—Net</w:t>
            </w: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195,365</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241,698</w:t>
            </w:r>
          </w:p>
        </w:tc>
        <w:tc>
          <w:tcPr>
            <w:tcW w:w="100" w:type="dxa"/>
            <w:vAlign w:val="bottom"/>
            <w:shd w:val="clear" w:color="auto" w:fill="CFF0FC"/>
          </w:tcPr>
          <w:p>
            <w:pPr>
              <w:spacing w:after="0"/>
              <w:rPr>
                <w:sz w:val="20"/>
                <w:szCs w:val="20"/>
                <w:color w:val="auto"/>
              </w:rPr>
            </w:pPr>
          </w:p>
        </w:tc>
      </w:tr>
      <w:tr>
        <w:trPr>
          <w:trHeight w:val="220"/>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LICENSING AGREEMENT—Net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27,692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30,752</w:t>
            </w:r>
          </w:p>
        </w:tc>
        <w:tc>
          <w:tcPr>
            <w:tcW w:w="100" w:type="dxa"/>
            <w:vAlign w:val="bottom"/>
          </w:tcPr>
          <w:p>
            <w:pPr>
              <w:spacing w:after="0"/>
              <w:rPr>
                <w:sz w:val="19"/>
                <w:szCs w:val="19"/>
                <w:color w:val="auto"/>
              </w:rPr>
            </w:pPr>
          </w:p>
        </w:tc>
      </w:tr>
      <w:tr>
        <w:trPr>
          <w:trHeight w:val="239"/>
        </w:trPr>
        <w:tc>
          <w:tcPr>
            <w:tcW w:w="8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50,796</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54,245</w:t>
            </w:r>
          </w:p>
        </w:tc>
        <w:tc>
          <w:tcPr>
            <w:tcW w:w="100" w:type="dxa"/>
            <w:vAlign w:val="bottom"/>
            <w:shd w:val="clear" w:color="auto" w:fill="CFF0FC"/>
          </w:tcPr>
          <w:p>
            <w:pPr>
              <w:spacing w:after="0"/>
              <w:rPr>
                <w:sz w:val="20"/>
                <w:szCs w:val="20"/>
                <w:color w:val="auto"/>
              </w:rPr>
            </w:pPr>
          </w:p>
        </w:tc>
      </w:tr>
      <w:tr>
        <w:trPr>
          <w:trHeight w:val="220"/>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WARRANT LIABILITIES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51,501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36,405</w:t>
            </w:r>
          </w:p>
        </w:tc>
        <w:tc>
          <w:tcPr>
            <w:tcW w:w="100" w:type="dxa"/>
            <w:vAlign w:val="bottom"/>
          </w:tcPr>
          <w:p>
            <w:pPr>
              <w:spacing w:after="0"/>
              <w:rPr>
                <w:sz w:val="19"/>
                <w:szCs w:val="19"/>
                <w:color w:val="auto"/>
              </w:rPr>
            </w:pPr>
          </w:p>
        </w:tc>
      </w:tr>
      <w:tr>
        <w:trPr>
          <w:trHeight w:val="239"/>
        </w:trPr>
        <w:tc>
          <w:tcPr>
            <w:tcW w:w="8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6,414</w:t>
            </w:r>
          </w:p>
        </w:tc>
        <w:tc>
          <w:tcPr>
            <w:tcW w:w="20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2,658</w:t>
            </w:r>
          </w:p>
        </w:tc>
        <w:tc>
          <w:tcPr>
            <w:tcW w:w="100" w:type="dxa"/>
            <w:vAlign w:val="bottom"/>
            <w:shd w:val="clear" w:color="auto" w:fill="CFF0FC"/>
          </w:tcPr>
          <w:p>
            <w:pPr>
              <w:spacing w:after="0"/>
              <w:rPr>
                <w:sz w:val="20"/>
                <w:szCs w:val="20"/>
                <w:color w:val="auto"/>
              </w:rPr>
            </w:pPr>
          </w:p>
        </w:tc>
      </w:tr>
      <w:tr>
        <w:trPr>
          <w:trHeight w:val="216"/>
        </w:trPr>
        <w:tc>
          <w:tcPr>
            <w:tcW w:w="844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1,252,179</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1,291,455</w:t>
            </w:r>
          </w:p>
        </w:tc>
        <w:tc>
          <w:tcPr>
            <w:tcW w:w="100" w:type="dxa"/>
            <w:vAlign w:val="bottom"/>
          </w:tcPr>
          <w:p>
            <w:pPr>
              <w:spacing w:after="0"/>
              <w:rPr>
                <w:sz w:val="18"/>
                <w:szCs w:val="18"/>
                <w:color w:val="auto"/>
              </w:rPr>
            </w:pPr>
          </w:p>
        </w:tc>
      </w:tr>
      <w:tr>
        <w:trPr>
          <w:trHeight w:val="230"/>
        </w:trPr>
        <w:tc>
          <w:tcPr>
            <w:tcW w:w="8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(Notes 23 and 24)</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MEZZANINE EQUITY:</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84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Redeemable non-controlling interest</w:t>
            </w: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16,584</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14,179</w:t>
            </w:r>
          </w:p>
        </w:tc>
        <w:tc>
          <w:tcPr>
            <w:tcW w:w="100" w:type="dxa"/>
            <w:vAlign w:val="bottom"/>
            <w:shd w:val="clear" w:color="auto" w:fill="CFF0FC"/>
          </w:tcPr>
          <w:p>
            <w:pPr>
              <w:spacing w:after="0"/>
              <w:rPr>
                <w:sz w:val="20"/>
                <w:szCs w:val="20"/>
                <w:color w:val="auto"/>
              </w:rPr>
            </w:pPr>
          </w:p>
        </w:tc>
      </w:tr>
      <w:tr>
        <w:trPr>
          <w:trHeight w:val="220"/>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84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Preferred stock—$0.0001 par; 100,000,000 shares authorized; no shares issued or outstanding</w:t>
            </w:r>
          </w:p>
        </w:tc>
        <w:tc>
          <w:tcPr>
            <w:tcW w:w="1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84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Common stock—$0.0001 par; 5,000,000,000 shares authorized; 603,128,781 and 622,072,905 shares issued and</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8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outstanding at December 31, 2023 and 2022, respectively</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9"/>
                <w:szCs w:val="19"/>
                <w:color w:val="auto"/>
              </w:rPr>
            </w:pPr>
          </w:p>
        </w:tc>
      </w:tr>
      <w:tr>
        <w:trPr>
          <w:trHeight w:val="239"/>
        </w:trPr>
        <w:tc>
          <w:tcPr>
            <w:tcW w:w="84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2,909,757</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2,754,055</w:t>
            </w:r>
          </w:p>
        </w:tc>
        <w:tc>
          <w:tcPr>
            <w:tcW w:w="100" w:type="dxa"/>
            <w:vAlign w:val="bottom"/>
            <w:shd w:val="clear" w:color="auto" w:fill="CFF0FC"/>
          </w:tcPr>
          <w:p>
            <w:pPr>
              <w:spacing w:after="0"/>
              <w:rPr>
                <w:sz w:val="20"/>
                <w:szCs w:val="20"/>
                <w:color w:val="auto"/>
              </w:rPr>
            </w:pPr>
          </w:p>
        </w:tc>
      </w:tr>
      <w:tr>
        <w:trPr>
          <w:trHeight w:val="220"/>
        </w:trPr>
        <w:tc>
          <w:tcPr>
            <w:tcW w:w="84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Accumulated deficit</w:t>
            </w:r>
          </w:p>
        </w:tc>
        <w:tc>
          <w:tcPr>
            <w:tcW w:w="16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(1,126,467 )</w:t>
            </w:r>
          </w:p>
        </w:tc>
        <w:tc>
          <w:tcPr>
            <w:tcW w:w="18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(707,946 )</w:t>
            </w:r>
          </w:p>
        </w:tc>
      </w:tr>
      <w:tr>
        <w:trPr>
          <w:trHeight w:val="239"/>
        </w:trPr>
        <w:tc>
          <w:tcPr>
            <w:tcW w:w="84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(1,073 )</w:t>
            </w:r>
          </w:p>
        </w:tc>
        <w:tc>
          <w:tcPr>
            <w:tcW w:w="1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(884 )</w:t>
            </w:r>
          </w:p>
        </w:tc>
      </w:tr>
      <w:tr>
        <w:trPr>
          <w:trHeight w:val="216"/>
        </w:trPr>
        <w:tc>
          <w:tcPr>
            <w:tcW w:w="844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1,782,277</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2,045,287</w:t>
            </w:r>
          </w:p>
        </w:tc>
        <w:tc>
          <w:tcPr>
            <w:tcW w:w="100" w:type="dxa"/>
            <w:vAlign w:val="bottom"/>
          </w:tcPr>
          <w:p>
            <w:pPr>
              <w:spacing w:after="0"/>
              <w:rPr>
                <w:sz w:val="18"/>
                <w:szCs w:val="18"/>
                <w:color w:val="auto"/>
              </w:rPr>
            </w:pPr>
          </w:p>
        </w:tc>
      </w:tr>
      <w:tr>
        <w:trPr>
          <w:trHeight w:val="263"/>
        </w:trPr>
        <w:tc>
          <w:tcPr>
            <w:tcW w:w="8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3,051,040</w:t>
            </w:r>
          </w:p>
        </w:tc>
        <w:tc>
          <w:tcPr>
            <w:tcW w:w="2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3,350,921</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-5777230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-5777230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-4302760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-4285615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-4457065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-4302760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-4285615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-4457065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6130290</wp:posOffset>
            </wp:positionH>
            <wp:positionV relativeFrom="paragraph">
              <wp:posOffset>-1949450</wp:posOffset>
            </wp:positionV>
            <wp:extent cx="93980" cy="1879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3980" cy="1879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-1949450</wp:posOffset>
            </wp:positionV>
            <wp:extent cx="93980" cy="1879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3980" cy="187960"/>
                    </a:xfrm>
                    <a:prstGeom prst="rect">
                      <a:avLst/>
                    </a:prstGeom>
                    <a:noFill/>
                  </pic:spPr>
                </pic:pic>
              </a:graphicData>
            </a:graphic>
          </wp:anchor>
        </w:drawing>
        <w:drawing>
          <wp:anchor simplePos="0" relativeHeight="251657728" behindDoc="1" locked="0" layoutInCell="0" allowOverlap="1">
            <wp:simplePos x="0" y="0"/>
            <wp:positionH relativeFrom="column">
              <wp:posOffset>6130290</wp:posOffset>
            </wp:positionH>
            <wp:positionV relativeFrom="paragraph">
              <wp:posOffset>-346075</wp:posOffset>
            </wp:positionV>
            <wp:extent cx="93980" cy="1879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93980" cy="1879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-346075</wp:posOffset>
            </wp:positionV>
            <wp:extent cx="93980" cy="1879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93980" cy="18796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-8255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12"/>
        </w:trPr>
        <w:tc>
          <w:tcPr>
            <w:tcW w:w="8560" w:type="dxa"/>
            <w:vAlign w:val="bottom"/>
            <w:gridSpan w:val="4"/>
          </w:tcPr>
          <w:p>
            <w:pPr>
              <w:jc w:val="center"/>
              <w:ind w:left="2619"/>
              <w:spacing w:after="0"/>
              <w:rPr>
                <w:sz w:val="20"/>
                <w:szCs w:val="20"/>
                <w:color w:val="auto"/>
              </w:rPr>
            </w:pPr>
            <w:r>
              <w:rPr>
                <w:rFonts w:ascii="Times New Roman" w:cs="Times New Roman" w:eastAsia="Times New Roman" w:hAnsi="Times New Roman"/>
                <w:sz w:val="16"/>
                <w:szCs w:val="16"/>
                <w:b w:val="1"/>
                <w:bCs w:val="1"/>
                <w:color w:val="auto"/>
              </w:rPr>
              <w:t>CCC INTELLIGENT SOLUTIONS HOLDINGS INC. AND SUBSIDIARIES</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4"/>
        </w:trPr>
        <w:tc>
          <w:tcPr>
            <w:tcW w:w="9640" w:type="dxa"/>
            <w:vAlign w:val="bottom"/>
            <w:gridSpan w:val="5"/>
          </w:tcPr>
          <w:p>
            <w:pPr>
              <w:jc w:val="center"/>
              <w:ind w:left="1519"/>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AND COMPREHENSIVE (LOSS) INCOME</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560" w:type="dxa"/>
            <w:vAlign w:val="bottom"/>
            <w:gridSpan w:val="4"/>
          </w:tcPr>
          <w:p>
            <w:pPr>
              <w:jc w:val="center"/>
              <w:ind w:left="2619"/>
              <w:spacing w:after="0"/>
              <w:rPr>
                <w:sz w:val="20"/>
                <w:szCs w:val="20"/>
                <w:color w:val="auto"/>
              </w:rPr>
            </w:pPr>
            <w:r>
              <w:rPr>
                <w:rFonts w:ascii="Times New Roman" w:cs="Times New Roman" w:eastAsia="Times New Roman" w:hAnsi="Times New Roman"/>
                <w:sz w:val="16"/>
                <w:szCs w:val="16"/>
                <w:b w:val="1"/>
                <w:bCs w:val="1"/>
                <w:color w:val="auto"/>
              </w:rPr>
              <w:t>FOR THE YEARS ENDED DECEMBER 31, 2023, 2022 AND 2021</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560" w:type="dxa"/>
            <w:vAlign w:val="bottom"/>
            <w:gridSpan w:val="4"/>
          </w:tcPr>
          <w:p>
            <w:pPr>
              <w:jc w:val="center"/>
              <w:ind w:left="259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20" w:type="dxa"/>
            <w:vAlign w:val="bottom"/>
          </w:tcPr>
          <w:p>
            <w:pPr>
              <w:spacing w:after="0"/>
              <w:rPr>
                <w:sz w:val="19"/>
                <w:szCs w:val="19"/>
                <w:color w:val="auto"/>
              </w:rPr>
            </w:pPr>
          </w:p>
        </w:tc>
        <w:tc>
          <w:tcPr>
            <w:tcW w:w="134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0" w:type="dxa"/>
            <w:vAlign w:val="bottom"/>
            <w:gridSpan w:val="2"/>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29"/>
        </w:trPr>
        <w:tc>
          <w:tcPr>
            <w:tcW w:w="672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$866,378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$782,448</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$688,288</w:t>
            </w:r>
          </w:p>
        </w:tc>
        <w:tc>
          <w:tcPr>
            <w:tcW w:w="0" w:type="dxa"/>
            <w:vAlign w:val="bottom"/>
          </w:tcPr>
          <w:p>
            <w:pPr>
              <w:spacing w:after="0"/>
              <w:rPr>
                <w:sz w:val="1"/>
                <w:szCs w:val="1"/>
                <w:color w:val="auto"/>
              </w:rPr>
            </w:pPr>
          </w:p>
        </w:tc>
      </w:tr>
      <w:tr>
        <w:trPr>
          <w:trHeight w:val="220"/>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REVENUES</w:t>
            </w: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Cost of revenues, exclusive of amortization and impairment of acquired technologies</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203,324</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187,001</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169,335</w:t>
            </w:r>
          </w:p>
        </w:tc>
        <w:tc>
          <w:tcPr>
            <w:tcW w:w="0" w:type="dxa"/>
            <w:vAlign w:val="bottom"/>
          </w:tcPr>
          <w:p>
            <w:pPr>
              <w:spacing w:after="0"/>
              <w:rPr>
                <w:sz w:val="1"/>
                <w:szCs w:val="1"/>
                <w:color w:val="auto"/>
              </w:rPr>
            </w:pPr>
          </w:p>
        </w:tc>
      </w:tr>
      <w:tr>
        <w:trPr>
          <w:trHeight w:val="220"/>
        </w:trPr>
        <w:tc>
          <w:tcPr>
            <w:tcW w:w="6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acquired technologies</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26,464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26,938</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26,320</w:t>
            </w:r>
          </w:p>
        </w:tc>
        <w:tc>
          <w:tcPr>
            <w:tcW w:w="0" w:type="dxa"/>
            <w:vAlign w:val="bottom"/>
          </w:tcPr>
          <w:p>
            <w:pPr>
              <w:spacing w:after="0"/>
              <w:rPr>
                <w:sz w:val="1"/>
                <w:szCs w:val="1"/>
                <w:color w:val="auto"/>
              </w:rPr>
            </w:pPr>
          </w:p>
        </w:tc>
      </w:tr>
      <w:tr>
        <w:trPr>
          <w:trHeight w:val="236"/>
        </w:trPr>
        <w:tc>
          <w:tcPr>
            <w:tcW w:w="6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Impairment of acquired technologies</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6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cost of revenues</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230,219</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213,939</w:t>
            </w:r>
          </w:p>
        </w:tc>
        <w:tc>
          <w:tcPr>
            <w:tcW w:w="22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195,655</w:t>
            </w:r>
          </w:p>
        </w:tc>
        <w:tc>
          <w:tcPr>
            <w:tcW w:w="0" w:type="dxa"/>
            <w:vAlign w:val="bottom"/>
          </w:tcPr>
          <w:p>
            <w:pPr>
              <w:spacing w:after="0"/>
              <w:rPr>
                <w:sz w:val="1"/>
                <w:szCs w:val="1"/>
                <w:color w:val="auto"/>
              </w:rPr>
            </w:pPr>
          </w:p>
        </w:tc>
      </w:tr>
      <w:tr>
        <w:trPr>
          <w:trHeight w:val="223"/>
        </w:trPr>
        <w:tc>
          <w:tcPr>
            <w:tcW w:w="6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636,159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568,509</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492,633</w:t>
            </w:r>
          </w:p>
        </w:tc>
        <w:tc>
          <w:tcPr>
            <w:tcW w:w="0" w:type="dxa"/>
            <w:vAlign w:val="bottom"/>
          </w:tcPr>
          <w:p>
            <w:pPr>
              <w:spacing w:after="0"/>
              <w:rPr>
                <w:sz w:val="1"/>
                <w:szCs w:val="1"/>
                <w:color w:val="auto"/>
              </w:rPr>
            </w:pPr>
          </w:p>
        </w:tc>
      </w:tr>
      <w:tr>
        <w:trPr>
          <w:trHeight w:val="216"/>
        </w:trPr>
        <w:tc>
          <w:tcPr>
            <w:tcW w:w="6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34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6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173,106</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156,957</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165,991</w:t>
            </w:r>
          </w:p>
        </w:tc>
        <w:tc>
          <w:tcPr>
            <w:tcW w:w="0" w:type="dxa"/>
            <w:vAlign w:val="bottom"/>
          </w:tcPr>
          <w:p>
            <w:pPr>
              <w:spacing w:after="0"/>
              <w:rPr>
                <w:sz w:val="1"/>
                <w:szCs w:val="1"/>
                <w:color w:val="auto"/>
              </w:rPr>
            </w:pPr>
          </w:p>
        </w:tc>
      </w:tr>
      <w:tr>
        <w:trPr>
          <w:trHeight w:val="220"/>
        </w:trPr>
        <w:tc>
          <w:tcPr>
            <w:tcW w:w="6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Selling and marketing</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140,851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119,594</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148,861</w:t>
            </w:r>
          </w:p>
        </w:tc>
        <w:tc>
          <w:tcPr>
            <w:tcW w:w="0" w:type="dxa"/>
            <w:vAlign w:val="bottom"/>
          </w:tcPr>
          <w:p>
            <w:pPr>
              <w:spacing w:after="0"/>
              <w:rPr>
                <w:sz w:val="1"/>
                <w:szCs w:val="1"/>
                <w:color w:val="auto"/>
              </w:rPr>
            </w:pPr>
          </w:p>
        </w:tc>
      </w:tr>
      <w:tr>
        <w:trPr>
          <w:trHeight w:val="239"/>
        </w:trPr>
        <w:tc>
          <w:tcPr>
            <w:tcW w:w="6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191,844</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167,758</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250,098</w:t>
            </w:r>
          </w:p>
        </w:tc>
        <w:tc>
          <w:tcPr>
            <w:tcW w:w="0" w:type="dxa"/>
            <w:vAlign w:val="bottom"/>
          </w:tcPr>
          <w:p>
            <w:pPr>
              <w:spacing w:after="0"/>
              <w:rPr>
                <w:sz w:val="1"/>
                <w:szCs w:val="1"/>
                <w:color w:val="auto"/>
              </w:rPr>
            </w:pPr>
          </w:p>
        </w:tc>
      </w:tr>
      <w:tr>
        <w:trPr>
          <w:trHeight w:val="220"/>
        </w:trPr>
        <w:tc>
          <w:tcPr>
            <w:tcW w:w="6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71,972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72,278</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72,358</w:t>
            </w:r>
          </w:p>
        </w:tc>
        <w:tc>
          <w:tcPr>
            <w:tcW w:w="0" w:type="dxa"/>
            <w:vAlign w:val="bottom"/>
          </w:tcPr>
          <w:p>
            <w:pPr>
              <w:spacing w:after="0"/>
              <w:rPr>
                <w:sz w:val="1"/>
                <w:szCs w:val="1"/>
                <w:color w:val="auto"/>
              </w:rPr>
            </w:pPr>
          </w:p>
        </w:tc>
      </w:tr>
      <w:tr>
        <w:trPr>
          <w:trHeight w:val="239"/>
        </w:trPr>
        <w:tc>
          <w:tcPr>
            <w:tcW w:w="6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Impairment of goodwill</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77,405</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7"/>
        </w:trPr>
        <w:tc>
          <w:tcPr>
            <w:tcW w:w="6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Impairment of intangible assets</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4,906</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6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660,084</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516,587</w:t>
            </w:r>
          </w:p>
        </w:tc>
        <w:tc>
          <w:tcPr>
            <w:tcW w:w="22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637,308</w:t>
            </w:r>
          </w:p>
        </w:tc>
        <w:tc>
          <w:tcPr>
            <w:tcW w:w="0" w:type="dxa"/>
            <w:vAlign w:val="bottom"/>
          </w:tcPr>
          <w:p>
            <w:pPr>
              <w:spacing w:after="0"/>
              <w:rPr>
                <w:sz w:val="1"/>
                <w:szCs w:val="1"/>
                <w:color w:val="auto"/>
              </w:rPr>
            </w:pPr>
          </w:p>
        </w:tc>
      </w:tr>
      <w:tr>
        <w:trPr>
          <w:trHeight w:val="216"/>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(LOSS) INCOME</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(23,925)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51,922</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(144,675)</w:t>
            </w:r>
          </w:p>
        </w:tc>
        <w:tc>
          <w:tcPr>
            <w:tcW w:w="0" w:type="dxa"/>
            <w:vAlign w:val="bottom"/>
          </w:tcPr>
          <w:p>
            <w:pPr>
              <w:spacing w:after="0"/>
              <w:rPr>
                <w:sz w:val="1"/>
                <w:szCs w:val="1"/>
                <w:color w:val="auto"/>
              </w:rPr>
            </w:pPr>
          </w:p>
        </w:tc>
      </w:tr>
      <w:tr>
        <w:trPr>
          <w:trHeight w:val="239"/>
        </w:trPr>
        <w:tc>
          <w:tcPr>
            <w:tcW w:w="6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(63,577)</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(38,990)</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(58,990)</w:t>
            </w:r>
          </w:p>
        </w:tc>
        <w:tc>
          <w:tcPr>
            <w:tcW w:w="0" w:type="dxa"/>
            <w:vAlign w:val="bottom"/>
          </w:tcPr>
          <w:p>
            <w:pPr>
              <w:spacing w:after="0"/>
              <w:rPr>
                <w:sz w:val="1"/>
                <w:szCs w:val="1"/>
                <w:color w:val="auto"/>
              </w:rPr>
            </w:pPr>
          </w:p>
        </w:tc>
      </w:tr>
      <w:tr>
        <w:trPr>
          <w:trHeight w:val="220"/>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16,252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6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(15,096)</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26,073</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(64,501)</w:t>
            </w:r>
          </w:p>
        </w:tc>
        <w:tc>
          <w:tcPr>
            <w:tcW w:w="0" w:type="dxa"/>
            <w:vAlign w:val="bottom"/>
          </w:tcPr>
          <w:p>
            <w:pPr>
              <w:spacing w:after="0"/>
              <w:rPr>
                <w:sz w:val="1"/>
                <w:szCs w:val="1"/>
                <w:color w:val="auto"/>
              </w:rPr>
            </w:pPr>
          </w:p>
        </w:tc>
      </w:tr>
      <w:tr>
        <w:trPr>
          <w:trHeight w:val="220"/>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FAIR VALUE OF INTEREST RATE SWAP AGREEMENTS</w:t>
            </w:r>
          </w:p>
        </w:tc>
        <w:tc>
          <w:tcPr>
            <w:tcW w:w="1840" w:type="dxa"/>
            <w:vAlign w:val="bottom"/>
            <w:gridSpan w:val="3"/>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8,373</w:t>
            </w:r>
          </w:p>
        </w:tc>
        <w:tc>
          <w:tcPr>
            <w:tcW w:w="0" w:type="dxa"/>
            <w:vAlign w:val="bottom"/>
          </w:tcPr>
          <w:p>
            <w:pPr>
              <w:spacing w:after="0"/>
              <w:rPr>
                <w:sz w:val="1"/>
                <w:szCs w:val="1"/>
                <w:color w:val="auto"/>
              </w:rPr>
            </w:pPr>
          </w:p>
        </w:tc>
      </w:tr>
      <w:tr>
        <w:trPr>
          <w:trHeight w:val="239"/>
        </w:trPr>
        <w:tc>
          <w:tcPr>
            <w:tcW w:w="6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GAIN ON SALE OF COST METHOD INVESTMENT</w:t>
            </w:r>
          </w:p>
        </w:tc>
        <w:tc>
          <w:tcPr>
            <w:tcW w:w="1840" w:type="dxa"/>
            <w:vAlign w:val="bottom"/>
            <w:gridSpan w:val="3"/>
            <w:shd w:val="clear" w:color="auto" w:fill="CFF0FC"/>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3,587</w:t>
            </w:r>
          </w:p>
        </w:tc>
        <w:tc>
          <w:tcPr>
            <w:tcW w:w="22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EARLY EXTINGUISHMENT OF DEBT</w:t>
            </w:r>
          </w:p>
        </w:tc>
        <w:tc>
          <w:tcPr>
            <w:tcW w:w="1840" w:type="dxa"/>
            <w:vAlign w:val="bottom"/>
            <w:gridSpan w:val="3"/>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(15,240)</w:t>
            </w:r>
          </w:p>
        </w:tc>
        <w:tc>
          <w:tcPr>
            <w:tcW w:w="0" w:type="dxa"/>
            <w:vAlign w:val="bottom"/>
          </w:tcPr>
          <w:p>
            <w:pPr>
              <w:spacing w:after="0"/>
              <w:rPr>
                <w:sz w:val="1"/>
                <w:szCs w:val="1"/>
                <w:color w:val="auto"/>
              </w:rPr>
            </w:pPr>
          </w:p>
        </w:tc>
      </w:tr>
      <w:tr>
        <w:trPr>
          <w:trHeight w:val="236"/>
        </w:trPr>
        <w:tc>
          <w:tcPr>
            <w:tcW w:w="6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INCOME—Net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1,799</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6,362</w:t>
            </w:r>
          </w:p>
        </w:tc>
        <w:tc>
          <w:tcPr>
            <w:tcW w:w="22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216"/>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PRETAX (LOSS) INCOME</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(84,547)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49,862</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(274,919)</w:t>
            </w:r>
          </w:p>
        </w:tc>
        <w:tc>
          <w:tcPr>
            <w:tcW w:w="0" w:type="dxa"/>
            <w:vAlign w:val="bottom"/>
          </w:tcPr>
          <w:p>
            <w:pPr>
              <w:spacing w:after="0"/>
              <w:rPr>
                <w:sz w:val="1"/>
                <w:szCs w:val="1"/>
                <w:color w:val="auto"/>
              </w:rPr>
            </w:pPr>
          </w:p>
        </w:tc>
      </w:tr>
      <w:tr>
        <w:trPr>
          <w:trHeight w:val="236"/>
        </w:trPr>
        <w:tc>
          <w:tcPr>
            <w:tcW w:w="6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(5,524)</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(11,456)</w:t>
            </w:r>
          </w:p>
        </w:tc>
        <w:tc>
          <w:tcPr>
            <w:tcW w:w="22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26,000</w:t>
            </w:r>
          </w:p>
        </w:tc>
        <w:tc>
          <w:tcPr>
            <w:tcW w:w="0" w:type="dxa"/>
            <w:vAlign w:val="bottom"/>
          </w:tcPr>
          <w:p>
            <w:pPr>
              <w:spacing w:after="0"/>
              <w:rPr>
                <w:sz w:val="1"/>
                <w:szCs w:val="1"/>
                <w:color w:val="auto"/>
              </w:rPr>
            </w:pPr>
          </w:p>
        </w:tc>
      </w:tr>
      <w:tr>
        <w:trPr>
          <w:trHeight w:val="216"/>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 INCLUDING NON-CONTROLLING INTEREST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(90,071)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38,406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(248,919)</w:t>
            </w:r>
          </w:p>
        </w:tc>
        <w:tc>
          <w:tcPr>
            <w:tcW w:w="0" w:type="dxa"/>
            <w:vAlign w:val="bottom"/>
          </w:tcPr>
          <w:p>
            <w:pPr>
              <w:spacing w:after="0"/>
              <w:rPr>
                <w:sz w:val="1"/>
                <w:szCs w:val="1"/>
                <w:color w:val="auto"/>
              </w:rPr>
            </w:pPr>
          </w:p>
        </w:tc>
      </w:tr>
      <w:tr>
        <w:trPr>
          <w:trHeight w:val="236"/>
        </w:trPr>
        <w:tc>
          <w:tcPr>
            <w:tcW w:w="6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LESS: ACCRETION OF REDEEMABLE NON-CONTROLLING INTEREST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(2,405)</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9"/>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 ATTRIBUTABLE TO CCC INTELLIGENT SOLUTIONS</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HOLDINGS INC.'s COMMON STOCKHOLDERS</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$(92,476)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$38,406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$(248,919)</w:t>
            </w:r>
          </w:p>
        </w:tc>
        <w:tc>
          <w:tcPr>
            <w:tcW w:w="0" w:type="dxa"/>
            <w:vAlign w:val="bottom"/>
          </w:tcPr>
          <w:p>
            <w:pPr>
              <w:spacing w:after="0"/>
              <w:rPr>
                <w:sz w:val="1"/>
                <w:szCs w:val="1"/>
                <w:color w:val="auto"/>
              </w:rPr>
            </w:pPr>
          </w:p>
        </w:tc>
      </w:tr>
      <w:tr>
        <w:trPr>
          <w:trHeight w:val="469"/>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 per share attributable to common stockholders:</w:t>
            </w: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Basic</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$(0.46)</w:t>
            </w:r>
          </w:p>
        </w:tc>
        <w:tc>
          <w:tcPr>
            <w:tcW w:w="0" w:type="dxa"/>
            <w:vAlign w:val="bottom"/>
          </w:tcPr>
          <w:p>
            <w:pPr>
              <w:spacing w:after="0"/>
              <w:rPr>
                <w:sz w:val="1"/>
                <w:szCs w:val="1"/>
                <w:color w:val="auto"/>
              </w:rPr>
            </w:pPr>
          </w:p>
        </w:tc>
      </w:tr>
      <w:tr>
        <w:trPr>
          <w:trHeight w:val="220"/>
        </w:trPr>
        <w:tc>
          <w:tcPr>
            <w:tcW w:w="67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Diluted</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$(0.46)</w:t>
            </w:r>
          </w:p>
        </w:tc>
        <w:tc>
          <w:tcPr>
            <w:tcW w:w="0" w:type="dxa"/>
            <w:vAlign w:val="bottom"/>
          </w:tcPr>
          <w:p>
            <w:pPr>
              <w:spacing w:after="0"/>
              <w:rPr>
                <w:sz w:val="1"/>
                <w:szCs w:val="1"/>
                <w:color w:val="auto"/>
              </w:rPr>
            </w:pPr>
          </w:p>
        </w:tc>
      </w:tr>
      <w:tr>
        <w:trPr>
          <w:trHeight w:val="212"/>
        </w:trPr>
        <w:tc>
          <w:tcPr>
            <w:tcW w:w="6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Weighted-average shares used in computing net (loss) income per share</w:t>
            </w:r>
          </w:p>
        </w:tc>
        <w:tc>
          <w:tcPr>
            <w:tcW w:w="1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attributable to common stockholders:</w:t>
            </w: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7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Basic</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617,889,384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607,760,886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543,558,222</w:t>
            </w:r>
          </w:p>
        </w:tc>
        <w:tc>
          <w:tcPr>
            <w:tcW w:w="0" w:type="dxa"/>
            <w:vAlign w:val="bottom"/>
          </w:tcPr>
          <w:p>
            <w:pPr>
              <w:spacing w:after="0"/>
              <w:rPr>
                <w:sz w:val="1"/>
                <w:szCs w:val="1"/>
                <w:color w:val="auto"/>
              </w:rPr>
            </w:pPr>
          </w:p>
        </w:tc>
      </w:tr>
      <w:tr>
        <w:trPr>
          <w:trHeight w:val="239"/>
        </w:trPr>
        <w:tc>
          <w:tcPr>
            <w:tcW w:w="6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Diluted</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617,889,384</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642,841,596</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543,558,222</w:t>
            </w:r>
          </w:p>
        </w:tc>
        <w:tc>
          <w:tcPr>
            <w:tcW w:w="0" w:type="dxa"/>
            <w:vAlign w:val="bottom"/>
          </w:tcPr>
          <w:p>
            <w:pPr>
              <w:spacing w:after="0"/>
              <w:rPr>
                <w:sz w:val="1"/>
                <w:szCs w:val="1"/>
                <w:color w:val="auto"/>
              </w:rPr>
            </w:pPr>
          </w:p>
        </w:tc>
      </w:tr>
      <w:tr>
        <w:trPr>
          <w:trHeight w:val="220"/>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 INCOME:</w:t>
            </w: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(loss) income including non-controlling interest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(90,071)</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38,406</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(248,919)</w:t>
            </w:r>
          </w:p>
        </w:tc>
        <w:tc>
          <w:tcPr>
            <w:tcW w:w="0" w:type="dxa"/>
            <w:vAlign w:val="bottom"/>
          </w:tcPr>
          <w:p>
            <w:pPr>
              <w:spacing w:after="0"/>
              <w:rPr>
                <w:sz w:val="1"/>
                <w:szCs w:val="1"/>
                <w:color w:val="auto"/>
              </w:rPr>
            </w:pPr>
          </w:p>
        </w:tc>
      </w:tr>
      <w:tr>
        <w:trPr>
          <w:trHeight w:val="202"/>
        </w:trPr>
        <w:tc>
          <w:tcPr>
            <w:tcW w:w="6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comprehensive (loss) income—Foreign currency translation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220" w:type="dxa"/>
            <w:vAlign w:val="bottom"/>
            <w:vMerge w:val="restart"/>
          </w:tcPr>
          <w:p>
            <w:pPr>
              <w:spacing w:after="0"/>
              <w:rPr>
                <w:sz w:val="17"/>
                <w:szCs w:val="17"/>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13"/>
        </w:trPr>
        <w:tc>
          <w:tcPr>
            <w:tcW w:w="67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adjustment</w:t>
            </w:r>
          </w:p>
        </w:tc>
        <w:tc>
          <w:tcPr>
            <w:tcW w:w="134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COMPREHENSIVE (LOSS) INCOME INCLUDING</w:t>
            </w:r>
          </w:p>
        </w:tc>
        <w:tc>
          <w:tcPr>
            <w:tcW w:w="1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(90,260)</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37,837</w:t>
            </w:r>
          </w:p>
        </w:tc>
        <w:tc>
          <w:tcPr>
            <w:tcW w:w="16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(248,963)</w:t>
            </w:r>
          </w:p>
        </w:tc>
        <w:tc>
          <w:tcPr>
            <w:tcW w:w="0" w:type="dxa"/>
            <w:vAlign w:val="bottom"/>
          </w:tcPr>
          <w:p>
            <w:pPr>
              <w:spacing w:after="0"/>
              <w:rPr>
                <w:sz w:val="1"/>
                <w:szCs w:val="1"/>
                <w:color w:val="auto"/>
              </w:rPr>
            </w:pPr>
          </w:p>
        </w:tc>
      </w:tr>
      <w:tr>
        <w:trPr>
          <w:trHeight w:val="213"/>
        </w:trPr>
        <w:tc>
          <w:tcPr>
            <w:tcW w:w="6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NON-CONTROLLING INTEREST</w:t>
            </w:r>
          </w:p>
        </w:tc>
        <w:tc>
          <w:tcPr>
            <w:tcW w:w="134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vMerge w:val="continue"/>
            <w:shd w:val="clear" w:color="auto" w:fill="CFF0FC"/>
          </w:tcPr>
          <w:p>
            <w:pPr>
              <w:spacing w:after="0"/>
              <w:rPr>
                <w:sz w:val="18"/>
                <w:szCs w:val="18"/>
                <w:color w:val="auto"/>
              </w:rPr>
            </w:pPr>
          </w:p>
        </w:tc>
        <w:tc>
          <w:tcPr>
            <w:tcW w:w="16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6"/>
                <w:szCs w:val="16"/>
                <w:color w:val="auto"/>
              </w:rPr>
              <w:t>Less: accretion of redeemable non-controlling interest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(2,405)</w:t>
            </w:r>
          </w:p>
        </w:tc>
        <w:tc>
          <w:tcPr>
            <w:tcW w:w="24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6"/>
        </w:trPr>
        <w:tc>
          <w:tcPr>
            <w:tcW w:w="67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COMPREHENSIVE (LOSS) INCOME INCLUDING</w:t>
            </w:r>
          </w:p>
        </w:tc>
        <w:tc>
          <w:tcPr>
            <w:tcW w:w="1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$(92,665)</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$37,837</w:t>
            </w:r>
          </w:p>
        </w:tc>
        <w:tc>
          <w:tcPr>
            <w:tcW w:w="220" w:type="dxa"/>
            <w:vAlign w:val="bottom"/>
            <w:vMerge w:val="restart"/>
            <w:shd w:val="clear" w:color="auto" w:fill="CFF0FC"/>
          </w:tcPr>
          <w:p>
            <w:pPr>
              <w:spacing w:after="0"/>
              <w:rPr>
                <w:sz w:val="17"/>
                <w:szCs w:val="17"/>
                <w:color w:val="auto"/>
              </w:rPr>
            </w:pPr>
          </w:p>
        </w:tc>
        <w:tc>
          <w:tcPr>
            <w:tcW w:w="1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$(248,963)</w:t>
            </w:r>
          </w:p>
        </w:tc>
        <w:tc>
          <w:tcPr>
            <w:tcW w:w="0" w:type="dxa"/>
            <w:vAlign w:val="bottom"/>
          </w:tcPr>
          <w:p>
            <w:pPr>
              <w:spacing w:after="0"/>
              <w:rPr>
                <w:sz w:val="1"/>
                <w:szCs w:val="1"/>
                <w:color w:val="auto"/>
              </w:rPr>
            </w:pPr>
          </w:p>
        </w:tc>
      </w:tr>
      <w:tr>
        <w:trPr>
          <w:trHeight w:val="229"/>
        </w:trPr>
        <w:tc>
          <w:tcPr>
            <w:tcW w:w="67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NON-CONTROLLING INTEREST</w:t>
            </w:r>
          </w:p>
        </w:tc>
        <w:tc>
          <w:tcPr>
            <w:tcW w:w="134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vMerge w:val="continue"/>
            <w:shd w:val="clear" w:color="auto" w:fill="CFF0FC"/>
          </w:tcPr>
          <w:p>
            <w:pPr>
              <w:spacing w:after="0"/>
              <w:rPr>
                <w:sz w:val="19"/>
                <w:szCs w:val="19"/>
                <w:color w:val="auto"/>
              </w:rPr>
            </w:pPr>
          </w:p>
        </w:tc>
        <w:tc>
          <w:tcPr>
            <w:tcW w:w="138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-6111240</wp:posOffset>
            </wp:positionV>
            <wp:extent cx="14605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-6111240</wp:posOffset>
            </wp:positionV>
            <wp:extent cx="14541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-5802630</wp:posOffset>
            </wp:positionV>
            <wp:extent cx="14605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-5802630</wp:posOffset>
            </wp:positionV>
            <wp:extent cx="14541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-4619625</wp:posOffset>
            </wp:positionV>
            <wp:extent cx="14605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-4619625</wp:posOffset>
            </wp:positionV>
            <wp:extent cx="14541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-3445510</wp:posOffset>
            </wp:positionV>
            <wp:extent cx="14605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-3445510</wp:posOffset>
            </wp:positionV>
            <wp:extent cx="14541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-3145155</wp:posOffset>
            </wp:positionV>
            <wp:extent cx="14605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-3145155</wp:posOffset>
            </wp:positionV>
            <wp:extent cx="14541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-2845435</wp:posOffset>
            </wp:positionV>
            <wp:extent cx="14605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-2845435</wp:posOffset>
            </wp:positionV>
            <wp:extent cx="14541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-582295</wp:posOffset>
            </wp:positionV>
            <wp:extent cx="14605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-582295</wp:posOffset>
            </wp:positionV>
            <wp:extent cx="14541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-24765</wp:posOffset>
            </wp:positionV>
            <wp:extent cx="14605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14605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14541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14541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61" w:name="page62"/>
    <w:bookmarkEnd w:id="61"/>
    <w:p>
      <w:pPr>
        <w:ind w:left="2940"/>
        <w:spacing w:after="0"/>
        <w:rPr>
          <w:sz w:val="20"/>
          <w:szCs w:val="20"/>
          <w:color w:val="auto"/>
        </w:rPr>
      </w:pPr>
      <w:r>
        <w:rPr>
          <w:rFonts w:ascii="Times New Roman" w:cs="Times New Roman" w:eastAsia="Times New Roman" w:hAnsi="Times New Roman"/>
          <w:sz w:val="16"/>
          <w:szCs w:val="16"/>
          <w:b w:val="1"/>
          <w:bCs w:val="1"/>
          <w:color w:val="auto"/>
        </w:rPr>
        <w:t>CCC INTELLIGENT SOLUTIONS HOLDINGS INC. AND SUBSIDIARIES</w:t>
      </w:r>
    </w:p>
    <w:p>
      <w:pPr>
        <w:spacing w:after="0" w:line="14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6"/>
          <w:szCs w:val="16"/>
          <w:b w:val="1"/>
          <w:bCs w:val="1"/>
          <w:color w:val="auto"/>
        </w:rPr>
        <w:t>CONSOLIDATED STATEMENTS OF MEZZANINE EQUITY AND STOCKHOLDERS’ EQUITY</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YEARS ENDED DECEMBER 31, 2023, 2022 AND 2021</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number of shares)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99"/>
        </w:trPr>
        <w:tc>
          <w:tcPr>
            <w:tcW w:w="2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20" w:type="dxa"/>
            <w:vAlign w:val="bottom"/>
          </w:tcPr>
          <w:p>
            <w:pPr>
              <w:spacing w:after="0"/>
              <w:rPr>
                <w:sz w:val="24"/>
                <w:szCs w:val="24"/>
                <w:color w:val="auto"/>
              </w:rPr>
            </w:pPr>
          </w:p>
        </w:tc>
        <w:tc>
          <w:tcPr>
            <w:tcW w:w="15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Issued and</w:t>
            </w:r>
          </w:p>
        </w:tc>
        <w:tc>
          <w:tcPr>
            <w:tcW w:w="120" w:type="dxa"/>
            <w:vAlign w:val="bottom"/>
          </w:tcPr>
          <w:p>
            <w:pPr>
              <w:spacing w:after="0"/>
              <w:rPr>
                <w:sz w:val="12"/>
                <w:szCs w:val="12"/>
                <w:color w:val="auto"/>
              </w:rPr>
            </w:pPr>
          </w:p>
        </w:tc>
        <w:tc>
          <w:tcPr>
            <w:tcW w:w="1040" w:type="dxa"/>
            <w:vAlign w:val="bottom"/>
            <w:gridSpan w:val="3"/>
          </w:tcPr>
          <w:p>
            <w:pPr>
              <w:jc w:val="center"/>
              <w:ind w:left="308"/>
              <w:spacing w:after="0" w:line="149" w:lineRule="exact"/>
              <w:rPr>
                <w:sz w:val="20"/>
                <w:szCs w:val="20"/>
                <w:color w:val="auto"/>
              </w:rPr>
            </w:pPr>
            <w:r>
              <w:rPr>
                <w:rFonts w:ascii="Times New Roman" w:cs="Times New Roman" w:eastAsia="Times New Roman" w:hAnsi="Times New Roman"/>
                <w:sz w:val="14"/>
                <w:szCs w:val="14"/>
                <w:b w:val="1"/>
                <w:bCs w:val="1"/>
                <w:color w:val="auto"/>
              </w:rPr>
              <w:t>Issued and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780" w:type="dxa"/>
            <w:vAlign w:val="bottom"/>
          </w:tcPr>
          <w:p>
            <w:pPr>
              <w:spacing w:after="0"/>
              <w:rPr>
                <w:sz w:val="16"/>
                <w:szCs w:val="16"/>
                <w:color w:val="auto"/>
              </w:rPr>
            </w:pPr>
          </w:p>
        </w:tc>
        <w:tc>
          <w:tcPr>
            <w:tcW w:w="1100" w:type="dxa"/>
            <w:vAlign w:val="bottom"/>
            <w:tcBorders>
              <w:right w:val="single" w:sz="8" w:color="auto"/>
            </w:tcBorders>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120" w:type="dxa"/>
            <w:vAlign w:val="bottom"/>
          </w:tcPr>
          <w:p>
            <w:pPr>
              <w:spacing w:after="0"/>
              <w:rPr>
                <w:sz w:val="16"/>
                <w:szCs w:val="16"/>
                <w:color w:val="auto"/>
              </w:rPr>
            </w:pP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6"/>
                <w:szCs w:val="16"/>
                <w:color w:val="auto"/>
              </w:rPr>
            </w:pPr>
          </w:p>
        </w:tc>
        <w:tc>
          <w:tcPr>
            <w:tcW w:w="15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6"/>
                <w:szCs w:val="16"/>
                <w:color w:val="auto"/>
              </w:rPr>
            </w:pPr>
          </w:p>
        </w:tc>
        <w:tc>
          <w:tcPr>
            <w:tcW w:w="10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6"/>
                <w:szCs w:val="16"/>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2"/>
        </w:trPr>
        <w:tc>
          <w:tcPr>
            <w:tcW w:w="2780" w:type="dxa"/>
            <w:vAlign w:val="bottom"/>
          </w:tcPr>
          <w:p>
            <w:pPr>
              <w:spacing w:after="0"/>
              <w:rPr>
                <w:sz w:val="14"/>
                <w:szCs w:val="14"/>
                <w:color w:val="auto"/>
              </w:rPr>
            </w:pPr>
          </w:p>
        </w:tc>
        <w:tc>
          <w:tcPr>
            <w:tcW w:w="1100" w:type="dxa"/>
            <w:vAlign w:val="bottom"/>
            <w:tcBorders>
              <w:right w:val="single" w:sz="8" w:color="auto"/>
            </w:tcBorders>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780" w:type="dxa"/>
            <w:vAlign w:val="bottom"/>
          </w:tcPr>
          <w:p>
            <w:pPr>
              <w:spacing w:after="0"/>
              <w:rPr>
                <w:sz w:val="11"/>
                <w:szCs w:val="11"/>
                <w:color w:val="auto"/>
              </w:rPr>
            </w:pPr>
          </w:p>
        </w:tc>
        <w:tc>
          <w:tcPr>
            <w:tcW w:w="1100" w:type="dxa"/>
            <w:vAlign w:val="bottom"/>
            <w:tcBorders>
              <w:right w:val="single" w:sz="8" w:color="auto"/>
            </w:tcBorders>
            <w:gridSpan w:val="2"/>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1"/>
                <w:szCs w:val="11"/>
                <w:color w:val="auto"/>
              </w:rPr>
            </w:pPr>
          </w:p>
        </w:tc>
        <w:tc>
          <w:tcPr>
            <w:tcW w:w="6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1"/>
                <w:szCs w:val="11"/>
                <w:color w:val="auto"/>
              </w:rPr>
            </w:pPr>
          </w:p>
        </w:tc>
        <w:tc>
          <w:tcPr>
            <w:tcW w:w="6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Par</w:t>
            </w:r>
          </w:p>
        </w:tc>
        <w:tc>
          <w:tcPr>
            <w:tcW w:w="120" w:type="dxa"/>
            <w:vAlign w:val="bottom"/>
          </w:tcPr>
          <w:p>
            <w:pPr>
              <w:spacing w:after="0"/>
              <w:rPr>
                <w:sz w:val="11"/>
                <w:szCs w:val="11"/>
                <w:color w:val="auto"/>
              </w:rPr>
            </w:pPr>
          </w:p>
        </w:tc>
        <w:tc>
          <w:tcPr>
            <w:tcW w:w="10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5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Par</w:t>
            </w:r>
          </w:p>
        </w:tc>
        <w:tc>
          <w:tcPr>
            <w:tcW w:w="120" w:type="dxa"/>
            <w:vAlign w:val="bottom"/>
          </w:tcPr>
          <w:p>
            <w:pPr>
              <w:spacing w:after="0"/>
              <w:rPr>
                <w:sz w:val="11"/>
                <w:szCs w:val="11"/>
                <w:color w:val="auto"/>
              </w:rPr>
            </w:pPr>
          </w:p>
        </w:tc>
        <w:tc>
          <w:tcPr>
            <w:tcW w:w="10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1"/>
                <w:szCs w:val="11"/>
                <w:color w:val="auto"/>
              </w:rPr>
            </w:pPr>
          </w:p>
        </w:tc>
        <w:tc>
          <w:tcPr>
            <w:tcW w:w="8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Accumulate</w:t>
            </w:r>
          </w:p>
        </w:tc>
        <w:tc>
          <w:tcPr>
            <w:tcW w:w="100" w:type="dxa"/>
            <w:vAlign w:val="bottom"/>
          </w:tcPr>
          <w:p>
            <w:pPr>
              <w:spacing w:after="0"/>
              <w:rPr>
                <w:sz w:val="11"/>
                <w:szCs w:val="11"/>
                <w:color w:val="auto"/>
              </w:rPr>
            </w:pPr>
          </w:p>
        </w:tc>
        <w:tc>
          <w:tcPr>
            <w:tcW w:w="9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Comprehensi</w:t>
            </w:r>
          </w:p>
        </w:tc>
        <w:tc>
          <w:tcPr>
            <w:tcW w:w="120" w:type="dxa"/>
            <w:vAlign w:val="bottom"/>
          </w:tcPr>
          <w:p>
            <w:pPr>
              <w:spacing w:after="0"/>
              <w:rPr>
                <w:sz w:val="11"/>
                <w:szCs w:val="11"/>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09"/>
        </w:trPr>
        <w:tc>
          <w:tcPr>
            <w:tcW w:w="2780" w:type="dxa"/>
            <w:vAlign w:val="bottom"/>
          </w:tcPr>
          <w:p>
            <w:pPr>
              <w:spacing w:after="0"/>
              <w:rPr>
                <w:sz w:val="9"/>
                <w:szCs w:val="9"/>
                <w:color w:val="auto"/>
              </w:rPr>
            </w:pPr>
          </w:p>
        </w:tc>
        <w:tc>
          <w:tcPr>
            <w:tcW w:w="1100" w:type="dxa"/>
            <w:vAlign w:val="bottom"/>
            <w:tcBorders>
              <w:right w:val="single" w:sz="8" w:color="auto"/>
            </w:tcBorders>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120" w:type="dxa"/>
            <w:vAlign w:val="bottom"/>
          </w:tcPr>
          <w:p>
            <w:pPr>
              <w:spacing w:after="0"/>
              <w:rPr>
                <w:sz w:val="9"/>
                <w:szCs w:val="9"/>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of</w:t>
            </w:r>
          </w:p>
        </w:tc>
        <w:tc>
          <w:tcPr>
            <w:tcW w:w="1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3"/>
            <w:vMerge w:val="continue"/>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w:t>
            </w:r>
          </w:p>
        </w:tc>
        <w:tc>
          <w:tcPr>
            <w:tcW w:w="100" w:type="dxa"/>
            <w:vAlign w:val="bottom"/>
          </w:tcPr>
          <w:p>
            <w:pPr>
              <w:spacing w:after="0"/>
              <w:rPr>
                <w:sz w:val="9"/>
                <w:szCs w:val="9"/>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ve</w:t>
            </w:r>
          </w:p>
        </w:tc>
        <w:tc>
          <w:tcPr>
            <w:tcW w:w="12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780" w:type="dxa"/>
            <w:vAlign w:val="bottom"/>
          </w:tcPr>
          <w:p>
            <w:pPr>
              <w:spacing w:after="0"/>
              <w:rPr>
                <w:sz w:val="5"/>
                <w:szCs w:val="5"/>
                <w:color w:val="auto"/>
              </w:rPr>
            </w:pPr>
          </w:p>
        </w:tc>
        <w:tc>
          <w:tcPr>
            <w:tcW w:w="1100" w:type="dxa"/>
            <w:vAlign w:val="bottom"/>
            <w:tcBorders>
              <w:right w:val="single" w:sz="8" w:color="auto"/>
            </w:tcBorders>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780" w:type="dxa"/>
            <w:vAlign w:val="bottom"/>
          </w:tcPr>
          <w:p>
            <w:pPr>
              <w:spacing w:after="0"/>
              <w:rPr>
                <w:sz w:val="16"/>
                <w:szCs w:val="16"/>
                <w:color w:val="auto"/>
              </w:rPr>
            </w:pPr>
          </w:p>
        </w:tc>
        <w:tc>
          <w:tcPr>
            <w:tcW w:w="1100" w:type="dxa"/>
            <w:vAlign w:val="bottom"/>
            <w:tcBorders>
              <w:right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6"/>
                <w:szCs w:val="16"/>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20" w:type="dxa"/>
            <w:vAlign w:val="bottom"/>
          </w:tcPr>
          <w:p>
            <w:pPr>
              <w:spacing w:after="0"/>
              <w:rPr>
                <w:sz w:val="16"/>
                <w:szCs w:val="16"/>
                <w:color w:val="auto"/>
              </w:rPr>
            </w:pPr>
          </w:p>
        </w:tc>
        <w:tc>
          <w:tcPr>
            <w:tcW w:w="100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72"/>
        </w:trPr>
        <w:tc>
          <w:tcPr>
            <w:tcW w:w="2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BALANCE—December 31, 2020</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14,179</w:t>
            </w:r>
          </w:p>
        </w:tc>
        <w:tc>
          <w:tcPr>
            <w:tcW w:w="140" w:type="dxa"/>
            <w:vAlign w:val="bottom"/>
            <w:tcBorders>
              <w:right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504,274,890</w:t>
            </w: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$1,501,206</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$(129,370)</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$1,371,615</w:t>
            </w:r>
          </w:p>
        </w:tc>
        <w:tc>
          <w:tcPr>
            <w:tcW w:w="0" w:type="dxa"/>
            <w:vAlign w:val="bottom"/>
          </w:tcPr>
          <w:p>
            <w:pPr>
              <w:spacing w:after="0"/>
              <w:rPr>
                <w:sz w:val="1"/>
                <w:szCs w:val="1"/>
                <w:color w:val="auto"/>
              </w:rPr>
            </w:pPr>
          </w:p>
        </w:tc>
      </w:tr>
      <w:tr>
        <w:trPr>
          <w:trHeight w:val="176"/>
        </w:trPr>
        <w:tc>
          <w:tcPr>
            <w:tcW w:w="2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Issuance of common stock</w:t>
            </w:r>
          </w:p>
        </w:tc>
        <w:tc>
          <w:tcPr>
            <w:tcW w:w="110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80" w:type="dxa"/>
            <w:vAlign w:val="bottom"/>
          </w:tcPr>
          <w:p>
            <w:pPr>
              <w:ind w:left="5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110,679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1,007</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1,007</w:t>
            </w:r>
          </w:p>
        </w:tc>
        <w:tc>
          <w:tcPr>
            <w:tcW w:w="0" w:type="dxa"/>
            <w:vAlign w:val="bottom"/>
          </w:tcPr>
          <w:p>
            <w:pPr>
              <w:spacing w:after="0"/>
              <w:rPr>
                <w:sz w:val="1"/>
                <w:szCs w:val="1"/>
                <w:color w:val="auto"/>
              </w:rPr>
            </w:pPr>
          </w:p>
        </w:tc>
      </w:tr>
      <w:tr>
        <w:trPr>
          <w:trHeight w:val="175"/>
        </w:trPr>
        <w:tc>
          <w:tcPr>
            <w:tcW w:w="2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00" w:type="dxa"/>
            <w:vAlign w:val="bottom"/>
            <w:tcBorders>
              <w:right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883,729</w:t>
            </w: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254,965</w:t>
            </w: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254,965</w:t>
            </w:r>
          </w:p>
        </w:tc>
        <w:tc>
          <w:tcPr>
            <w:tcW w:w="0" w:type="dxa"/>
            <w:vAlign w:val="bottom"/>
          </w:tcPr>
          <w:p>
            <w:pPr>
              <w:spacing w:after="0"/>
              <w:rPr>
                <w:sz w:val="1"/>
                <w:szCs w:val="1"/>
                <w:color w:val="auto"/>
              </w:rPr>
            </w:pPr>
          </w:p>
        </w:tc>
      </w:tr>
      <w:tr>
        <w:trPr>
          <w:trHeight w:val="139"/>
        </w:trPr>
        <w:tc>
          <w:tcPr>
            <w:tcW w:w="2780" w:type="dxa"/>
            <w:vAlign w:val="bottom"/>
          </w:tcPr>
          <w:p>
            <w:pPr>
              <w:ind w:left="280"/>
              <w:spacing w:after="0" w:line="139" w:lineRule="exact"/>
              <w:rPr>
                <w:sz w:val="20"/>
                <w:szCs w:val="20"/>
                <w:color w:val="auto"/>
              </w:rPr>
            </w:pPr>
            <w:r>
              <w:rPr>
                <w:rFonts w:ascii="Times New Roman" w:cs="Times New Roman" w:eastAsia="Times New Roman" w:hAnsi="Times New Roman"/>
                <w:sz w:val="14"/>
                <w:szCs w:val="14"/>
                <w:color w:val="auto"/>
              </w:rPr>
              <w:t>Net equity infusion from the Business</w:t>
            </w:r>
          </w:p>
        </w:tc>
        <w:tc>
          <w:tcPr>
            <w:tcW w:w="1100" w:type="dxa"/>
            <w:vAlign w:val="bottom"/>
            <w:tcBorders>
              <w:right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8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97,740,002</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2"/>
                <w:szCs w:val="12"/>
                <w:color w:val="auto"/>
              </w:rPr>
            </w:pP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704,831</w:t>
            </w: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704,841</w:t>
            </w:r>
          </w:p>
        </w:tc>
        <w:tc>
          <w:tcPr>
            <w:tcW w:w="0" w:type="dxa"/>
            <w:vAlign w:val="bottom"/>
          </w:tcPr>
          <w:p>
            <w:pPr>
              <w:spacing w:after="0"/>
              <w:rPr>
                <w:sz w:val="1"/>
                <w:szCs w:val="1"/>
                <w:color w:val="auto"/>
              </w:rPr>
            </w:pPr>
          </w:p>
        </w:tc>
      </w:tr>
      <w:tr>
        <w:trPr>
          <w:trHeight w:val="185"/>
        </w:trPr>
        <w:tc>
          <w:tcPr>
            <w:tcW w:w="2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Combination</w:t>
            </w:r>
          </w:p>
        </w:tc>
        <w:tc>
          <w:tcPr>
            <w:tcW w:w="1100" w:type="dxa"/>
            <w:vAlign w:val="bottom"/>
            <w:tcBorders>
              <w:right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Exercise of stock options—net of tax</w:t>
            </w:r>
          </w:p>
        </w:tc>
        <w:tc>
          <w:tcPr>
            <w:tcW w:w="1100" w:type="dxa"/>
            <w:vAlign w:val="bottom"/>
            <w:tcBorders>
              <w:right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1,922,019</w:t>
            </w: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5,180</w:t>
            </w: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5,180</w:t>
            </w:r>
          </w:p>
        </w:tc>
        <w:tc>
          <w:tcPr>
            <w:tcW w:w="0" w:type="dxa"/>
            <w:vAlign w:val="bottom"/>
          </w:tcPr>
          <w:p>
            <w:pPr>
              <w:spacing w:after="0"/>
              <w:rPr>
                <w:sz w:val="1"/>
                <w:szCs w:val="1"/>
                <w:color w:val="auto"/>
              </w:rPr>
            </w:pPr>
          </w:p>
        </w:tc>
      </w:tr>
      <w:tr>
        <w:trPr>
          <w:trHeight w:val="175"/>
        </w:trPr>
        <w:tc>
          <w:tcPr>
            <w:tcW w:w="2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Exercise of warrants — Net</w:t>
            </w:r>
          </w:p>
        </w:tc>
        <w:tc>
          <w:tcPr>
            <w:tcW w:w="110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80" w:type="dxa"/>
            <w:vAlign w:val="bottom"/>
          </w:tcPr>
          <w:p>
            <w:pPr>
              <w:ind w:left="5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4,836,977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60,461</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60,462</w:t>
            </w:r>
          </w:p>
        </w:tc>
        <w:tc>
          <w:tcPr>
            <w:tcW w:w="0" w:type="dxa"/>
            <w:vAlign w:val="bottom"/>
          </w:tcPr>
          <w:p>
            <w:pPr>
              <w:spacing w:after="0"/>
              <w:rPr>
                <w:sz w:val="1"/>
                <w:szCs w:val="1"/>
                <w:color w:val="auto"/>
              </w:rPr>
            </w:pPr>
          </w:p>
        </w:tc>
      </w:tr>
      <w:tr>
        <w:trPr>
          <w:trHeight w:val="176"/>
        </w:trPr>
        <w:tc>
          <w:tcPr>
            <w:tcW w:w="2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Dividends to CCCIS stockholders</w:t>
            </w:r>
          </w:p>
        </w:tc>
        <w:tc>
          <w:tcPr>
            <w:tcW w:w="1100" w:type="dxa"/>
            <w:vAlign w:val="bottom"/>
            <w:tcBorders>
              <w:right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(269,178)</w:t>
            </w: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(269,178)</w:t>
            </w:r>
          </w:p>
        </w:tc>
        <w:tc>
          <w:tcPr>
            <w:tcW w:w="0" w:type="dxa"/>
            <w:vAlign w:val="bottom"/>
          </w:tcPr>
          <w:p>
            <w:pPr>
              <w:spacing w:after="0"/>
              <w:rPr>
                <w:sz w:val="1"/>
                <w:szCs w:val="1"/>
                <w:color w:val="auto"/>
              </w:rPr>
            </w:pPr>
          </w:p>
        </w:tc>
      </w:tr>
      <w:tr>
        <w:trPr>
          <w:trHeight w:val="139"/>
        </w:trPr>
        <w:tc>
          <w:tcPr>
            <w:tcW w:w="2780" w:type="dxa"/>
            <w:vAlign w:val="bottom"/>
          </w:tcPr>
          <w:p>
            <w:pPr>
              <w:ind w:left="280"/>
              <w:spacing w:after="0" w:line="139" w:lineRule="exact"/>
              <w:rPr>
                <w:sz w:val="20"/>
                <w:szCs w:val="20"/>
                <w:color w:val="auto"/>
              </w:rPr>
            </w:pPr>
            <w:r>
              <w:rPr>
                <w:rFonts w:ascii="Times New Roman" w:cs="Times New Roman" w:eastAsia="Times New Roman" w:hAnsi="Times New Roman"/>
                <w:sz w:val="14"/>
                <w:szCs w:val="14"/>
                <w:color w:val="auto"/>
              </w:rPr>
              <w:t>Deemed distribution to CCCIS option</w:t>
            </w:r>
          </w:p>
        </w:tc>
        <w:tc>
          <w:tcPr>
            <w:tcW w:w="1100" w:type="dxa"/>
            <w:vAlign w:val="bottom"/>
            <w:tcBorders>
              <w:right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8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(9,006)</w:t>
            </w: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(9,006)</w:t>
            </w:r>
          </w:p>
        </w:tc>
        <w:tc>
          <w:tcPr>
            <w:tcW w:w="0" w:type="dxa"/>
            <w:vAlign w:val="bottom"/>
          </w:tcPr>
          <w:p>
            <w:pPr>
              <w:spacing w:after="0"/>
              <w:rPr>
                <w:sz w:val="1"/>
                <w:szCs w:val="1"/>
                <w:color w:val="auto"/>
              </w:rPr>
            </w:pPr>
          </w:p>
        </w:tc>
      </w:tr>
      <w:tr>
        <w:trPr>
          <w:trHeight w:val="185"/>
        </w:trPr>
        <w:tc>
          <w:tcPr>
            <w:tcW w:w="2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holders</w:t>
            </w:r>
          </w:p>
        </w:tc>
        <w:tc>
          <w:tcPr>
            <w:tcW w:w="1100" w:type="dxa"/>
            <w:vAlign w:val="bottom"/>
            <w:tcBorders>
              <w:right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80" w:type="dxa"/>
            <w:vAlign w:val="bottom"/>
            <w:shd w:val="clear" w:color="auto" w:fill="CFF0FC"/>
          </w:tcPr>
          <w:p>
            <w:pPr>
              <w:ind w:left="280"/>
              <w:spacing w:after="0" w:line="139" w:lineRule="exact"/>
              <w:rPr>
                <w:sz w:val="20"/>
                <w:szCs w:val="20"/>
                <w:color w:val="auto"/>
              </w:rPr>
            </w:pPr>
            <w:r>
              <w:rPr>
                <w:rFonts w:ascii="Times New Roman" w:cs="Times New Roman" w:eastAsia="Times New Roman" w:hAnsi="Times New Roman"/>
                <w:sz w:val="14"/>
                <w:szCs w:val="14"/>
                <w:color w:val="auto"/>
              </w:rPr>
              <w:t>Company Vesting Shares granted to</w:t>
            </w:r>
          </w:p>
        </w:tc>
        <w:tc>
          <w:tcPr>
            <w:tcW w:w="1100" w:type="dxa"/>
            <w:vAlign w:val="bottom"/>
            <w:tcBorders>
              <w:right w:val="single" w:sz="8" w:color="auto"/>
            </w:tcBorders>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ind w:left="5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40" w:type="dxa"/>
            <w:vAlign w:val="bottom"/>
            <w:gridSpan w:val="3"/>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98,885</w:t>
            </w:r>
          </w:p>
        </w:tc>
        <w:tc>
          <w:tcPr>
            <w:tcW w:w="9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(98,885)</w:t>
            </w:r>
          </w:p>
        </w:tc>
        <w:tc>
          <w:tcPr>
            <w:tcW w:w="1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2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CCCIS stockholders</w:t>
            </w:r>
          </w:p>
        </w:tc>
        <w:tc>
          <w:tcPr>
            <w:tcW w:w="1100" w:type="dxa"/>
            <w:vAlign w:val="bottom"/>
            <w:tcBorders>
              <w:right w:val="single" w:sz="8" w:color="auto"/>
            </w:tcBorders>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gridSpan w:val="3"/>
            <w:vMerge w:val="continue"/>
            <w:shd w:val="clear" w:color="auto" w:fill="CFF0FC"/>
          </w:tcPr>
          <w:p>
            <w:pPr>
              <w:spacing w:after="0"/>
              <w:rPr>
                <w:sz w:val="16"/>
                <w:szCs w:val="16"/>
                <w:color w:val="auto"/>
              </w:rPr>
            </w:pPr>
          </w:p>
        </w:tc>
        <w:tc>
          <w:tcPr>
            <w:tcW w:w="500" w:type="dxa"/>
            <w:vAlign w:val="bottom"/>
            <w:gridSpan w:val="2"/>
            <w:vMerge w:val="continue"/>
            <w:shd w:val="clear" w:color="auto" w:fill="CFF0FC"/>
          </w:tcPr>
          <w:p>
            <w:pPr>
              <w:spacing w:after="0"/>
              <w:rPr>
                <w:sz w:val="16"/>
                <w:szCs w:val="16"/>
                <w:color w:val="auto"/>
              </w:rPr>
            </w:pPr>
          </w:p>
        </w:tc>
        <w:tc>
          <w:tcPr>
            <w:tcW w:w="1120" w:type="dxa"/>
            <w:vAlign w:val="bottom"/>
            <w:gridSpan w:val="2"/>
            <w:vMerge w:val="continue"/>
            <w:shd w:val="clear" w:color="auto" w:fill="CFF0FC"/>
          </w:tcPr>
          <w:p>
            <w:pPr>
              <w:spacing w:after="0"/>
              <w:rPr>
                <w:sz w:val="16"/>
                <w:szCs w:val="16"/>
                <w:color w:val="auto"/>
              </w:rPr>
            </w:pPr>
          </w:p>
        </w:tc>
        <w:tc>
          <w:tcPr>
            <w:tcW w:w="90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8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80" w:type="dxa"/>
            <w:vAlign w:val="bottom"/>
          </w:tcPr>
          <w:p>
            <w:pPr>
              <w:ind w:left="280"/>
              <w:spacing w:after="0" w:line="139" w:lineRule="exact"/>
              <w:rPr>
                <w:sz w:val="20"/>
                <w:szCs w:val="20"/>
                <w:color w:val="auto"/>
              </w:rPr>
            </w:pPr>
            <w:r>
              <w:rPr>
                <w:rFonts w:ascii="Times New Roman" w:cs="Times New Roman" w:eastAsia="Times New Roman" w:hAnsi="Times New Roman"/>
                <w:sz w:val="14"/>
                <w:szCs w:val="14"/>
                <w:color w:val="auto"/>
              </w:rPr>
              <w:t>Tax effect of Business Combination</w:t>
            </w:r>
          </w:p>
        </w:tc>
        <w:tc>
          <w:tcPr>
            <w:tcW w:w="1100" w:type="dxa"/>
            <w:vAlign w:val="bottom"/>
            <w:tcBorders>
              <w:right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8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1,395</w:t>
            </w: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1,395</w:t>
            </w:r>
          </w:p>
        </w:tc>
        <w:tc>
          <w:tcPr>
            <w:tcW w:w="0" w:type="dxa"/>
            <w:vAlign w:val="bottom"/>
          </w:tcPr>
          <w:p>
            <w:pPr>
              <w:spacing w:after="0"/>
              <w:rPr>
                <w:sz w:val="1"/>
                <w:szCs w:val="1"/>
                <w:color w:val="auto"/>
              </w:rPr>
            </w:pPr>
          </w:p>
        </w:tc>
      </w:tr>
      <w:tr>
        <w:trPr>
          <w:trHeight w:val="185"/>
        </w:trPr>
        <w:tc>
          <w:tcPr>
            <w:tcW w:w="2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transaction costs</w:t>
            </w:r>
          </w:p>
        </w:tc>
        <w:tc>
          <w:tcPr>
            <w:tcW w:w="1100" w:type="dxa"/>
            <w:vAlign w:val="bottom"/>
            <w:tcBorders>
              <w:right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100" w:type="dxa"/>
            <w:vAlign w:val="bottom"/>
            <w:tcBorders>
              <w:right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75"/>
        </w:trPr>
        <w:tc>
          <w:tcPr>
            <w:tcW w:w="2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loss</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spacing w:after="0"/>
              <w:rPr>
                <w:sz w:val="15"/>
                <w:szCs w:val="15"/>
                <w:color w:val="auto"/>
              </w:rPr>
            </w:pPr>
          </w:p>
        </w:tc>
        <w:tc>
          <w:tcPr>
            <w:tcW w:w="6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(248,919)</w:t>
            </w:r>
          </w:p>
        </w:tc>
        <w:tc>
          <w:tcPr>
            <w:tcW w:w="10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(248,919)</w:t>
            </w:r>
          </w:p>
        </w:tc>
        <w:tc>
          <w:tcPr>
            <w:tcW w:w="0" w:type="dxa"/>
            <w:vAlign w:val="bottom"/>
          </w:tcPr>
          <w:p>
            <w:pPr>
              <w:spacing w:after="0"/>
              <w:rPr>
                <w:sz w:val="1"/>
                <w:szCs w:val="1"/>
                <w:color w:val="auto"/>
              </w:rPr>
            </w:pPr>
          </w:p>
        </w:tc>
      </w:tr>
      <w:tr>
        <w:trPr>
          <w:trHeight w:val="169"/>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BALANCE—December 31, 2021</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14,179</w:t>
            </w:r>
          </w:p>
        </w:tc>
        <w:tc>
          <w:tcPr>
            <w:tcW w:w="14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609,768,296</w:t>
            </w: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2,618,924</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(746,352)</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1,872,318</w:t>
            </w:r>
          </w:p>
        </w:tc>
        <w:tc>
          <w:tcPr>
            <w:tcW w:w="0" w:type="dxa"/>
            <w:vAlign w:val="bottom"/>
          </w:tcPr>
          <w:p>
            <w:pPr>
              <w:spacing w:after="0"/>
              <w:rPr>
                <w:sz w:val="1"/>
                <w:szCs w:val="1"/>
                <w:color w:val="auto"/>
              </w:rPr>
            </w:pPr>
          </w:p>
        </w:tc>
      </w:tr>
      <w:tr>
        <w:trPr>
          <w:trHeight w:val="176"/>
        </w:trPr>
        <w:tc>
          <w:tcPr>
            <w:tcW w:w="2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0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80" w:type="dxa"/>
            <w:vAlign w:val="bottom"/>
          </w:tcPr>
          <w:p>
            <w:pPr>
              <w:ind w:left="5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109,387</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109,387</w:t>
            </w:r>
          </w:p>
        </w:tc>
        <w:tc>
          <w:tcPr>
            <w:tcW w:w="0" w:type="dxa"/>
            <w:vAlign w:val="bottom"/>
          </w:tcPr>
          <w:p>
            <w:pPr>
              <w:spacing w:after="0"/>
              <w:rPr>
                <w:sz w:val="1"/>
                <w:szCs w:val="1"/>
                <w:color w:val="auto"/>
              </w:rPr>
            </w:pPr>
          </w:p>
        </w:tc>
      </w:tr>
      <w:tr>
        <w:trPr>
          <w:trHeight w:val="175"/>
        </w:trPr>
        <w:tc>
          <w:tcPr>
            <w:tcW w:w="2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Exercise of stock options—net of tax</w:t>
            </w:r>
          </w:p>
        </w:tc>
        <w:tc>
          <w:tcPr>
            <w:tcW w:w="1100" w:type="dxa"/>
            <w:vAlign w:val="bottom"/>
            <w:tcBorders>
              <w:right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10,074,354</w:t>
            </w: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27,562</w:t>
            </w: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27,563</w:t>
            </w:r>
          </w:p>
        </w:tc>
        <w:tc>
          <w:tcPr>
            <w:tcW w:w="0" w:type="dxa"/>
            <w:vAlign w:val="bottom"/>
          </w:tcPr>
          <w:p>
            <w:pPr>
              <w:spacing w:after="0"/>
              <w:rPr>
                <w:sz w:val="1"/>
                <w:szCs w:val="1"/>
                <w:color w:val="auto"/>
              </w:rPr>
            </w:pPr>
          </w:p>
        </w:tc>
      </w:tr>
      <w:tr>
        <w:trPr>
          <w:trHeight w:val="175"/>
        </w:trPr>
        <w:tc>
          <w:tcPr>
            <w:tcW w:w="2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Exercise of warrants—Net</w:t>
            </w:r>
          </w:p>
        </w:tc>
        <w:tc>
          <w:tcPr>
            <w:tcW w:w="110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80" w:type="dxa"/>
            <w:vAlign w:val="bottom"/>
          </w:tcPr>
          <w:p>
            <w:pPr>
              <w:ind w:left="5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1,246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2780" w:type="dxa"/>
            <w:vAlign w:val="bottom"/>
            <w:shd w:val="clear" w:color="auto" w:fill="CFF0FC"/>
          </w:tcPr>
          <w:p>
            <w:pPr>
              <w:ind w:left="280"/>
              <w:spacing w:after="0" w:line="139" w:lineRule="exact"/>
              <w:rPr>
                <w:sz w:val="20"/>
                <w:szCs w:val="20"/>
                <w:color w:val="auto"/>
              </w:rPr>
            </w:pPr>
            <w:r>
              <w:rPr>
                <w:rFonts w:ascii="Times New Roman" w:cs="Times New Roman" w:eastAsia="Times New Roman" w:hAnsi="Times New Roman"/>
                <w:sz w:val="14"/>
                <w:szCs w:val="14"/>
                <w:color w:val="auto"/>
              </w:rPr>
              <w:t>Issuance of common stock upon</w:t>
            </w:r>
          </w:p>
        </w:tc>
        <w:tc>
          <w:tcPr>
            <w:tcW w:w="1100" w:type="dxa"/>
            <w:vAlign w:val="bottom"/>
            <w:tcBorders>
              <w:right w:val="single" w:sz="8" w:color="auto"/>
            </w:tcBorders>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ind w:left="5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408,879</w:t>
            </w: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5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3,197</w:t>
            </w:r>
          </w:p>
        </w:tc>
        <w:tc>
          <w:tcPr>
            <w:tcW w:w="100" w:type="dxa"/>
            <w:vAlign w:val="bottom"/>
            <w:shd w:val="clear" w:color="auto" w:fill="CFF0FC"/>
          </w:tcPr>
          <w:p>
            <w:pPr>
              <w:spacing w:after="0"/>
              <w:rPr>
                <w:sz w:val="12"/>
                <w:szCs w:val="12"/>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3,197</w:t>
            </w:r>
          </w:p>
        </w:tc>
        <w:tc>
          <w:tcPr>
            <w:tcW w:w="0" w:type="dxa"/>
            <w:vAlign w:val="bottom"/>
          </w:tcPr>
          <w:p>
            <w:pPr>
              <w:spacing w:after="0"/>
              <w:rPr>
                <w:sz w:val="1"/>
                <w:szCs w:val="1"/>
                <w:color w:val="auto"/>
              </w:rPr>
            </w:pPr>
          </w:p>
        </w:tc>
      </w:tr>
      <w:tr>
        <w:trPr>
          <w:trHeight w:val="185"/>
        </w:trPr>
        <w:tc>
          <w:tcPr>
            <w:tcW w:w="27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vesting of RSUs—net of tax</w:t>
            </w:r>
          </w:p>
        </w:tc>
        <w:tc>
          <w:tcPr>
            <w:tcW w:w="1100" w:type="dxa"/>
            <w:vAlign w:val="bottom"/>
            <w:tcBorders>
              <w:right w:val="single" w:sz="8" w:color="auto"/>
            </w:tcBorders>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10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500" w:type="dxa"/>
            <w:vAlign w:val="bottom"/>
            <w:gridSpan w:val="2"/>
            <w:vMerge w:val="continue"/>
            <w:shd w:val="clear" w:color="auto" w:fill="CFF0FC"/>
          </w:tcPr>
          <w:p>
            <w:pPr>
              <w:spacing w:after="0"/>
              <w:rPr>
                <w:sz w:val="16"/>
                <w:szCs w:val="16"/>
                <w:color w:val="auto"/>
              </w:rPr>
            </w:pPr>
          </w:p>
        </w:tc>
        <w:tc>
          <w:tcPr>
            <w:tcW w:w="112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vMerge w:val="continue"/>
            <w:shd w:val="clear" w:color="auto" w:fill="CFF0FC"/>
          </w:tcPr>
          <w:p>
            <w:pPr>
              <w:spacing w:after="0"/>
              <w:rPr>
                <w:sz w:val="16"/>
                <w:szCs w:val="16"/>
                <w:color w:val="auto"/>
              </w:rPr>
            </w:pPr>
          </w:p>
        </w:tc>
        <w:tc>
          <w:tcPr>
            <w:tcW w:w="110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80" w:type="dxa"/>
            <w:vAlign w:val="bottom"/>
          </w:tcPr>
          <w:p>
            <w:pPr>
              <w:ind w:left="280"/>
              <w:spacing w:after="0" w:line="139" w:lineRule="exact"/>
              <w:rPr>
                <w:sz w:val="20"/>
                <w:szCs w:val="20"/>
                <w:color w:val="auto"/>
              </w:rPr>
            </w:pPr>
            <w:r>
              <w:rPr>
                <w:rFonts w:ascii="Times New Roman" w:cs="Times New Roman" w:eastAsia="Times New Roman" w:hAnsi="Times New Roman"/>
                <w:sz w:val="14"/>
                <w:szCs w:val="14"/>
                <w:color w:val="auto"/>
              </w:rPr>
              <w:t>Issuance of common stock upon</w:t>
            </w:r>
          </w:p>
        </w:tc>
        <w:tc>
          <w:tcPr>
            <w:tcW w:w="1100" w:type="dxa"/>
            <w:vAlign w:val="bottom"/>
            <w:tcBorders>
              <w:right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8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1,820,130</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(5,015)</w:t>
            </w: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(5,015)</w:t>
            </w:r>
          </w:p>
        </w:tc>
        <w:tc>
          <w:tcPr>
            <w:tcW w:w="0" w:type="dxa"/>
            <w:vAlign w:val="bottom"/>
          </w:tcPr>
          <w:p>
            <w:pPr>
              <w:spacing w:after="0"/>
              <w:rPr>
                <w:sz w:val="1"/>
                <w:szCs w:val="1"/>
                <w:color w:val="auto"/>
              </w:rPr>
            </w:pPr>
          </w:p>
        </w:tc>
      </w:tr>
      <w:tr>
        <w:trPr>
          <w:trHeight w:val="185"/>
        </w:trPr>
        <w:tc>
          <w:tcPr>
            <w:tcW w:w="27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vesting of RSUs—net of tax</w:t>
            </w:r>
          </w:p>
        </w:tc>
        <w:tc>
          <w:tcPr>
            <w:tcW w:w="1100" w:type="dxa"/>
            <w:vAlign w:val="bottom"/>
            <w:tcBorders>
              <w:right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100" w:type="dxa"/>
            <w:vAlign w:val="bottom"/>
            <w:tcBorders>
              <w:right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0" w:type="dxa"/>
            <w:vAlign w:val="bottom"/>
          </w:tcPr>
          <w:p>
            <w:pPr>
              <w:spacing w:after="0"/>
              <w:rPr>
                <w:sz w:val="1"/>
                <w:szCs w:val="1"/>
                <w:color w:val="auto"/>
              </w:rPr>
            </w:pPr>
          </w:p>
        </w:tc>
      </w:tr>
      <w:tr>
        <w:trPr>
          <w:trHeight w:val="175"/>
        </w:trPr>
        <w:tc>
          <w:tcPr>
            <w:tcW w:w="2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income</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spacing w:after="0"/>
              <w:rPr>
                <w:sz w:val="15"/>
                <w:szCs w:val="15"/>
                <w:color w:val="auto"/>
              </w:rPr>
            </w:pPr>
          </w:p>
        </w:tc>
        <w:tc>
          <w:tcPr>
            <w:tcW w:w="6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38,406</w:t>
            </w:r>
          </w:p>
        </w:tc>
        <w:tc>
          <w:tcPr>
            <w:tcW w:w="10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38,406</w:t>
            </w:r>
          </w:p>
        </w:tc>
        <w:tc>
          <w:tcPr>
            <w:tcW w:w="0" w:type="dxa"/>
            <w:vAlign w:val="bottom"/>
          </w:tcPr>
          <w:p>
            <w:pPr>
              <w:spacing w:after="0"/>
              <w:rPr>
                <w:sz w:val="1"/>
                <w:szCs w:val="1"/>
                <w:color w:val="auto"/>
              </w:rPr>
            </w:pPr>
          </w:p>
        </w:tc>
      </w:tr>
      <w:tr>
        <w:trPr>
          <w:trHeight w:val="169"/>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BALANCE—December 31, 2022</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14,179</w:t>
            </w:r>
          </w:p>
        </w:tc>
        <w:tc>
          <w:tcPr>
            <w:tcW w:w="14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622,072,905</w:t>
            </w: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2,754,055</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(707,946)</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(884)</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2,045,287</w:t>
            </w:r>
          </w:p>
        </w:tc>
        <w:tc>
          <w:tcPr>
            <w:tcW w:w="0" w:type="dxa"/>
            <w:vAlign w:val="bottom"/>
          </w:tcPr>
          <w:p>
            <w:pPr>
              <w:spacing w:after="0"/>
              <w:rPr>
                <w:sz w:val="1"/>
                <w:szCs w:val="1"/>
                <w:color w:val="auto"/>
              </w:rPr>
            </w:pPr>
          </w:p>
        </w:tc>
      </w:tr>
      <w:tr>
        <w:trPr>
          <w:trHeight w:val="175"/>
        </w:trPr>
        <w:tc>
          <w:tcPr>
            <w:tcW w:w="2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0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80" w:type="dxa"/>
            <w:vAlign w:val="bottom"/>
          </w:tcPr>
          <w:p>
            <w:pPr>
              <w:ind w:left="5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144,628</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144,628</w:t>
            </w:r>
          </w:p>
        </w:tc>
        <w:tc>
          <w:tcPr>
            <w:tcW w:w="0" w:type="dxa"/>
            <w:vAlign w:val="bottom"/>
          </w:tcPr>
          <w:p>
            <w:pPr>
              <w:spacing w:after="0"/>
              <w:rPr>
                <w:sz w:val="1"/>
                <w:szCs w:val="1"/>
                <w:color w:val="auto"/>
              </w:rPr>
            </w:pPr>
          </w:p>
        </w:tc>
      </w:tr>
      <w:tr>
        <w:trPr>
          <w:trHeight w:val="175"/>
        </w:trPr>
        <w:tc>
          <w:tcPr>
            <w:tcW w:w="2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Exercise of stock options—net of tax</w:t>
            </w:r>
          </w:p>
        </w:tc>
        <w:tc>
          <w:tcPr>
            <w:tcW w:w="1100" w:type="dxa"/>
            <w:vAlign w:val="bottom"/>
            <w:tcBorders>
              <w:right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8,923,718</w:t>
            </w: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25,433</w:t>
            </w: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25,434</w:t>
            </w:r>
          </w:p>
        </w:tc>
        <w:tc>
          <w:tcPr>
            <w:tcW w:w="0" w:type="dxa"/>
            <w:vAlign w:val="bottom"/>
          </w:tcPr>
          <w:p>
            <w:pPr>
              <w:spacing w:after="0"/>
              <w:rPr>
                <w:sz w:val="1"/>
                <w:szCs w:val="1"/>
                <w:color w:val="auto"/>
              </w:rPr>
            </w:pPr>
          </w:p>
        </w:tc>
      </w:tr>
      <w:tr>
        <w:trPr>
          <w:trHeight w:val="139"/>
        </w:trPr>
        <w:tc>
          <w:tcPr>
            <w:tcW w:w="2780" w:type="dxa"/>
            <w:vAlign w:val="bottom"/>
          </w:tcPr>
          <w:p>
            <w:pPr>
              <w:ind w:left="280"/>
              <w:spacing w:after="0" w:line="139" w:lineRule="exact"/>
              <w:rPr>
                <w:sz w:val="20"/>
                <w:szCs w:val="20"/>
                <w:color w:val="auto"/>
              </w:rPr>
            </w:pPr>
            <w:r>
              <w:rPr>
                <w:rFonts w:ascii="Times New Roman" w:cs="Times New Roman" w:eastAsia="Times New Roman" w:hAnsi="Times New Roman"/>
                <w:sz w:val="14"/>
                <w:szCs w:val="14"/>
                <w:color w:val="auto"/>
              </w:rPr>
              <w:t>Issuance of common stock under</w:t>
            </w:r>
          </w:p>
        </w:tc>
        <w:tc>
          <w:tcPr>
            <w:tcW w:w="1100" w:type="dxa"/>
            <w:vAlign w:val="bottom"/>
            <w:tcBorders>
              <w:right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8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641,691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4,761</w:t>
            </w: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4,761</w:t>
            </w:r>
          </w:p>
        </w:tc>
        <w:tc>
          <w:tcPr>
            <w:tcW w:w="0" w:type="dxa"/>
            <w:vAlign w:val="bottom"/>
          </w:tcPr>
          <w:p>
            <w:pPr>
              <w:spacing w:after="0"/>
              <w:rPr>
                <w:sz w:val="1"/>
                <w:szCs w:val="1"/>
                <w:color w:val="auto"/>
              </w:rPr>
            </w:pPr>
          </w:p>
        </w:tc>
      </w:tr>
      <w:tr>
        <w:trPr>
          <w:trHeight w:val="185"/>
        </w:trPr>
        <w:tc>
          <w:tcPr>
            <w:tcW w:w="27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1100" w:type="dxa"/>
            <w:vAlign w:val="bottom"/>
            <w:tcBorders>
              <w:right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80" w:type="dxa"/>
            <w:vAlign w:val="bottom"/>
            <w:shd w:val="clear" w:color="auto" w:fill="CFF0FC"/>
          </w:tcPr>
          <w:p>
            <w:pPr>
              <w:ind w:left="280"/>
              <w:spacing w:after="0" w:line="139" w:lineRule="exact"/>
              <w:rPr>
                <w:sz w:val="20"/>
                <w:szCs w:val="20"/>
                <w:color w:val="auto"/>
              </w:rPr>
            </w:pPr>
            <w:r>
              <w:rPr>
                <w:rFonts w:ascii="Times New Roman" w:cs="Times New Roman" w:eastAsia="Times New Roman" w:hAnsi="Times New Roman"/>
                <w:sz w:val="14"/>
                <w:szCs w:val="14"/>
                <w:color w:val="auto"/>
              </w:rPr>
              <w:t>Issuance of common stock upon</w:t>
            </w:r>
          </w:p>
        </w:tc>
        <w:tc>
          <w:tcPr>
            <w:tcW w:w="1100" w:type="dxa"/>
            <w:vAlign w:val="bottom"/>
            <w:tcBorders>
              <w:right w:val="single" w:sz="8" w:color="auto"/>
            </w:tcBorders>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ind w:left="5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3,990,467</w:t>
            </w: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5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(16,715)</w:t>
            </w:r>
          </w:p>
        </w:tc>
        <w:tc>
          <w:tcPr>
            <w:tcW w:w="100" w:type="dxa"/>
            <w:vAlign w:val="bottom"/>
            <w:shd w:val="clear" w:color="auto" w:fill="CFF0FC"/>
          </w:tcPr>
          <w:p>
            <w:pPr>
              <w:spacing w:after="0"/>
              <w:rPr>
                <w:sz w:val="12"/>
                <w:szCs w:val="12"/>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(16,715)</w:t>
            </w:r>
          </w:p>
        </w:tc>
        <w:tc>
          <w:tcPr>
            <w:tcW w:w="0" w:type="dxa"/>
            <w:vAlign w:val="bottom"/>
          </w:tcPr>
          <w:p>
            <w:pPr>
              <w:spacing w:after="0"/>
              <w:rPr>
                <w:sz w:val="1"/>
                <w:szCs w:val="1"/>
                <w:color w:val="auto"/>
              </w:rPr>
            </w:pPr>
          </w:p>
        </w:tc>
      </w:tr>
      <w:tr>
        <w:trPr>
          <w:trHeight w:val="185"/>
        </w:trPr>
        <w:tc>
          <w:tcPr>
            <w:tcW w:w="27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vesting of RSUs—net of tax</w:t>
            </w:r>
          </w:p>
        </w:tc>
        <w:tc>
          <w:tcPr>
            <w:tcW w:w="1100" w:type="dxa"/>
            <w:vAlign w:val="bottom"/>
            <w:tcBorders>
              <w:right w:val="single" w:sz="8" w:color="auto"/>
            </w:tcBorders>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10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500" w:type="dxa"/>
            <w:vAlign w:val="bottom"/>
            <w:gridSpan w:val="2"/>
            <w:vMerge w:val="continue"/>
            <w:shd w:val="clear" w:color="auto" w:fill="CFF0FC"/>
          </w:tcPr>
          <w:p>
            <w:pPr>
              <w:spacing w:after="0"/>
              <w:rPr>
                <w:sz w:val="16"/>
                <w:szCs w:val="16"/>
                <w:color w:val="auto"/>
              </w:rPr>
            </w:pPr>
          </w:p>
        </w:tc>
        <w:tc>
          <w:tcPr>
            <w:tcW w:w="112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vMerge w:val="continue"/>
            <w:shd w:val="clear" w:color="auto" w:fill="CFF0FC"/>
          </w:tcPr>
          <w:p>
            <w:pPr>
              <w:spacing w:after="0"/>
              <w:rPr>
                <w:sz w:val="16"/>
                <w:szCs w:val="16"/>
                <w:color w:val="auto"/>
              </w:rPr>
            </w:pPr>
          </w:p>
        </w:tc>
        <w:tc>
          <w:tcPr>
            <w:tcW w:w="110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80" w:type="dxa"/>
            <w:vAlign w:val="bottom"/>
          </w:tcPr>
          <w:p>
            <w:pPr>
              <w:ind w:left="280"/>
              <w:spacing w:after="0" w:line="139" w:lineRule="exact"/>
              <w:rPr>
                <w:sz w:val="20"/>
                <w:szCs w:val="20"/>
                <w:color w:val="auto"/>
              </w:rPr>
            </w:pPr>
            <w:r>
              <w:rPr>
                <w:rFonts w:ascii="Times New Roman" w:cs="Times New Roman" w:eastAsia="Times New Roman" w:hAnsi="Times New Roman"/>
                <w:sz w:val="14"/>
                <w:szCs w:val="14"/>
                <w:color w:val="auto"/>
              </w:rPr>
              <w:t>Repurchase and retirement of common</w:t>
            </w:r>
          </w:p>
        </w:tc>
        <w:tc>
          <w:tcPr>
            <w:tcW w:w="1100" w:type="dxa"/>
            <w:vAlign w:val="bottom"/>
            <w:tcBorders>
              <w:right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8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(32,500,000)</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(328,450)</w:t>
            </w:r>
          </w:p>
        </w:tc>
        <w:tc>
          <w:tcPr>
            <w:tcW w:w="1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(328,453)</w:t>
            </w:r>
          </w:p>
        </w:tc>
        <w:tc>
          <w:tcPr>
            <w:tcW w:w="0" w:type="dxa"/>
            <w:vAlign w:val="bottom"/>
          </w:tcPr>
          <w:p>
            <w:pPr>
              <w:spacing w:after="0"/>
              <w:rPr>
                <w:sz w:val="1"/>
                <w:szCs w:val="1"/>
                <w:color w:val="auto"/>
              </w:rPr>
            </w:pPr>
          </w:p>
        </w:tc>
      </w:tr>
      <w:tr>
        <w:trPr>
          <w:trHeight w:val="185"/>
        </w:trPr>
        <w:tc>
          <w:tcPr>
            <w:tcW w:w="2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w:t>
            </w:r>
          </w:p>
        </w:tc>
        <w:tc>
          <w:tcPr>
            <w:tcW w:w="1100" w:type="dxa"/>
            <w:vAlign w:val="bottom"/>
            <w:tcBorders>
              <w:right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80" w:type="dxa"/>
            <w:vAlign w:val="bottom"/>
            <w:shd w:val="clear" w:color="auto" w:fill="CFF0FC"/>
          </w:tcPr>
          <w:p>
            <w:pPr>
              <w:ind w:left="260"/>
              <w:spacing w:after="0" w:line="139" w:lineRule="exact"/>
              <w:rPr>
                <w:sz w:val="20"/>
                <w:szCs w:val="20"/>
                <w:color w:val="auto"/>
              </w:rPr>
            </w:pPr>
            <w:r>
              <w:rPr>
                <w:rFonts w:ascii="Times New Roman" w:cs="Times New Roman" w:eastAsia="Times New Roman" w:hAnsi="Times New Roman"/>
                <w:sz w:val="14"/>
                <w:szCs w:val="14"/>
                <w:color w:val="auto"/>
              </w:rPr>
              <w:t>Accretion of redeemable non-controlling</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2,405</w:t>
            </w:r>
          </w:p>
        </w:tc>
        <w:tc>
          <w:tcPr>
            <w:tcW w:w="14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ind w:left="5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40" w:type="dxa"/>
            <w:vAlign w:val="bottom"/>
            <w:gridSpan w:val="3"/>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(2,405)</w:t>
            </w:r>
          </w:p>
        </w:tc>
        <w:tc>
          <w:tcPr>
            <w:tcW w:w="100" w:type="dxa"/>
            <w:vAlign w:val="bottom"/>
            <w:shd w:val="clear" w:color="auto" w:fill="CFF0FC"/>
          </w:tcPr>
          <w:p>
            <w:pPr>
              <w:spacing w:after="0"/>
              <w:rPr>
                <w:sz w:val="12"/>
                <w:szCs w:val="12"/>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(2,405)</w:t>
            </w:r>
          </w:p>
        </w:tc>
        <w:tc>
          <w:tcPr>
            <w:tcW w:w="0" w:type="dxa"/>
            <w:vAlign w:val="bottom"/>
          </w:tcPr>
          <w:p>
            <w:pPr>
              <w:spacing w:after="0"/>
              <w:rPr>
                <w:sz w:val="1"/>
                <w:szCs w:val="1"/>
                <w:color w:val="auto"/>
              </w:rPr>
            </w:pPr>
          </w:p>
        </w:tc>
      </w:tr>
      <w:tr>
        <w:trPr>
          <w:trHeight w:val="185"/>
        </w:trPr>
        <w:tc>
          <w:tcPr>
            <w:tcW w:w="2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interest</w:t>
            </w:r>
          </w:p>
        </w:tc>
        <w:tc>
          <w:tcPr>
            <w:tcW w:w="960" w:type="dxa"/>
            <w:vAlign w:val="bottom"/>
            <w:vMerge w:val="continue"/>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gridSpan w:val="3"/>
            <w:vMerge w:val="continue"/>
            <w:shd w:val="clear" w:color="auto" w:fill="CFF0FC"/>
          </w:tcPr>
          <w:p>
            <w:pPr>
              <w:spacing w:after="0"/>
              <w:rPr>
                <w:sz w:val="16"/>
                <w:szCs w:val="16"/>
                <w:color w:val="auto"/>
              </w:rPr>
            </w:pPr>
          </w:p>
        </w:tc>
        <w:tc>
          <w:tcPr>
            <w:tcW w:w="500" w:type="dxa"/>
            <w:vAlign w:val="bottom"/>
            <w:gridSpan w:val="2"/>
            <w:vMerge w:val="continue"/>
            <w:shd w:val="clear" w:color="auto" w:fill="CFF0FC"/>
          </w:tcPr>
          <w:p>
            <w:pPr>
              <w:spacing w:after="0"/>
              <w:rPr>
                <w:sz w:val="16"/>
                <w:szCs w:val="16"/>
                <w:color w:val="auto"/>
              </w:rPr>
            </w:pPr>
          </w:p>
        </w:tc>
        <w:tc>
          <w:tcPr>
            <w:tcW w:w="112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vMerge w:val="continue"/>
            <w:shd w:val="clear" w:color="auto" w:fill="CFF0FC"/>
          </w:tcPr>
          <w:p>
            <w:pPr>
              <w:spacing w:after="0"/>
              <w:rPr>
                <w:sz w:val="16"/>
                <w:szCs w:val="16"/>
                <w:color w:val="auto"/>
              </w:rPr>
            </w:pPr>
          </w:p>
        </w:tc>
        <w:tc>
          <w:tcPr>
            <w:tcW w:w="110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10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80" w:type="dxa"/>
            <w:vAlign w:val="bottom"/>
          </w:tcPr>
          <w:p>
            <w:pPr>
              <w:ind w:left="5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0" w:type="dxa"/>
            <w:vAlign w:val="bottom"/>
          </w:tcPr>
          <w:p>
            <w:pPr>
              <w:spacing w:after="0"/>
              <w:rPr>
                <w:sz w:val="1"/>
                <w:szCs w:val="1"/>
                <w:color w:val="auto"/>
              </w:rPr>
            </w:pPr>
          </w:p>
        </w:tc>
      </w:tr>
      <w:tr>
        <w:trPr>
          <w:trHeight w:val="176"/>
        </w:trPr>
        <w:tc>
          <w:tcPr>
            <w:tcW w:w="27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Net loss</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gridSpan w:val="2"/>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ind w:left="5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auto"/>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(90,071)</w:t>
            </w:r>
          </w:p>
        </w:tc>
        <w:tc>
          <w:tcPr>
            <w:tcW w:w="10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(90,071)</w:t>
            </w:r>
          </w:p>
        </w:tc>
        <w:tc>
          <w:tcPr>
            <w:tcW w:w="0" w:type="dxa"/>
            <w:vAlign w:val="bottom"/>
          </w:tcPr>
          <w:p>
            <w:pPr>
              <w:spacing w:after="0"/>
              <w:rPr>
                <w:sz w:val="1"/>
                <w:szCs w:val="1"/>
                <w:color w:val="auto"/>
              </w:rPr>
            </w:pPr>
          </w:p>
        </w:tc>
      </w:tr>
      <w:tr>
        <w:trPr>
          <w:trHeight w:val="169"/>
        </w:trPr>
        <w:tc>
          <w:tcPr>
            <w:tcW w:w="278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BALANCE—December 31, 2023</w:t>
            </w:r>
          </w:p>
        </w:tc>
        <w:tc>
          <w:tcPr>
            <w:tcW w:w="9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$16,584</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ind w:left="520"/>
              <w:spacing w:after="0" w:line="155"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4"/>
                <w:szCs w:val="14"/>
                <w:color w:val="auto"/>
              </w:rPr>
            </w:pPr>
          </w:p>
        </w:tc>
        <w:tc>
          <w:tcPr>
            <w:tcW w:w="6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603,128,781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4"/>
                <w:szCs w:val="14"/>
                <w:color w:val="auto"/>
              </w:rPr>
            </w:pPr>
          </w:p>
        </w:tc>
        <w:tc>
          <w:tcPr>
            <w:tcW w:w="112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$2,909,757</w:t>
            </w:r>
          </w:p>
        </w:tc>
        <w:tc>
          <w:tcPr>
            <w:tcW w:w="9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(1,126,467)</w:t>
            </w:r>
          </w:p>
        </w:tc>
        <w:tc>
          <w:tcPr>
            <w:tcW w:w="102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$(1,073)</w:t>
            </w:r>
          </w:p>
        </w:tc>
        <w:tc>
          <w:tcPr>
            <w:tcW w:w="11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$1,782,277</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2435225</wp:posOffset>
            </wp:positionH>
            <wp:positionV relativeFrom="paragraph">
              <wp:posOffset>-2746375</wp:posOffset>
            </wp:positionV>
            <wp:extent cx="34290" cy="1454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 cy="145415"/>
                    </a:xfrm>
                    <a:prstGeom prst="rect">
                      <a:avLst/>
                    </a:prstGeom>
                    <a:noFill/>
                  </pic:spPr>
                </pic:pic>
              </a:graphicData>
            </a:graphic>
          </wp:anchor>
        </w:drawing>
        <w:drawing>
          <wp:anchor simplePos="0" relativeHeight="251657728" behindDoc="1" locked="0" layoutInCell="0" allowOverlap="1">
            <wp:simplePos x="0" y="0"/>
            <wp:positionH relativeFrom="column">
              <wp:posOffset>2435225</wp:posOffset>
            </wp:positionH>
            <wp:positionV relativeFrom="paragraph">
              <wp:posOffset>-1657985</wp:posOffset>
            </wp:positionV>
            <wp:extent cx="34290" cy="1454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14541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-144780</wp:posOffset>
            </wp:positionV>
            <wp:extent cx="768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-144780</wp:posOffset>
            </wp:positionV>
            <wp:extent cx="774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-144780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-144780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-144780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-144780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-144780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-269240</wp:posOffset>
            </wp:positionV>
            <wp:extent cx="89535" cy="2825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9535" cy="2825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6"/>
          <w:szCs w:val="16"/>
          <w:b w:val="1"/>
          <w:bCs w:val="1"/>
          <w:color w:val="auto"/>
        </w:rPr>
        <w:t>CCC INTELLIGENT SOLUTIONS HOLDINGS INC. AND SUBSIDIARIES</w:t>
      </w:r>
    </w:p>
    <w:p>
      <w:pPr>
        <w:sectPr>
          <w:pgSz w:w="11900" w:h="16838" w:orient="portrait"/>
          <w:cols w:equalWidth="0" w:num="1">
            <w:col w:w="9019"/>
          </w:cols>
          <w:pgMar w:left="1440" w:top="988" w:right="1440" w:bottom="1440" w:gutter="0" w:footer="0" w:header="0"/>
        </w:sectPr>
      </w:pPr>
    </w:p>
    <w:p>
      <w:pPr>
        <w:spacing w:after="0" w:line="127" w:lineRule="exact"/>
        <w:rPr>
          <w:sz w:val="20"/>
          <w:szCs w:val="20"/>
          <w:color w:val="auto"/>
        </w:rPr>
      </w:pPr>
    </w:p>
    <w:p>
      <w:pPr>
        <w:jc w:val="center"/>
        <w:ind w:left="2160" w:right="2159"/>
        <w:spacing w:after="0" w:line="268" w:lineRule="auto"/>
        <w:rPr>
          <w:sz w:val="20"/>
          <w:szCs w:val="20"/>
          <w:color w:val="auto"/>
        </w:rPr>
      </w:pPr>
      <w:r>
        <w:rPr>
          <w:rFonts w:ascii="Times New Roman" w:cs="Times New Roman" w:eastAsia="Times New Roman" w:hAnsi="Times New Roman"/>
          <w:sz w:val="16"/>
          <w:szCs w:val="16"/>
          <w:b w:val="1"/>
          <w:bCs w:val="1"/>
          <w:color w:val="auto"/>
        </w:rPr>
        <w:t>CONSOLIDATED STATEMENTS OF CASH FLOWS FOR THE YEARS ENDED DECEMBER 31, 2023, 2022 AND 2021 (In thousands)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476885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988" w:right="1440" w:bottom="1440" w:gutter="0" w:footer="0" w:header="0"/>
          <w:type w:val="continuous"/>
        </w:sectPr>
      </w:pPr>
    </w:p>
    <w:bookmarkStart w:id="63" w:name="page64"/>
    <w:bookmarkEnd w:id="63"/>
    <w:tbl>
      <w:tblPr>
        <w:tblLayout w:type="fixed"/>
        <w:tblInd w:w="0" w:type="dxa"/>
        <w:tblCellMar>
          <w:top w:w="0" w:type="dxa"/>
          <w:left w:w="0" w:type="dxa"/>
          <w:bottom w:w="0" w:type="dxa"/>
          <w:right w:w="0" w:type="dxa"/>
        </w:tblCellMar>
      </w:tblPr>
      <w:tr>
        <w:trPr>
          <w:trHeight w:val="187"/>
        </w:trPr>
        <w:tc>
          <w:tcPr>
            <w:tcW w:w="76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169"/>
        </w:trPr>
        <w:tc>
          <w:tcPr>
            <w:tcW w:w="7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(loss) income</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(90,071 )</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38,406</w:t>
            </w:r>
          </w:p>
        </w:tc>
        <w:tc>
          <w:tcPr>
            <w:tcW w:w="28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(248,919 )</w:t>
            </w:r>
          </w:p>
        </w:tc>
      </w:tr>
      <w:tr>
        <w:trPr>
          <w:trHeight w:val="176"/>
        </w:trPr>
        <w:tc>
          <w:tcPr>
            <w:tcW w:w="7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Adjustments to reconcile net (loss) income to net cash provided by operating activities:</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6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Depreciation and amortization of software, equipment, and property</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36,902</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27,933</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24,451</w:t>
            </w:r>
          </w:p>
        </w:tc>
        <w:tc>
          <w:tcPr>
            <w:tcW w:w="100" w:type="dxa"/>
            <w:vAlign w:val="bottom"/>
          </w:tcPr>
          <w:p>
            <w:pPr>
              <w:spacing w:after="0"/>
              <w:rPr>
                <w:sz w:val="15"/>
                <w:szCs w:val="15"/>
                <w:color w:val="auto"/>
              </w:rPr>
            </w:pPr>
          </w:p>
        </w:tc>
      </w:tr>
      <w:tr>
        <w:trPr>
          <w:trHeight w:val="176"/>
        </w:trPr>
        <w:tc>
          <w:tcPr>
            <w:tcW w:w="760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98,436</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99,216</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98,678</w:t>
            </w:r>
          </w:p>
        </w:tc>
        <w:tc>
          <w:tcPr>
            <w:tcW w:w="100" w:type="dxa"/>
            <w:vAlign w:val="bottom"/>
            <w:shd w:val="clear" w:color="auto" w:fill="CFF0FC"/>
          </w:tcPr>
          <w:p>
            <w:pPr>
              <w:spacing w:after="0"/>
              <w:rPr>
                <w:sz w:val="15"/>
                <w:szCs w:val="15"/>
                <w:color w:val="auto"/>
              </w:rPr>
            </w:pPr>
          </w:p>
        </w:tc>
      </w:tr>
      <w:tr>
        <w:trPr>
          <w:trHeight w:val="176"/>
        </w:trPr>
        <w:tc>
          <w:tcPr>
            <w:tcW w:w="76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Impairment of goodwill and intangible assets</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82,742</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60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4"/>
                <w:szCs w:val="14"/>
                <w:color w:val="auto"/>
              </w:rPr>
              <w:t>Deferred income taxes</w:t>
            </w:r>
          </w:p>
        </w:tc>
        <w:tc>
          <w:tcPr>
            <w:tcW w:w="2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(46,333 )</w:t>
            </w:r>
          </w:p>
        </w:tc>
        <w:tc>
          <w:tcPr>
            <w:tcW w:w="2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(34,401 )</w:t>
            </w:r>
          </w:p>
        </w:tc>
        <w:tc>
          <w:tcPr>
            <w:tcW w:w="2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(46,883 )</w:t>
            </w:r>
          </w:p>
        </w:tc>
      </w:tr>
      <w:tr>
        <w:trPr>
          <w:trHeight w:val="176"/>
        </w:trPr>
        <w:tc>
          <w:tcPr>
            <w:tcW w:w="76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Stock-based compensation</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144,518</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109,497</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261,995</w:t>
            </w:r>
          </w:p>
        </w:tc>
        <w:tc>
          <w:tcPr>
            <w:tcW w:w="100" w:type="dxa"/>
            <w:vAlign w:val="bottom"/>
          </w:tcPr>
          <w:p>
            <w:pPr>
              <w:spacing w:after="0"/>
              <w:rPr>
                <w:sz w:val="15"/>
                <w:szCs w:val="15"/>
                <w:color w:val="auto"/>
              </w:rPr>
            </w:pPr>
          </w:p>
        </w:tc>
      </w:tr>
      <w:tr>
        <w:trPr>
          <w:trHeight w:val="175"/>
        </w:trPr>
        <w:tc>
          <w:tcPr>
            <w:tcW w:w="760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4"/>
                <w:szCs w:val="14"/>
                <w:color w:val="auto"/>
              </w:rPr>
              <w:t>Amortization of deferred financing fees</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1,753</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1,878</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3,682</w:t>
            </w:r>
          </w:p>
        </w:tc>
        <w:tc>
          <w:tcPr>
            <w:tcW w:w="100" w:type="dxa"/>
            <w:vAlign w:val="bottom"/>
            <w:shd w:val="clear" w:color="auto" w:fill="CFF0FC"/>
          </w:tcPr>
          <w:p>
            <w:pPr>
              <w:spacing w:after="0"/>
              <w:rPr>
                <w:sz w:val="15"/>
                <w:szCs w:val="15"/>
                <w:color w:val="auto"/>
              </w:rPr>
            </w:pPr>
          </w:p>
        </w:tc>
      </w:tr>
      <w:tr>
        <w:trPr>
          <w:trHeight w:val="176"/>
        </w:trPr>
        <w:tc>
          <w:tcPr>
            <w:tcW w:w="76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Amortization of discount on debt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100" w:type="dxa"/>
            <w:vAlign w:val="bottom"/>
          </w:tcPr>
          <w:p>
            <w:pPr>
              <w:spacing w:after="0"/>
              <w:rPr>
                <w:sz w:val="15"/>
                <w:szCs w:val="15"/>
                <w:color w:val="auto"/>
              </w:rPr>
            </w:pPr>
          </w:p>
        </w:tc>
      </w:tr>
      <w:tr>
        <w:trPr>
          <w:trHeight w:val="175"/>
        </w:trPr>
        <w:tc>
          <w:tcPr>
            <w:tcW w:w="760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4"/>
                <w:szCs w:val="14"/>
                <w:color w:val="auto"/>
              </w:rPr>
              <w:t>Change in fair value of derivative instruments</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5,743</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(5,663 )</w:t>
            </w:r>
          </w:p>
        </w:tc>
        <w:tc>
          <w:tcPr>
            <w:tcW w:w="2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76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Change in fair value of interest rate swap agreements</w:t>
            </w:r>
          </w:p>
        </w:tc>
        <w:tc>
          <w:tcPr>
            <w:tcW w:w="220" w:type="dxa"/>
            <w:vAlign w:val="bottom"/>
          </w:tcPr>
          <w:p>
            <w:pPr>
              <w:spacing w:after="0"/>
              <w:rPr>
                <w:sz w:val="15"/>
                <w:szCs w:val="15"/>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(8,373 )</w:t>
            </w:r>
          </w:p>
        </w:tc>
      </w:tr>
      <w:tr>
        <w:trPr>
          <w:trHeight w:val="176"/>
        </w:trPr>
        <w:tc>
          <w:tcPr>
            <w:tcW w:w="760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15,096</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(26,073 )</w:t>
            </w: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64,501</w:t>
            </w:r>
          </w:p>
        </w:tc>
        <w:tc>
          <w:tcPr>
            <w:tcW w:w="100" w:type="dxa"/>
            <w:vAlign w:val="bottom"/>
            <w:shd w:val="clear" w:color="auto" w:fill="CFF0FC"/>
          </w:tcPr>
          <w:p>
            <w:pPr>
              <w:spacing w:after="0"/>
              <w:rPr>
                <w:sz w:val="15"/>
                <w:szCs w:val="15"/>
                <w:color w:val="auto"/>
              </w:rPr>
            </w:pPr>
          </w:p>
        </w:tc>
      </w:tr>
      <w:tr>
        <w:trPr>
          <w:trHeight w:val="175"/>
        </w:trPr>
        <w:tc>
          <w:tcPr>
            <w:tcW w:w="76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Change in fair value of estimated contingent consideration</w:t>
            </w:r>
          </w:p>
        </w:tc>
        <w:tc>
          <w:tcPr>
            <w:tcW w:w="220" w:type="dxa"/>
            <w:vAlign w:val="bottom"/>
          </w:tcPr>
          <w:p>
            <w:pPr>
              <w:spacing w:after="0"/>
              <w:rPr>
                <w:sz w:val="15"/>
                <w:szCs w:val="15"/>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(100 )</w:t>
            </w:r>
          </w:p>
        </w:tc>
        <w:tc>
          <w:tcPr>
            <w:tcW w:w="22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760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4"/>
                <w:szCs w:val="14"/>
                <w:color w:val="auto"/>
              </w:rPr>
              <w:t>Loss on early extinguishment of debt</w:t>
            </w:r>
          </w:p>
        </w:tc>
        <w:tc>
          <w:tcPr>
            <w:tcW w:w="2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15,240</w:t>
            </w:r>
          </w:p>
        </w:tc>
        <w:tc>
          <w:tcPr>
            <w:tcW w:w="100" w:type="dxa"/>
            <w:vAlign w:val="bottom"/>
            <w:shd w:val="clear" w:color="auto" w:fill="CFF0FC"/>
          </w:tcPr>
          <w:p>
            <w:pPr>
              <w:spacing w:after="0"/>
              <w:rPr>
                <w:sz w:val="15"/>
                <w:szCs w:val="15"/>
                <w:color w:val="auto"/>
              </w:rPr>
            </w:pPr>
          </w:p>
        </w:tc>
      </w:tr>
      <w:tr>
        <w:trPr>
          <w:trHeight w:val="175"/>
        </w:trPr>
        <w:tc>
          <w:tcPr>
            <w:tcW w:w="76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Non-cash lease expense</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1,232</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3,697</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6,279</w:t>
            </w:r>
          </w:p>
        </w:tc>
        <w:tc>
          <w:tcPr>
            <w:tcW w:w="100" w:type="dxa"/>
            <w:vAlign w:val="bottom"/>
          </w:tcPr>
          <w:p>
            <w:pPr>
              <w:spacing w:after="0"/>
              <w:rPr>
                <w:sz w:val="15"/>
                <w:szCs w:val="15"/>
                <w:color w:val="auto"/>
              </w:rPr>
            </w:pPr>
          </w:p>
        </w:tc>
      </w:tr>
      <w:tr>
        <w:trPr>
          <w:trHeight w:val="176"/>
        </w:trPr>
        <w:tc>
          <w:tcPr>
            <w:tcW w:w="760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4"/>
                <w:szCs w:val="14"/>
                <w:color w:val="auto"/>
              </w:rPr>
              <w:t>Gain on divestitures</w:t>
            </w:r>
          </w:p>
        </w:tc>
        <w:tc>
          <w:tcPr>
            <w:tcW w:w="2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(600 )</w:t>
            </w:r>
          </w:p>
        </w:tc>
      </w:tr>
      <w:tr>
        <w:trPr>
          <w:trHeight w:val="176"/>
        </w:trPr>
        <w:tc>
          <w:tcPr>
            <w:tcW w:w="76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Gain on sale of cost method investment</w:t>
            </w:r>
          </w:p>
        </w:tc>
        <w:tc>
          <w:tcPr>
            <w:tcW w:w="220" w:type="dxa"/>
            <w:vAlign w:val="bottom"/>
          </w:tcPr>
          <w:p>
            <w:pPr>
              <w:spacing w:after="0"/>
              <w:rPr>
                <w:sz w:val="15"/>
                <w:szCs w:val="15"/>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(3,587 )</w:t>
            </w:r>
          </w:p>
        </w:tc>
        <w:tc>
          <w:tcPr>
            <w:tcW w:w="22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60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4"/>
                <w:szCs w:val="14"/>
                <w:color w:val="auto"/>
              </w:rPr>
              <w:t>Loss on disposal of software, equipment and property</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2,651</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76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100" w:type="dxa"/>
            <w:vAlign w:val="bottom"/>
          </w:tcPr>
          <w:p>
            <w:pPr>
              <w:spacing w:after="0"/>
              <w:rPr>
                <w:sz w:val="15"/>
                <w:szCs w:val="15"/>
                <w:color w:val="auto"/>
              </w:rPr>
            </w:pPr>
          </w:p>
        </w:tc>
      </w:tr>
      <w:tr>
        <w:trPr>
          <w:trHeight w:val="175"/>
        </w:trPr>
        <w:tc>
          <w:tcPr>
            <w:tcW w:w="760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4"/>
                <w:szCs w:val="14"/>
                <w:color w:val="auto"/>
              </w:rPr>
              <w:t>Changes in:</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760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Accounts receivable—Net</w:t>
            </w:r>
          </w:p>
        </w:tc>
        <w:tc>
          <w:tcPr>
            <w:tcW w:w="22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(4,001 )</w:t>
            </w:r>
          </w:p>
        </w:tc>
        <w:tc>
          <w:tcPr>
            <w:tcW w:w="22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(19,844 )</w:t>
            </w:r>
          </w:p>
        </w:tc>
        <w:tc>
          <w:tcPr>
            <w:tcW w:w="22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(4,725 )</w:t>
            </w:r>
          </w:p>
        </w:tc>
      </w:tr>
      <w:tr>
        <w:trPr>
          <w:trHeight w:val="175"/>
        </w:trPr>
        <w:tc>
          <w:tcPr>
            <w:tcW w:w="760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4"/>
                <w:szCs w:val="14"/>
                <w:color w:val="auto"/>
              </w:rPr>
              <w:t>Deferred contract costs</w:t>
            </w:r>
          </w:p>
        </w:tc>
        <w:tc>
          <w:tcPr>
            <w:tcW w:w="2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(1,344 )</w:t>
            </w:r>
          </w:p>
        </w:tc>
        <w:tc>
          <w:tcPr>
            <w:tcW w:w="2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(1,487 )</w:t>
            </w:r>
          </w:p>
        </w:tc>
        <w:tc>
          <w:tcPr>
            <w:tcW w:w="2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(3,152 )</w:t>
            </w:r>
          </w:p>
        </w:tc>
      </w:tr>
      <w:tr>
        <w:trPr>
          <w:trHeight w:val="176"/>
        </w:trPr>
        <w:tc>
          <w:tcPr>
            <w:tcW w:w="76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Other current assets</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4,046</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9,792</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(12,273 )</w:t>
            </w:r>
          </w:p>
        </w:tc>
      </w:tr>
      <w:tr>
        <w:trPr>
          <w:trHeight w:val="176"/>
        </w:trPr>
        <w:tc>
          <w:tcPr>
            <w:tcW w:w="760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4"/>
                <w:szCs w:val="14"/>
                <w:color w:val="auto"/>
              </w:rPr>
              <w:t>Deferred contract costs—Non-current</w:t>
            </w:r>
          </w:p>
        </w:tc>
        <w:tc>
          <w:tcPr>
            <w:tcW w:w="2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(2,141 )</w:t>
            </w: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1,956</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(7,728 )</w:t>
            </w:r>
          </w:p>
        </w:tc>
      </w:tr>
      <w:tr>
        <w:trPr>
          <w:trHeight w:val="175"/>
        </w:trPr>
        <w:tc>
          <w:tcPr>
            <w:tcW w:w="76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Other assets</w:t>
            </w:r>
          </w:p>
        </w:tc>
        <w:tc>
          <w:tcPr>
            <w:tcW w:w="22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(3,649 )</w:t>
            </w:r>
          </w:p>
        </w:tc>
        <w:tc>
          <w:tcPr>
            <w:tcW w:w="22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(14,501 )</w:t>
            </w:r>
          </w:p>
        </w:tc>
        <w:tc>
          <w:tcPr>
            <w:tcW w:w="22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(7,838 )</w:t>
            </w:r>
          </w:p>
        </w:tc>
      </w:tr>
      <w:tr>
        <w:trPr>
          <w:trHeight w:val="176"/>
        </w:trPr>
        <w:tc>
          <w:tcPr>
            <w:tcW w:w="760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4"/>
                <w:szCs w:val="14"/>
                <w:color w:val="auto"/>
              </w:rPr>
              <w:t>Operating lease assets</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1,186</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3,448</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6,354</w:t>
            </w:r>
          </w:p>
        </w:tc>
        <w:tc>
          <w:tcPr>
            <w:tcW w:w="100" w:type="dxa"/>
            <w:vAlign w:val="bottom"/>
            <w:shd w:val="clear" w:color="auto" w:fill="CFF0FC"/>
          </w:tcPr>
          <w:p>
            <w:pPr>
              <w:spacing w:after="0"/>
              <w:rPr>
                <w:sz w:val="15"/>
                <w:szCs w:val="15"/>
                <w:color w:val="auto"/>
              </w:rPr>
            </w:pPr>
          </w:p>
        </w:tc>
      </w:tr>
      <w:tr>
        <w:trPr>
          <w:trHeight w:val="175"/>
        </w:trPr>
        <w:tc>
          <w:tcPr>
            <w:tcW w:w="76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Income taxes</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4,984</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(10,018 )</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3,833</w:t>
            </w:r>
          </w:p>
        </w:tc>
        <w:tc>
          <w:tcPr>
            <w:tcW w:w="100" w:type="dxa"/>
            <w:vAlign w:val="bottom"/>
          </w:tcPr>
          <w:p>
            <w:pPr>
              <w:spacing w:after="0"/>
              <w:rPr>
                <w:sz w:val="15"/>
                <w:szCs w:val="15"/>
                <w:color w:val="auto"/>
              </w:rPr>
            </w:pPr>
          </w:p>
        </w:tc>
      </w:tr>
      <w:tr>
        <w:trPr>
          <w:trHeight w:val="176"/>
        </w:trPr>
        <w:tc>
          <w:tcPr>
            <w:tcW w:w="760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4"/>
                <w:szCs w:val="14"/>
                <w:color w:val="auto"/>
              </w:rPr>
              <w:t>Accounts payable</w:t>
            </w:r>
          </w:p>
        </w:tc>
        <w:tc>
          <w:tcPr>
            <w:tcW w:w="2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(11,270 )</w:t>
            </w: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15,516</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(1,052 )</w:t>
            </w:r>
          </w:p>
        </w:tc>
      </w:tr>
      <w:tr>
        <w:trPr>
          <w:trHeight w:val="175"/>
        </w:trPr>
        <w:tc>
          <w:tcPr>
            <w:tcW w:w="760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Accrued expenses</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1,041</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4,592</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8,347</w:t>
            </w:r>
          </w:p>
        </w:tc>
        <w:tc>
          <w:tcPr>
            <w:tcW w:w="100" w:type="dxa"/>
            <w:vAlign w:val="bottom"/>
          </w:tcPr>
          <w:p>
            <w:pPr>
              <w:spacing w:after="0"/>
              <w:rPr>
                <w:sz w:val="15"/>
                <w:szCs w:val="15"/>
                <w:color w:val="auto"/>
              </w:rPr>
            </w:pPr>
          </w:p>
        </w:tc>
      </w:tr>
      <w:tr>
        <w:trPr>
          <w:trHeight w:val="175"/>
        </w:trPr>
        <w:tc>
          <w:tcPr>
            <w:tcW w:w="760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(2,145 )</w:t>
            </w:r>
          </w:p>
        </w:tc>
        <w:tc>
          <w:tcPr>
            <w:tcW w:w="2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(7,241 )</w:t>
            </w:r>
          </w:p>
        </w:tc>
        <w:tc>
          <w:tcPr>
            <w:tcW w:w="2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(8,398 )</w:t>
            </w:r>
          </w:p>
        </w:tc>
      </w:tr>
      <w:tr>
        <w:trPr>
          <w:trHeight w:val="175"/>
        </w:trPr>
        <w:tc>
          <w:tcPr>
            <w:tcW w:w="76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Deferred revenues</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8,321</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4,196</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4,513</w:t>
            </w:r>
          </w:p>
        </w:tc>
        <w:tc>
          <w:tcPr>
            <w:tcW w:w="100" w:type="dxa"/>
            <w:vAlign w:val="bottom"/>
          </w:tcPr>
          <w:p>
            <w:pPr>
              <w:spacing w:after="0"/>
              <w:rPr>
                <w:sz w:val="15"/>
                <w:szCs w:val="15"/>
                <w:color w:val="auto"/>
              </w:rPr>
            </w:pPr>
          </w:p>
        </w:tc>
      </w:tr>
      <w:tr>
        <w:trPr>
          <w:trHeight w:val="176"/>
        </w:trPr>
        <w:tc>
          <w:tcPr>
            <w:tcW w:w="760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4"/>
                <w:szCs w:val="14"/>
                <w:color w:val="auto"/>
              </w:rPr>
              <w:t>Extinguishment of interest rate swap liability</w:t>
            </w:r>
          </w:p>
        </w:tc>
        <w:tc>
          <w:tcPr>
            <w:tcW w:w="2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(9,987 )</w:t>
            </w:r>
          </w:p>
        </w:tc>
      </w:tr>
      <w:tr>
        <w:trPr>
          <w:trHeight w:val="175"/>
        </w:trPr>
        <w:tc>
          <w:tcPr>
            <w:tcW w:w="76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Other liabilities</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4,055</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(317 )</w:t>
            </w:r>
          </w:p>
        </w:tc>
        <w:tc>
          <w:tcPr>
            <w:tcW w:w="22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(11,755 )</w:t>
            </w:r>
          </w:p>
        </w:tc>
      </w:tr>
      <w:tr>
        <w:trPr>
          <w:trHeight w:val="169"/>
        </w:trPr>
        <w:tc>
          <w:tcPr>
            <w:tcW w:w="7600" w:type="dxa"/>
            <w:vAlign w:val="bottom"/>
            <w:tcBorders>
              <w:bottom w:val="single" w:sz="8" w:color="CFF0FC"/>
            </w:tcBorders>
            <w:shd w:val="clear" w:color="auto" w:fill="CFF0FC"/>
          </w:tcPr>
          <w:p>
            <w:pPr>
              <w:ind w:left="114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20" w:type="dxa"/>
            <w:vAlign w:val="bottom"/>
            <w:tcBorders>
              <w:top w:val="single" w:sz="8" w:color="auto"/>
              <w:bottom w:val="single" w:sz="8" w:color="auto"/>
            </w:tcBorders>
            <w:shd w:val="clear" w:color="auto" w:fill="CFF0FC"/>
          </w:tcPr>
          <w:p>
            <w:pPr>
              <w:spacing w:after="0"/>
              <w:rPr>
                <w:sz w:val="14"/>
                <w:szCs w:val="14"/>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250,033</w:t>
            </w:r>
          </w:p>
        </w:tc>
        <w:tc>
          <w:tcPr>
            <w:tcW w:w="3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top w:val="single" w:sz="8" w:color="auto"/>
              <w:bottom w:val="single" w:sz="8" w:color="auto"/>
            </w:tcBorders>
            <w:shd w:val="clear" w:color="auto" w:fill="CFF0FC"/>
          </w:tcPr>
          <w:p>
            <w:pPr>
              <w:spacing w:after="0"/>
              <w:rPr>
                <w:sz w:val="14"/>
                <w:szCs w:val="14"/>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199,907</w:t>
            </w:r>
          </w:p>
        </w:tc>
        <w:tc>
          <w:tcPr>
            <w:tcW w:w="28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top w:val="single" w:sz="8" w:color="auto"/>
              <w:bottom w:val="single" w:sz="8" w:color="auto"/>
            </w:tcBorders>
            <w:shd w:val="clear" w:color="auto" w:fill="CFF0FC"/>
          </w:tcPr>
          <w:p>
            <w:pPr>
              <w:spacing w:after="0"/>
              <w:rPr>
                <w:sz w:val="14"/>
                <w:szCs w:val="14"/>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127,335</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Purchases of software, equipment, and property</w:t>
            </w:r>
          </w:p>
        </w:tc>
        <w:tc>
          <w:tcPr>
            <w:tcW w:w="2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(55,032 )</w:t>
            </w:r>
          </w:p>
        </w:tc>
        <w:tc>
          <w:tcPr>
            <w:tcW w:w="2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(47,951 )</w:t>
            </w:r>
          </w:p>
        </w:tc>
        <w:tc>
          <w:tcPr>
            <w:tcW w:w="2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(38,321 )</w:t>
            </w:r>
          </w:p>
        </w:tc>
      </w:tr>
      <w:tr>
        <w:trPr>
          <w:trHeight w:val="175"/>
        </w:trPr>
        <w:tc>
          <w:tcPr>
            <w:tcW w:w="7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Proceeds from sale of cost method investment</w:t>
            </w:r>
          </w:p>
        </w:tc>
        <w:tc>
          <w:tcPr>
            <w:tcW w:w="220" w:type="dxa"/>
            <w:vAlign w:val="bottom"/>
          </w:tcPr>
          <w:p>
            <w:pPr>
              <w:spacing w:after="0"/>
              <w:rPr>
                <w:sz w:val="15"/>
                <w:szCs w:val="15"/>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3,901</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Acquisition of Safekeep, Inc., net of cash</w:t>
            </w:r>
          </w:p>
        </w:tc>
        <w:tc>
          <w:tcPr>
            <w:tcW w:w="2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(32,242 )</w:t>
            </w:r>
          </w:p>
        </w:tc>
        <w:tc>
          <w:tcPr>
            <w:tcW w:w="2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7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Purchase of equity method investment</w:t>
            </w:r>
          </w:p>
        </w:tc>
        <w:tc>
          <w:tcPr>
            <w:tcW w:w="220" w:type="dxa"/>
            <w:vAlign w:val="bottom"/>
          </w:tcPr>
          <w:p>
            <w:pPr>
              <w:spacing w:after="0"/>
              <w:rPr>
                <w:sz w:val="15"/>
                <w:szCs w:val="15"/>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(10,228 )</w:t>
            </w:r>
          </w:p>
        </w:tc>
      </w:tr>
      <w:tr>
        <w:trPr>
          <w:trHeight w:val="175"/>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Purchase of intangible asset</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(49 )</w:t>
            </w:r>
          </w:p>
        </w:tc>
      </w:tr>
      <w:tr>
        <w:trPr>
          <w:trHeight w:val="20"/>
        </w:trPr>
        <w:tc>
          <w:tcPr>
            <w:tcW w:w="76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760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2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(55,032 )</w:t>
            </w:r>
          </w:p>
        </w:tc>
        <w:tc>
          <w:tcPr>
            <w:tcW w:w="22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(76,292 )</w:t>
            </w:r>
          </w:p>
        </w:tc>
        <w:tc>
          <w:tcPr>
            <w:tcW w:w="22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(48,598 )</w:t>
            </w:r>
          </w:p>
        </w:tc>
      </w:tr>
      <w:tr>
        <w:trPr>
          <w:trHeight w:val="169"/>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FLOWS (USED IN) PROVIDED BY FINANCING ACTIVITIES:</w:t>
            </w:r>
          </w:p>
        </w:tc>
        <w:tc>
          <w:tcPr>
            <w:tcW w:w="22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25,381</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27,693</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5,085</w:t>
            </w:r>
          </w:p>
        </w:tc>
        <w:tc>
          <w:tcPr>
            <w:tcW w:w="100" w:type="dxa"/>
            <w:vAlign w:val="bottom"/>
          </w:tcPr>
          <w:p>
            <w:pPr>
              <w:spacing w:after="0"/>
              <w:rPr>
                <w:sz w:val="15"/>
                <w:szCs w:val="15"/>
                <w:color w:val="auto"/>
              </w:rPr>
            </w:pPr>
          </w:p>
        </w:tc>
      </w:tr>
      <w:tr>
        <w:trPr>
          <w:trHeight w:val="175"/>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Proceeds from employee stock purchase plan</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4,761</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3,197</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Principal payments on long-term debt</w:t>
            </w:r>
          </w:p>
        </w:tc>
        <w:tc>
          <w:tcPr>
            <w:tcW w:w="22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(8,000 )</w:t>
            </w:r>
          </w:p>
        </w:tc>
        <w:tc>
          <w:tcPr>
            <w:tcW w:w="22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(8,000 )</w:t>
            </w:r>
          </w:p>
        </w:tc>
        <w:tc>
          <w:tcPr>
            <w:tcW w:w="22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(1,336,153 )</w:t>
            </w:r>
          </w:p>
        </w:tc>
      </w:tr>
      <w:tr>
        <w:trPr>
          <w:trHeight w:val="176"/>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Payments for employee taxes withheld upon vesting of equity awards</w:t>
            </w:r>
          </w:p>
        </w:tc>
        <w:tc>
          <w:tcPr>
            <w:tcW w:w="2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(16,715 )</w:t>
            </w:r>
          </w:p>
        </w:tc>
        <w:tc>
          <w:tcPr>
            <w:tcW w:w="2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(5,015 )</w:t>
            </w:r>
          </w:p>
        </w:tc>
        <w:tc>
          <w:tcPr>
            <w:tcW w:w="2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22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(328,453 )</w:t>
            </w:r>
          </w:p>
        </w:tc>
        <w:tc>
          <w:tcPr>
            <w:tcW w:w="220" w:type="dxa"/>
            <w:vAlign w:val="bottom"/>
          </w:tcPr>
          <w:p>
            <w:pPr>
              <w:spacing w:after="0"/>
              <w:rPr>
                <w:sz w:val="15"/>
                <w:szCs w:val="15"/>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Proceeds from issuance of long-term debt, net of fees paid to lender</w:t>
            </w:r>
          </w:p>
        </w:tc>
        <w:tc>
          <w:tcPr>
            <w:tcW w:w="2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789,927</w:t>
            </w:r>
          </w:p>
        </w:tc>
        <w:tc>
          <w:tcPr>
            <w:tcW w:w="100" w:type="dxa"/>
            <w:vAlign w:val="bottom"/>
            <w:shd w:val="clear" w:color="auto" w:fill="CFF0FC"/>
          </w:tcPr>
          <w:p>
            <w:pPr>
              <w:spacing w:after="0"/>
              <w:rPr>
                <w:sz w:val="15"/>
                <w:szCs w:val="15"/>
                <w:color w:val="auto"/>
              </w:rPr>
            </w:pPr>
          </w:p>
        </w:tc>
      </w:tr>
      <w:tr>
        <w:trPr>
          <w:trHeight w:val="175"/>
        </w:trPr>
        <w:tc>
          <w:tcPr>
            <w:tcW w:w="7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proceeds from equity infusion from the Business Combination</w:t>
            </w:r>
          </w:p>
        </w:tc>
        <w:tc>
          <w:tcPr>
            <w:tcW w:w="220" w:type="dxa"/>
            <w:vAlign w:val="bottom"/>
          </w:tcPr>
          <w:p>
            <w:pPr>
              <w:spacing w:after="0"/>
              <w:rPr>
                <w:sz w:val="15"/>
                <w:szCs w:val="15"/>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763,300</w:t>
            </w:r>
          </w:p>
        </w:tc>
        <w:tc>
          <w:tcPr>
            <w:tcW w:w="100" w:type="dxa"/>
            <w:vAlign w:val="bottom"/>
          </w:tcPr>
          <w:p>
            <w:pPr>
              <w:spacing w:after="0"/>
              <w:rPr>
                <w:sz w:val="15"/>
                <w:szCs w:val="15"/>
                <w:color w:val="auto"/>
              </w:rPr>
            </w:pPr>
          </w:p>
        </w:tc>
      </w:tr>
      <w:tr>
        <w:trPr>
          <w:trHeight w:val="175"/>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Payment of fees associated with early extinguishment of long-term debt</w:t>
            </w:r>
          </w:p>
        </w:tc>
        <w:tc>
          <w:tcPr>
            <w:tcW w:w="2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(4,821 )</w:t>
            </w:r>
          </w:p>
        </w:tc>
      </w:tr>
      <w:tr>
        <w:trPr>
          <w:trHeight w:val="175"/>
        </w:trPr>
        <w:tc>
          <w:tcPr>
            <w:tcW w:w="7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Dividends to CCCIS stockholders</w:t>
            </w:r>
          </w:p>
        </w:tc>
        <w:tc>
          <w:tcPr>
            <w:tcW w:w="220" w:type="dxa"/>
            <w:vAlign w:val="bottom"/>
          </w:tcPr>
          <w:p>
            <w:pPr>
              <w:spacing w:after="0"/>
              <w:rPr>
                <w:sz w:val="15"/>
                <w:szCs w:val="15"/>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(269,174 )</w:t>
            </w:r>
          </w:p>
        </w:tc>
      </w:tr>
      <w:tr>
        <w:trPr>
          <w:trHeight w:val="176"/>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Deemed distribution to CCCIS option holders</w:t>
            </w:r>
          </w:p>
        </w:tc>
        <w:tc>
          <w:tcPr>
            <w:tcW w:w="2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(9,006 )</w:t>
            </w:r>
          </w:p>
        </w:tc>
      </w:tr>
      <w:tr>
        <w:trPr>
          <w:trHeight w:val="175"/>
        </w:trPr>
        <w:tc>
          <w:tcPr>
            <w:tcW w:w="7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Proceeds from issuance of common stock</w:t>
            </w:r>
          </w:p>
        </w:tc>
        <w:tc>
          <w:tcPr>
            <w:tcW w:w="220" w:type="dxa"/>
            <w:vAlign w:val="bottom"/>
          </w:tcPr>
          <w:p>
            <w:pPr>
              <w:spacing w:after="0"/>
              <w:rPr>
                <w:sz w:val="15"/>
                <w:szCs w:val="15"/>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1,007</w:t>
            </w:r>
          </w:p>
        </w:tc>
        <w:tc>
          <w:tcPr>
            <w:tcW w:w="100" w:type="dxa"/>
            <w:vAlign w:val="bottom"/>
          </w:tcPr>
          <w:p>
            <w:pPr>
              <w:spacing w:after="0"/>
              <w:rPr>
                <w:sz w:val="15"/>
                <w:szCs w:val="15"/>
                <w:color w:val="auto"/>
              </w:rPr>
            </w:pPr>
          </w:p>
        </w:tc>
      </w:tr>
      <w:tr>
        <w:trPr>
          <w:trHeight w:val="175"/>
        </w:trPr>
        <w:tc>
          <w:tcPr>
            <w:tcW w:w="76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Tax effect of Business Combination transaction costs</w:t>
            </w:r>
          </w:p>
        </w:tc>
        <w:tc>
          <w:tcPr>
            <w:tcW w:w="22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1,395</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60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22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(323,026 )</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17,875</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(58,440 )</w:t>
            </w:r>
          </w:p>
        </w:tc>
      </w:tr>
      <w:tr>
        <w:trPr>
          <w:trHeight w:val="20"/>
        </w:trPr>
        <w:tc>
          <w:tcPr>
            <w:tcW w:w="7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EFFECT OF EXCHANGE RATE CHANGES ON CASH AND CASH EQUIVALENTS</w:t>
            </w:r>
          </w:p>
        </w:tc>
        <w:tc>
          <w:tcPr>
            <w:tcW w:w="22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(191 )</w:t>
            </w:r>
          </w:p>
        </w:tc>
        <w:tc>
          <w:tcPr>
            <w:tcW w:w="2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(246 )</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shd w:val="clear" w:color="auto" w:fill="CFF0FC"/>
          </w:tcPr>
          <w:p>
            <w:pPr>
              <w:spacing w:after="0"/>
              <w:rPr>
                <w:sz w:val="14"/>
                <w:szCs w:val="14"/>
                <w:color w:val="auto"/>
              </w:rPr>
            </w:pPr>
          </w:p>
        </w:tc>
      </w:tr>
      <w:tr>
        <w:trPr>
          <w:trHeight w:val="20"/>
        </w:trPr>
        <w:tc>
          <w:tcPr>
            <w:tcW w:w="76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IN CASH AND CASH EQUIVALENTS</w:t>
            </w:r>
          </w:p>
        </w:tc>
        <w:tc>
          <w:tcPr>
            <w:tcW w:w="22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(128,216 )</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141,244</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20,426</w:t>
            </w:r>
          </w:p>
        </w:tc>
        <w:tc>
          <w:tcPr>
            <w:tcW w:w="100" w:type="dxa"/>
            <w:vAlign w:val="bottom"/>
          </w:tcPr>
          <w:p>
            <w:pPr>
              <w:spacing w:after="0"/>
              <w:rPr>
                <w:sz w:val="14"/>
                <w:szCs w:val="14"/>
                <w:color w:val="auto"/>
              </w:rPr>
            </w:pPr>
          </w:p>
        </w:tc>
      </w:tr>
      <w:tr>
        <w:trPr>
          <w:trHeight w:val="175"/>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7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Beginning of period</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323,788</w:t>
            </w:r>
          </w:p>
        </w:tc>
        <w:tc>
          <w:tcPr>
            <w:tcW w:w="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182,544</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162,118</w:t>
            </w:r>
          </w:p>
        </w:tc>
        <w:tc>
          <w:tcPr>
            <w:tcW w:w="100" w:type="dxa"/>
            <w:vAlign w:val="bottom"/>
          </w:tcPr>
          <w:p>
            <w:pPr>
              <w:spacing w:after="0"/>
              <w:rPr>
                <w:sz w:val="15"/>
                <w:szCs w:val="15"/>
                <w:color w:val="auto"/>
              </w:rPr>
            </w:pPr>
          </w:p>
        </w:tc>
      </w:tr>
      <w:tr>
        <w:trPr>
          <w:trHeight w:val="209"/>
        </w:trPr>
        <w:tc>
          <w:tcPr>
            <w:tcW w:w="76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End of period</w:t>
            </w: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195,572</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323,788</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182,544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760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NONCASH INVESTING AND FINANCING ACTIVITIES:</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5"/>
        </w:trPr>
        <w:tc>
          <w:tcPr>
            <w:tcW w:w="76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Noncash purchases of software, equipment, and property</w:t>
            </w: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2,044</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8,035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7600" w:type="dxa"/>
            <w:vAlign w:val="bottom"/>
          </w:tcPr>
          <w:p>
            <w:pPr>
              <w:ind w:left="280"/>
              <w:spacing w:after="0" w:line="156" w:lineRule="exact"/>
              <w:rPr>
                <w:sz w:val="20"/>
                <w:szCs w:val="20"/>
                <w:color w:val="auto"/>
              </w:rPr>
            </w:pPr>
            <w:r>
              <w:rPr>
                <w:rFonts w:ascii="Times New Roman" w:cs="Times New Roman" w:eastAsia="Times New Roman" w:hAnsi="Times New Roman"/>
                <w:sz w:val="14"/>
                <w:szCs w:val="14"/>
                <w:color w:val="auto"/>
              </w:rPr>
              <w:t>Leasehold improvements acquired by tenant improvement allowance</w:t>
            </w:r>
          </w:p>
        </w:tc>
        <w:tc>
          <w:tcPr>
            <w:tcW w:w="220" w:type="dxa"/>
            <w:vAlign w:val="bottom"/>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320"/>
              <w:spacing w:after="0" w:line="15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300"/>
              <w:spacing w:after="0" w:line="15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16,924</w:t>
            </w:r>
          </w:p>
        </w:tc>
        <w:tc>
          <w:tcPr>
            <w:tcW w:w="100" w:type="dxa"/>
            <w:vAlign w:val="bottom"/>
          </w:tcPr>
          <w:p>
            <w:pPr>
              <w:spacing w:after="0"/>
              <w:rPr>
                <w:sz w:val="13"/>
                <w:szCs w:val="13"/>
                <w:color w:val="auto"/>
              </w:rPr>
            </w:pPr>
          </w:p>
        </w:tc>
      </w:tr>
      <w:tr>
        <w:trPr>
          <w:trHeight w:val="20"/>
        </w:trPr>
        <w:tc>
          <w:tcPr>
            <w:tcW w:w="7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600" w:type="dxa"/>
            <w:vAlign w:val="bottom"/>
            <w:tcBorders>
              <w:bottom w:val="single" w:sz="8" w:color="CFF0FC"/>
            </w:tcBorders>
            <w:shd w:val="clear" w:color="auto" w:fill="CFF0FC"/>
          </w:tcPr>
          <w:p>
            <w:pPr>
              <w:ind w:left="280"/>
              <w:spacing w:after="0" w:line="156" w:lineRule="exact"/>
              <w:rPr>
                <w:sz w:val="20"/>
                <w:szCs w:val="20"/>
                <w:color w:val="auto"/>
              </w:rPr>
            </w:pPr>
            <w:r>
              <w:rPr>
                <w:rFonts w:ascii="Times New Roman" w:cs="Times New Roman" w:eastAsia="Times New Roman" w:hAnsi="Times New Roman"/>
                <w:sz w:val="14"/>
                <w:szCs w:val="14"/>
                <w:color w:val="auto"/>
              </w:rPr>
              <w:t>Fair value of assumed Public Warrants exercised</w:t>
            </w:r>
          </w:p>
        </w:tc>
        <w:tc>
          <w:tcPr>
            <w:tcW w:w="220" w:type="dxa"/>
            <w:vAlign w:val="bottom"/>
            <w:tcBorders>
              <w:bottom w:val="single" w:sz="8" w:color="auto"/>
            </w:tcBorders>
            <w:shd w:val="clear" w:color="auto" w:fill="CFF0FC"/>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60,481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56"/>
        </w:trPr>
        <w:tc>
          <w:tcPr>
            <w:tcW w:w="7600" w:type="dxa"/>
            <w:vAlign w:val="bottom"/>
          </w:tcPr>
          <w:p>
            <w:pPr>
              <w:ind w:left="280"/>
              <w:spacing w:after="0" w:line="156" w:lineRule="exact"/>
              <w:rPr>
                <w:sz w:val="20"/>
                <w:szCs w:val="20"/>
                <w:color w:val="auto"/>
              </w:rPr>
            </w:pPr>
            <w:r>
              <w:rPr>
                <w:rFonts w:ascii="Times New Roman" w:cs="Times New Roman" w:eastAsia="Times New Roman" w:hAnsi="Times New Roman"/>
                <w:sz w:val="14"/>
                <w:szCs w:val="14"/>
                <w:color w:val="auto"/>
              </w:rPr>
              <w:t>Contingent consideration related to business acquisition</w:t>
            </w:r>
          </w:p>
        </w:tc>
        <w:tc>
          <w:tcPr>
            <w:tcW w:w="220" w:type="dxa"/>
            <w:vAlign w:val="bottom"/>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320"/>
              <w:spacing w:after="0" w:line="15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200</w:t>
            </w:r>
          </w:p>
        </w:tc>
        <w:tc>
          <w:tcPr>
            <w:tcW w:w="280" w:type="dxa"/>
            <w:vAlign w:val="bottom"/>
          </w:tcPr>
          <w:p>
            <w:pPr>
              <w:spacing w:after="0"/>
              <w:rPr>
                <w:sz w:val="13"/>
                <w:szCs w:val="13"/>
                <w:color w:val="auto"/>
              </w:rPr>
            </w:pPr>
          </w:p>
        </w:tc>
        <w:tc>
          <w:tcPr>
            <w:tcW w:w="220" w:type="dxa"/>
            <w:vAlign w:val="bottom"/>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20"/>
              <w:spacing w:after="0" w:line="156" w:lineRule="exact"/>
              <w:rPr>
                <w:sz w:val="20"/>
                <w:szCs w:val="20"/>
                <w:color w:val="auto"/>
              </w:rPr>
            </w:pPr>
            <w:r>
              <w:rPr>
                <w:rFonts w:ascii="Times New Roman" w:cs="Times New Roman" w:eastAsia="Times New Roman" w:hAnsi="Times New Roman"/>
                <w:sz w:val="14"/>
                <w:szCs w:val="14"/>
                <w:color w:val="auto"/>
              </w:rPr>
              <w:t>—</w:t>
            </w:r>
          </w:p>
        </w:tc>
      </w:tr>
      <w:tr>
        <w:trPr>
          <w:trHeight w:val="20"/>
        </w:trPr>
        <w:tc>
          <w:tcPr>
            <w:tcW w:w="7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60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5"/>
        </w:trPr>
        <w:tc>
          <w:tcPr>
            <w:tcW w:w="7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Cash paid for interest</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61,367</w:t>
            </w:r>
          </w:p>
        </w:tc>
        <w:tc>
          <w:tcPr>
            <w:tcW w:w="30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36,636</w:t>
            </w:r>
          </w:p>
        </w:tc>
        <w:tc>
          <w:tcPr>
            <w:tcW w:w="280" w:type="dxa"/>
            <w:vAlign w:val="bottom"/>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54,980</w:t>
            </w:r>
          </w:p>
        </w:tc>
        <w:tc>
          <w:tcPr>
            <w:tcW w:w="100" w:type="dxa"/>
            <w:vAlign w:val="bottom"/>
          </w:tcPr>
          <w:p>
            <w:pPr>
              <w:spacing w:after="0"/>
              <w:rPr>
                <w:sz w:val="15"/>
                <w:szCs w:val="15"/>
                <w:color w:val="auto"/>
              </w:rPr>
            </w:pPr>
          </w:p>
        </w:tc>
      </w:tr>
      <w:tr>
        <w:trPr>
          <w:trHeight w:val="20"/>
        </w:trPr>
        <w:tc>
          <w:tcPr>
            <w:tcW w:w="7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600" w:type="dxa"/>
            <w:vAlign w:val="bottom"/>
            <w:tcBorders>
              <w:bottom w:val="single" w:sz="8" w:color="CFF0FC"/>
            </w:tcBorders>
            <w:shd w:val="clear" w:color="auto" w:fill="CFF0FC"/>
          </w:tcPr>
          <w:p>
            <w:pPr>
              <w:ind w:left="280"/>
              <w:spacing w:after="0" w:line="156" w:lineRule="exact"/>
              <w:rPr>
                <w:sz w:val="20"/>
                <w:szCs w:val="20"/>
                <w:color w:val="auto"/>
              </w:rPr>
            </w:pPr>
            <w:r>
              <w:rPr>
                <w:rFonts w:ascii="Times New Roman" w:cs="Times New Roman" w:eastAsia="Times New Roman" w:hAnsi="Times New Roman"/>
                <w:sz w:val="14"/>
                <w:szCs w:val="14"/>
                <w:color w:val="auto"/>
              </w:rPr>
              <w:t>Cash paid for income taxes—Net</w:t>
            </w:r>
          </w:p>
        </w:tc>
        <w:tc>
          <w:tcPr>
            <w:tcW w:w="220" w:type="dxa"/>
            <w:vAlign w:val="bottom"/>
            <w:tcBorders>
              <w:bottom w:val="single" w:sz="8" w:color="auto"/>
            </w:tcBorders>
            <w:shd w:val="clear" w:color="auto" w:fill="CFF0FC"/>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42,948</w:t>
            </w:r>
          </w:p>
        </w:tc>
        <w:tc>
          <w:tcPr>
            <w:tcW w:w="3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55,697</w:t>
            </w:r>
          </w:p>
        </w:tc>
        <w:tc>
          <w:tcPr>
            <w:tcW w:w="2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15,233</w:t>
            </w:r>
          </w:p>
        </w:tc>
        <w:tc>
          <w:tcPr>
            <w:tcW w:w="10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-4028440</wp:posOffset>
            </wp:positionV>
            <wp:extent cx="7747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-4028440</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-4028440</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-3350895</wp:posOffset>
            </wp:positionV>
            <wp:extent cx="774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-3350895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-3350895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-1773555</wp:posOffset>
            </wp:positionV>
            <wp:extent cx="774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-1773555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-1773555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-1533525</wp:posOffset>
            </wp:positionV>
            <wp:extent cx="774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-1533525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-1533525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-1070610</wp:posOffset>
            </wp:positionV>
            <wp:extent cx="7747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-1053465</wp:posOffset>
            </wp:positionV>
            <wp:extent cx="774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-1070610</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-1053465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-822325</wp:posOffset>
            </wp:positionV>
            <wp:extent cx="7747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-805180</wp:posOffset>
            </wp:positionV>
            <wp:extent cx="7747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-822325</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-805180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-805180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-548005</wp:posOffset>
            </wp:positionV>
            <wp:extent cx="7747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-530860</wp:posOffset>
            </wp:positionV>
            <wp:extent cx="7747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-548005</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-530860</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-548005</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-530860</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-24765</wp:posOffset>
            </wp:positionV>
            <wp:extent cx="7747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wp:posOffset>
            </wp:positionV>
            <wp:extent cx="7747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-24765</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-7620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64" w:name="page65"/>
    <w:bookmarkEnd w:id="64"/>
    <w:p>
      <w:pPr>
        <w:ind w:left="3500" w:right="3500" w:firstLine="202"/>
        <w:spacing w:after="0" w:line="301" w:lineRule="auto"/>
        <w:tabs>
          <w:tab w:leader="none" w:pos="4092" w:val="left"/>
        </w:tabs>
        <w:numPr>
          <w:ilvl w:val="2"/>
          <w:numId w:val="3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INTELLIGENT SOLUTIONS HOLDINGS INC. NOTES TO CONSOLIDATED FINANCIAL STATEMENTS</w:t>
      </w:r>
    </w:p>
    <w:p>
      <w:pPr>
        <w:spacing w:after="0" w:line="159" w:lineRule="exact"/>
        <w:rPr>
          <w:rFonts w:ascii="Times New Roman" w:cs="Times New Roman" w:eastAsia="Times New Roman" w:hAnsi="Times New Roman"/>
          <w:sz w:val="16"/>
          <w:szCs w:val="16"/>
          <w:b w:val="1"/>
          <w:bCs w:val="1"/>
          <w:color w:val="auto"/>
        </w:rPr>
      </w:pPr>
    </w:p>
    <w:p>
      <w:pPr>
        <w:ind w:left="560" w:hanging="552"/>
        <w:spacing w:after="0"/>
        <w:tabs>
          <w:tab w:leader="none" w:pos="560" w:val="left"/>
        </w:tabs>
        <w:numPr>
          <w:ilvl w:val="0"/>
          <w:numId w:val="3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ORGANIZATION AND NATURE OF OPERATIONS</w:t>
      </w:r>
    </w:p>
    <w:p>
      <w:pPr>
        <w:spacing w:after="0" w:line="128" w:lineRule="exact"/>
        <w:rPr>
          <w:rFonts w:ascii="Times New Roman" w:cs="Times New Roman" w:eastAsia="Times New Roman" w:hAnsi="Times New Roman"/>
          <w:sz w:val="16"/>
          <w:szCs w:val="16"/>
          <w:b w:val="1"/>
          <w:bCs w:val="1"/>
          <w:color w:val="auto"/>
        </w:rPr>
      </w:pPr>
    </w:p>
    <w:p>
      <w:pPr>
        <w:ind w:left="560" w:right="140"/>
        <w:spacing w:after="0" w:line="28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CCC Intelligent Solutions Holdings Inc., a Delaware corporation, is a leading software as a service ("SaaS") platform for the multi-trillion-dollar property and casualty ("P&amp;C") insurance economy powering operations for insurers, repairers, automakers, parts suppliers, lenders and more. CCC's cloud technology connects businesses digitizing mission-critical workflows, commerce and customer experiences.</w:t>
      </w:r>
    </w:p>
    <w:p>
      <w:pPr>
        <w:spacing w:after="0" w:line="69" w:lineRule="exact"/>
        <w:rPr>
          <w:sz w:val="20"/>
          <w:szCs w:val="20"/>
          <w:color w:val="auto"/>
        </w:rPr>
      </w:pPr>
    </w:p>
    <w:p>
      <w:pPr>
        <w:ind w:left="560" w:right="720"/>
        <w:spacing w:after="0" w:line="298" w:lineRule="auto"/>
        <w:rPr>
          <w:sz w:val="20"/>
          <w:szCs w:val="20"/>
          <w:color w:val="auto"/>
        </w:rPr>
      </w:pPr>
      <w:r>
        <w:rPr>
          <w:rFonts w:ascii="Times New Roman" w:cs="Times New Roman" w:eastAsia="Times New Roman" w:hAnsi="Times New Roman"/>
          <w:sz w:val="16"/>
          <w:szCs w:val="16"/>
          <w:color w:val="auto"/>
        </w:rPr>
        <w:t>Our cloud-based SaaS platform connects trading partners, facilitates commerce, and supports mission-critical, artificial intelligence ("AI") enabled digital workflows.</w:t>
      </w:r>
    </w:p>
    <w:p>
      <w:pPr>
        <w:spacing w:after="0" w:line="5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Company is headquartered in Chicago, Illinois. The Company’s primary operations are in the United States (“US”) and it also has operations in China.</w:t>
      </w:r>
    </w:p>
    <w:p>
      <w:pPr>
        <w:spacing w:after="0" w:line="127" w:lineRule="exact"/>
        <w:rPr>
          <w:sz w:val="20"/>
          <w:szCs w:val="20"/>
          <w:color w:val="auto"/>
        </w:rPr>
      </w:pPr>
    </w:p>
    <w:p>
      <w:pPr>
        <w:ind w:left="560" w:right="140"/>
        <w:spacing w:after="0" w:line="272" w:lineRule="auto"/>
        <w:rPr>
          <w:sz w:val="20"/>
          <w:szCs w:val="20"/>
          <w:color w:val="auto"/>
        </w:rPr>
      </w:pPr>
      <w:r>
        <w:rPr>
          <w:rFonts w:ascii="Times New Roman" w:cs="Times New Roman" w:eastAsia="Times New Roman" w:hAnsi="Times New Roman"/>
          <w:sz w:val="16"/>
          <w:szCs w:val="16"/>
          <w:color w:val="auto"/>
        </w:rPr>
        <w:t>The Company was originally incorporated as a Cayman Islands exempted company on July 3, 2020 as a special purpose acquisition company under the name Dragoneer Growth Opportunities Corp ("Dragoneer"). On February 2, 2021, Cypress Holdings Inc., ("CCCIS") entered into the Business Combination Agreement (the "Business Combination Agreement") with Dragoneer. In connection with the closing of the business combination ("Business Combination") (see Note 3), Dragoneer changed its jurisdiction of incorporation by deregistering as an exempted company in the Cayman Islands and continuing and domesticating as a Delaware corporation on July 30, 2021, upon which Dragoneer changed its name to CCC Intelligent Solutions Holdings Inc.</w:t>
      </w:r>
    </w:p>
    <w:p>
      <w:pPr>
        <w:spacing w:after="0" w:line="184" w:lineRule="exact"/>
        <w:rPr>
          <w:sz w:val="20"/>
          <w:szCs w:val="20"/>
          <w:color w:val="auto"/>
        </w:rPr>
      </w:pPr>
    </w:p>
    <w:p>
      <w:pPr>
        <w:ind w:left="560" w:hanging="552"/>
        <w:spacing w:after="0"/>
        <w:tabs>
          <w:tab w:leader="none" w:pos="560" w:val="left"/>
        </w:tabs>
        <w:numPr>
          <w:ilvl w:val="0"/>
          <w:numId w:val="3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w:t>
      </w:r>
    </w:p>
    <w:p>
      <w:pPr>
        <w:spacing w:after="0" w:line="126" w:lineRule="exact"/>
        <w:rPr>
          <w:rFonts w:ascii="Times New Roman" w:cs="Times New Roman" w:eastAsia="Times New Roman" w:hAnsi="Times New Roman"/>
          <w:sz w:val="16"/>
          <w:szCs w:val="16"/>
          <w:b w:val="1"/>
          <w:bCs w:val="1"/>
          <w:color w:val="auto"/>
        </w:rPr>
      </w:pPr>
    </w:p>
    <w:p>
      <w:pPr>
        <w:ind w:left="560" w:right="120"/>
        <w:spacing w:after="0" w:line="28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Basis of Presentation</w:t>
      </w:r>
      <w:r>
        <w:rPr>
          <w:rFonts w:ascii="Times New Roman" w:cs="Times New Roman" w:eastAsia="Times New Roman" w:hAnsi="Times New Roman"/>
          <w:sz w:val="16"/>
          <w:szCs w:val="16"/>
          <w:color w:val="auto"/>
        </w:rPr>
        <w:t>—The consolidated balance sheets as of December 31, 2023 and 2022, the consolidated statements of operations and comprehensive (loss)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income, the consolidated statements of mezzanine equity and stockholders’ equity and the consolidated statements of cash flows for the years ended December 31, 2023, 2022 and 2021, have been prepared in conformity with accounting principles generally accepted in the United States (“GAAP”).</w:t>
      </w:r>
    </w:p>
    <w:p>
      <w:pPr>
        <w:spacing w:after="0" w:line="68" w:lineRule="exact"/>
        <w:rPr>
          <w:rFonts w:ascii="Times New Roman" w:cs="Times New Roman" w:eastAsia="Times New Roman" w:hAnsi="Times New Roman"/>
          <w:sz w:val="16"/>
          <w:szCs w:val="16"/>
          <w:b w:val="1"/>
          <w:bCs w:val="1"/>
          <w:color w:val="auto"/>
        </w:rPr>
      </w:pPr>
    </w:p>
    <w:p>
      <w:pPr>
        <w:ind w:left="560" w:right="80"/>
        <w:spacing w:after="0" w:line="29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Business Combination (see Note 3) was accounted for as a reverse recapitalization in accordance with GAAP, with Dragoneer treated as the acquired company and CCCIS treated as the acquirer.</w:t>
      </w:r>
    </w:p>
    <w:p>
      <w:pPr>
        <w:spacing w:after="0" w:line="56" w:lineRule="exact"/>
        <w:rPr>
          <w:rFonts w:ascii="Times New Roman" w:cs="Times New Roman" w:eastAsia="Times New Roman" w:hAnsi="Times New Roman"/>
          <w:sz w:val="16"/>
          <w:szCs w:val="16"/>
          <w:b w:val="1"/>
          <w:bCs w:val="1"/>
          <w:color w:val="auto"/>
        </w:rPr>
      </w:pPr>
    </w:p>
    <w:p>
      <w:pPr>
        <w:ind w:left="560" w:right="100"/>
        <w:spacing w:after="0" w:line="28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consolidated assets, liabilities, and results of operations prior to the reverse recapitalization are those of CCCIS. The shares and corresponding capital amounts and losses per share, prior to the reverse recapitalization, have been retroactively restated based on shares reflecting the exchange ratio of 1:340.5507 (the “Exchange Ratio”) established in the Business Combination.</w:t>
      </w:r>
    </w:p>
    <w:p>
      <w:pPr>
        <w:spacing w:after="0" w:line="67" w:lineRule="exact"/>
        <w:rPr>
          <w:rFonts w:ascii="Times New Roman" w:cs="Times New Roman" w:eastAsia="Times New Roman" w:hAnsi="Times New Roman"/>
          <w:sz w:val="16"/>
          <w:szCs w:val="16"/>
          <w:b w:val="1"/>
          <w:bCs w:val="1"/>
          <w:color w:val="auto"/>
        </w:rPr>
      </w:pPr>
    </w:p>
    <w:p>
      <w:pPr>
        <w:ind w:left="560" w:right="120"/>
        <w:spacing w:after="0" w:line="27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Basis of Accounting</w:t>
      </w:r>
      <w:r>
        <w:rPr>
          <w:rFonts w:ascii="Times New Roman" w:cs="Times New Roman" w:eastAsia="Times New Roman" w:hAnsi="Times New Roman"/>
          <w:sz w:val="16"/>
          <w:szCs w:val="16"/>
          <w:color w:val="auto"/>
        </w:rPr>
        <w:t>—The accompanying consolidated financial statements are prepared in accordance with GAAP and include the accounts of the Company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its wholly-owned subsidiaries and majority-owned subsidiaries. All intercompany balances and transactions have been eliminated in consolidation. The consolidated financial statements include 100% of the accounts of wholly-owned and majority-owned subsidiaries. The ownership interest of the minority investor is recorded as a non-controlling interest in a subsidiary.</w:t>
      </w:r>
    </w:p>
    <w:p>
      <w:pPr>
        <w:spacing w:after="0" w:line="71" w:lineRule="exact"/>
        <w:rPr>
          <w:rFonts w:ascii="Times New Roman" w:cs="Times New Roman" w:eastAsia="Times New Roman" w:hAnsi="Times New Roman"/>
          <w:sz w:val="16"/>
          <w:szCs w:val="16"/>
          <w:b w:val="1"/>
          <w:bCs w:val="1"/>
          <w:color w:val="auto"/>
        </w:rPr>
      </w:pPr>
    </w:p>
    <w:p>
      <w:pPr>
        <w:ind w:left="560" w:right="40"/>
        <w:spacing w:after="0" w:line="269"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Use of Estimates</w:t>
      </w:r>
      <w:r>
        <w:rPr>
          <w:rFonts w:ascii="Times New Roman" w:cs="Times New Roman" w:eastAsia="Times New Roman" w:hAnsi="Times New Roman"/>
          <w:sz w:val="16"/>
          <w:szCs w:val="16"/>
          <w:color w:val="auto"/>
        </w:rPr>
        <w:t>—The preparation of the consolidated financial statements requires management to make estimates and assumptions that affect the reported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amounts, and the disclosures of contingent amounts in the Company’s consolidated financial statements and the accompanying notes. The Company bases its estimates on historical experience and various other assumptions that it believes to be reasonable under the circumstances. Although the Company regularly assesses its estimates, actual results could differ from management’s estimates if past experience or other assumptions are not substantially accurate. Changes in estimates are recorded in the period in which they become known. Significant estimates in these consolidated financial statements include the estimation of contract transaction prices, the determination of the amortization period for contract assets, the valuation of goodwill and intangible assets, the estimates and assumptions associated with the valuation of the warrant liabilities, and the estimates and assumptions associated with stock incentive plans, including the fair value of common stock prior to the Business Combination.</w:t>
      </w:r>
    </w:p>
    <w:p>
      <w:pPr>
        <w:spacing w:after="0" w:line="78" w:lineRule="exact"/>
        <w:rPr>
          <w:rFonts w:ascii="Times New Roman" w:cs="Times New Roman" w:eastAsia="Times New Roman" w:hAnsi="Times New Roman"/>
          <w:sz w:val="16"/>
          <w:szCs w:val="16"/>
          <w:b w:val="1"/>
          <w:bCs w:val="1"/>
          <w:color w:val="auto"/>
        </w:rPr>
      </w:pPr>
    </w:p>
    <w:p>
      <w:pPr>
        <w:ind w:left="560" w:right="140"/>
        <w:spacing w:after="0" w:line="27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Cash and Cash Equivalents</w:t>
      </w:r>
      <w:r>
        <w:rPr>
          <w:rFonts w:ascii="Times New Roman" w:cs="Times New Roman" w:eastAsia="Times New Roman" w:hAnsi="Times New Roman"/>
          <w:sz w:val="16"/>
          <w:szCs w:val="16"/>
          <w:color w:val="auto"/>
        </w:rPr>
        <w:t>—The Company considers all highly liquid investments, including money market funds, purchased with an original maturity of three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months or less at the date of purchase to be cash and cash equivalents. Cash and cash equivalents are carried at cost, which approximates fair value. The Company believes it is not exposed to any significant credit risk on cash and cash equivalents. While the Company has deposits that exceed federally insured limits at financial institutions, the Company places its cash and cash equivalents in highly rated institutions. The Company has never experienced losses related to these balances.</w:t>
      </w:r>
    </w:p>
    <w:p>
      <w:pPr>
        <w:spacing w:after="0" w:line="74" w:lineRule="exact"/>
        <w:rPr>
          <w:rFonts w:ascii="Times New Roman" w:cs="Times New Roman" w:eastAsia="Times New Roman" w:hAnsi="Times New Roman"/>
          <w:sz w:val="16"/>
          <w:szCs w:val="16"/>
          <w:b w:val="1"/>
          <w:bCs w:val="1"/>
          <w:color w:val="auto"/>
        </w:rPr>
      </w:pPr>
    </w:p>
    <w:p>
      <w:pPr>
        <w:ind w:left="560"/>
        <w:spacing w:after="0" w:line="27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Foreign Currency</w:t>
      </w:r>
      <w:r>
        <w:rPr>
          <w:rFonts w:ascii="Times New Roman" w:cs="Times New Roman" w:eastAsia="Times New Roman" w:hAnsi="Times New Roman"/>
          <w:sz w:val="16"/>
          <w:szCs w:val="16"/>
          <w:color w:val="auto"/>
        </w:rPr>
        <w:t>—The Company’s functional currency is the US dollar, however, for operations located in China, the functional currency is the local currency.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Assets and liabilities of the foreign operations are translated to US dollars at exchange rates in effect at the consolidated balance sheet date, while statement of operations accounts are translated to US dollars at the average exchange rates for the period. Translation gains and losses are recorded and remain as a component of accumulated other comprehensive loss in stockholders’ equity until transactions are settled or the foreign entity is sold or liquidated. Gains and losses resulting from transactions that are denominated in a currency that is not the functional currency are recorded to other income–net, in the consolidated statements of operations and comprehensive (loss) income.</w:t>
      </w:r>
    </w:p>
    <w:p>
      <w:pPr>
        <w:spacing w:after="0" w:line="76" w:lineRule="exact"/>
        <w:rPr>
          <w:rFonts w:ascii="Times New Roman" w:cs="Times New Roman" w:eastAsia="Times New Roman" w:hAnsi="Times New Roman"/>
          <w:sz w:val="16"/>
          <w:szCs w:val="16"/>
          <w:b w:val="1"/>
          <w:bCs w:val="1"/>
          <w:color w:val="auto"/>
        </w:rPr>
      </w:pPr>
    </w:p>
    <w:p>
      <w:pPr>
        <w:ind w:left="560" w:right="300"/>
        <w:spacing w:after="0" w:line="30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Significant Customers and Concentration of Credit Risks</w:t>
      </w:r>
      <w:r>
        <w:rPr>
          <w:rFonts w:ascii="Times New Roman" w:cs="Times New Roman" w:eastAsia="Times New Roman" w:hAnsi="Times New Roman"/>
          <w:sz w:val="16"/>
          <w:szCs w:val="16"/>
          <w:color w:val="auto"/>
        </w:rPr>
        <w:t>—The Company is potentially subject to concentration of credit risk primarily through its accounts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receivable. The Company performs ongoing credit evaluations of its customers and maintains allowances for potential</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65" w:name="page66"/>
    <w:bookmarkEnd w:id="65"/>
    <w:p>
      <w:pPr>
        <w:ind w:right="280"/>
        <w:spacing w:after="0" w:line="298" w:lineRule="auto"/>
        <w:rPr>
          <w:sz w:val="20"/>
          <w:szCs w:val="20"/>
          <w:color w:val="auto"/>
        </w:rPr>
      </w:pPr>
      <w:r>
        <w:rPr>
          <w:rFonts w:ascii="Times New Roman" w:cs="Times New Roman" w:eastAsia="Times New Roman" w:hAnsi="Times New Roman"/>
          <w:sz w:val="16"/>
          <w:szCs w:val="16"/>
          <w:color w:val="auto"/>
        </w:rPr>
        <w:t>credit losses which, when realized, have been within the range of management’s expectations. The Company generally does not require collateral. Credit risk on accounts receivables is minimized as a result of the large and diverse nature of the Company’s customer base.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the years ended December 31, 2023, 2022, and 2021 no single customer represented more than 10% of revenue.</w:t>
      </w:r>
    </w:p>
    <w:p>
      <w:pPr>
        <w:spacing w:after="0" w:line="127" w:lineRule="exact"/>
        <w:rPr>
          <w:sz w:val="20"/>
          <w:szCs w:val="20"/>
          <w:color w:val="auto"/>
        </w:rPr>
      </w:pPr>
    </w:p>
    <w:p>
      <w:pPr>
        <w:ind w:right="60"/>
        <w:spacing w:after="0" w:line="298" w:lineRule="auto"/>
        <w:rPr>
          <w:sz w:val="20"/>
          <w:szCs w:val="20"/>
          <w:color w:val="auto"/>
        </w:rPr>
      </w:pPr>
      <w:r>
        <w:rPr>
          <w:rFonts w:ascii="Times New Roman" w:cs="Times New Roman" w:eastAsia="Times New Roman" w:hAnsi="Times New Roman"/>
          <w:sz w:val="16"/>
          <w:szCs w:val="16"/>
          <w:color w:val="auto"/>
        </w:rPr>
        <w:t>As of December 31, 2023, no customer had an account receivable greater than 10% of accounts receivable. As of December 31, 2022, one customer had an account receivable of 11% of accounts receivable.</w:t>
      </w:r>
    </w:p>
    <w:p>
      <w:pPr>
        <w:spacing w:after="0" w:line="54" w:lineRule="exact"/>
        <w:rPr>
          <w:sz w:val="20"/>
          <w:szCs w:val="20"/>
          <w:color w:val="auto"/>
        </w:rPr>
      </w:pPr>
    </w:p>
    <w:p>
      <w:pPr>
        <w:ind w:right="520"/>
        <w:spacing w:after="0" w:line="301" w:lineRule="auto"/>
        <w:rPr>
          <w:sz w:val="20"/>
          <w:szCs w:val="20"/>
          <w:color w:val="auto"/>
        </w:rPr>
      </w:pPr>
      <w:r>
        <w:rPr>
          <w:rFonts w:ascii="Times New Roman" w:cs="Times New Roman" w:eastAsia="Times New Roman" w:hAnsi="Times New Roman"/>
          <w:sz w:val="16"/>
          <w:szCs w:val="16"/>
          <w:b w:val="1"/>
          <w:bCs w:val="1"/>
          <w:color w:val="auto"/>
        </w:rPr>
        <w:t>Revenue Recognition</w:t>
      </w:r>
      <w:r>
        <w:rPr>
          <w:rFonts w:ascii="Times New Roman" w:cs="Times New Roman" w:eastAsia="Times New Roman" w:hAnsi="Times New Roman"/>
          <w:sz w:val="16"/>
          <w:szCs w:val="16"/>
          <w:color w:val="auto"/>
        </w:rPr>
        <w:t>—The Company’s revenue recognition policy follows guidance from Accounting Standards Codification ("ASC") 606,</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color w:val="auto"/>
        </w:rPr>
        <w:t>Revenue from</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color w:val="auto"/>
        </w:rPr>
        <w:t>Contracts with Customers.</w:t>
      </w:r>
    </w:p>
    <w:p>
      <w:pPr>
        <w:spacing w:after="0" w:line="54"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6"/>
          <w:szCs w:val="16"/>
          <w:color w:val="auto"/>
        </w:rPr>
        <w:t>The Company generates revenue from contracts that are generally billed either on a monthly subscription or transactional basis. Other revenue primarily consists of professional services and other non-software services revenue that is generally transaction-based (where a fee per transaction is charged). Revenues are recognized as control of these services is transferred to customers, in an amount that reflects the consideration the Company expects to be entitled to in exchange for those services.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determines revenue recognition based on the application of the following steps:</w:t>
      </w:r>
    </w:p>
    <w:p>
      <w:pPr>
        <w:spacing w:after="0" w:line="125" w:lineRule="exact"/>
        <w:rPr>
          <w:sz w:val="20"/>
          <w:szCs w:val="20"/>
          <w:color w:val="auto"/>
        </w:rPr>
      </w:pPr>
    </w:p>
    <w:p>
      <w:pPr>
        <w:ind w:left="560" w:hanging="558"/>
        <w:spacing w:after="0"/>
        <w:tabs>
          <w:tab w:leader="none" w:pos="5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Identification of the contract, or contracts, with a customer</w:t>
      </w:r>
    </w:p>
    <w:p>
      <w:pPr>
        <w:spacing w:after="0" w:line="126" w:lineRule="exact"/>
        <w:rPr>
          <w:rFonts w:ascii="Times New Roman" w:cs="Times New Roman" w:eastAsia="Times New Roman" w:hAnsi="Times New Roman"/>
          <w:sz w:val="16"/>
          <w:szCs w:val="16"/>
          <w:color w:val="auto"/>
        </w:rPr>
      </w:pPr>
    </w:p>
    <w:p>
      <w:pPr>
        <w:ind w:left="560" w:hanging="558"/>
        <w:spacing w:after="0"/>
        <w:tabs>
          <w:tab w:leader="none" w:pos="5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Identification of the performance obligation(s) in the contract</w:t>
      </w:r>
    </w:p>
    <w:p>
      <w:pPr>
        <w:spacing w:after="0" w:line="126" w:lineRule="exact"/>
        <w:rPr>
          <w:rFonts w:ascii="Times New Roman" w:cs="Times New Roman" w:eastAsia="Times New Roman" w:hAnsi="Times New Roman"/>
          <w:sz w:val="16"/>
          <w:szCs w:val="16"/>
          <w:color w:val="auto"/>
        </w:rPr>
      </w:pPr>
    </w:p>
    <w:p>
      <w:pPr>
        <w:ind w:left="560" w:hanging="558"/>
        <w:spacing w:after="0"/>
        <w:tabs>
          <w:tab w:leader="none" w:pos="5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Determination of the transaction price</w:t>
      </w:r>
    </w:p>
    <w:p>
      <w:pPr>
        <w:spacing w:after="0" w:line="126" w:lineRule="exact"/>
        <w:rPr>
          <w:rFonts w:ascii="Times New Roman" w:cs="Times New Roman" w:eastAsia="Times New Roman" w:hAnsi="Times New Roman"/>
          <w:sz w:val="16"/>
          <w:szCs w:val="16"/>
          <w:color w:val="auto"/>
        </w:rPr>
      </w:pPr>
    </w:p>
    <w:p>
      <w:pPr>
        <w:ind w:left="560" w:hanging="558"/>
        <w:spacing w:after="0"/>
        <w:tabs>
          <w:tab w:leader="none" w:pos="5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Allocation of the transaction price to the performance obligation(s) in the contract</w:t>
      </w:r>
    </w:p>
    <w:p>
      <w:pPr>
        <w:spacing w:after="0" w:line="126" w:lineRule="exact"/>
        <w:rPr>
          <w:rFonts w:ascii="Times New Roman" w:cs="Times New Roman" w:eastAsia="Times New Roman" w:hAnsi="Times New Roman"/>
          <w:sz w:val="16"/>
          <w:szCs w:val="16"/>
          <w:color w:val="auto"/>
        </w:rPr>
      </w:pPr>
    </w:p>
    <w:p>
      <w:pPr>
        <w:ind w:left="560" w:hanging="558"/>
        <w:spacing w:after="0"/>
        <w:tabs>
          <w:tab w:leader="none" w:pos="5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Recognition of revenue when, or as a performance obligation is satisfied</w:t>
      </w:r>
    </w:p>
    <w:p>
      <w:pPr>
        <w:spacing w:after="0" w:line="127" w:lineRule="exact"/>
        <w:rPr>
          <w:sz w:val="20"/>
          <w:szCs w:val="20"/>
          <w:color w:val="auto"/>
        </w:rPr>
      </w:pPr>
    </w:p>
    <w:p>
      <w:pPr>
        <w:ind w:right="240"/>
        <w:spacing w:after="0" w:line="276" w:lineRule="auto"/>
        <w:rPr>
          <w:sz w:val="20"/>
          <w:szCs w:val="20"/>
          <w:color w:val="auto"/>
        </w:rPr>
      </w:pPr>
      <w:r>
        <w:rPr>
          <w:rFonts w:ascii="Times New Roman" w:cs="Times New Roman" w:eastAsia="Times New Roman" w:hAnsi="Times New Roman"/>
          <w:sz w:val="16"/>
          <w:szCs w:val="16"/>
          <w:i w:val="1"/>
          <w:iCs w:val="1"/>
          <w:color w:val="auto"/>
        </w:rPr>
        <w:t>Software Subscription Revenues</w:t>
      </w:r>
      <w:r>
        <w:rPr>
          <w:rFonts w:ascii="Times New Roman" w:cs="Times New Roman" w:eastAsia="Times New Roman" w:hAnsi="Times New Roman"/>
          <w:sz w:val="16"/>
          <w:szCs w:val="16"/>
          <w:color w:val="auto"/>
        </w:rPr>
        <w:t>—Software services are hosted and provide customers with the right to use the hosted software over the contract period without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taking possession of the software and are generally billed on either a monthly subscription or transactional basis. Revenues related to services billed on a subscription basis are recognized ratably over the contract period as this is the time period over which services are transferred to the customer, generally between three and five years.</w:t>
      </w:r>
    </w:p>
    <w:p>
      <w:pPr>
        <w:spacing w:after="0" w:line="74"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6"/>
          <w:szCs w:val="16"/>
          <w:color w:val="auto"/>
        </w:rPr>
        <w:t>Revenues from subscription services represent a stand-ready obligation to provide access to the Company’s platform. As each day of providing services is substantially the same and the customer simultaneously receives and consumes the benefits as access is provided, subscription arrangements include a series of distinct services. The Company may provide certain of its customers with implementation activities such as basic setup, installation and initial training that the Company must undertake to fulfill the contract. These are considered fulfillment activities that do not transfer the service to the customer.</w:t>
      </w:r>
    </w:p>
    <w:p>
      <w:pPr>
        <w:spacing w:after="0" w:line="75" w:lineRule="exact"/>
        <w:rPr>
          <w:sz w:val="20"/>
          <w:szCs w:val="20"/>
          <w:color w:val="auto"/>
        </w:rPr>
      </w:pPr>
    </w:p>
    <w:p>
      <w:pPr>
        <w:ind w:right="220"/>
        <w:spacing w:after="0" w:line="272" w:lineRule="auto"/>
        <w:rPr>
          <w:sz w:val="20"/>
          <w:szCs w:val="20"/>
          <w:color w:val="auto"/>
        </w:rPr>
      </w:pPr>
      <w:r>
        <w:rPr>
          <w:rFonts w:ascii="Times New Roman" w:cs="Times New Roman" w:eastAsia="Times New Roman" w:hAnsi="Times New Roman"/>
          <w:sz w:val="16"/>
          <w:szCs w:val="16"/>
          <w:color w:val="auto"/>
        </w:rPr>
        <w:t>For contracts with fixed and variable consideration, to the extent that customers’ usage exceeds the committed contracted amounts under their subscriptions, they are charged for their incremental usage. In addition to overage fees, consideration may vary due to discounts, incentives, and potential service level credits or contractual penalties. For such variable consideration, the Company includes an estimate of the most likely amount it expects to receive for the total transaction price if it is probable that a significant reversal of cumulative revenue recognized will not occur. When customers’ usage falls below the committed contracted amounts, the customer does not receive any credits or refunds for the shortfall.</w:t>
      </w:r>
    </w:p>
    <w:p>
      <w:pPr>
        <w:spacing w:after="0" w:line="78" w:lineRule="exact"/>
        <w:rPr>
          <w:sz w:val="20"/>
          <w:szCs w:val="20"/>
          <w:color w:val="auto"/>
        </w:rPr>
      </w:pPr>
    </w:p>
    <w:p>
      <w:pPr>
        <w:jc w:val="both"/>
        <w:ind w:right="140"/>
        <w:spacing w:after="0" w:line="298" w:lineRule="auto"/>
        <w:rPr>
          <w:sz w:val="20"/>
          <w:szCs w:val="20"/>
          <w:color w:val="auto"/>
        </w:rPr>
      </w:pPr>
      <w:r>
        <w:rPr>
          <w:rFonts w:ascii="Times New Roman" w:cs="Times New Roman" w:eastAsia="Times New Roman" w:hAnsi="Times New Roman"/>
          <w:sz w:val="16"/>
          <w:szCs w:val="16"/>
          <w:color w:val="auto"/>
        </w:rPr>
        <w:t>For contracts where fees are solely based on transaction volume, the amount invoiced corresponds directly with the value provided to the customer, and revenue is recognized when invoiced using the as-invoiced practical expedient.</w:t>
      </w:r>
    </w:p>
    <w:p>
      <w:pPr>
        <w:spacing w:after="0" w:line="54" w:lineRule="exact"/>
        <w:rPr>
          <w:sz w:val="20"/>
          <w:szCs w:val="20"/>
          <w:color w:val="auto"/>
        </w:rPr>
      </w:pPr>
    </w:p>
    <w:p>
      <w:pPr>
        <w:ind w:right="100"/>
        <w:spacing w:after="0" w:line="301" w:lineRule="auto"/>
        <w:rPr>
          <w:sz w:val="20"/>
          <w:szCs w:val="20"/>
          <w:color w:val="auto"/>
        </w:rPr>
      </w:pPr>
      <w:r>
        <w:rPr>
          <w:rFonts w:ascii="Times New Roman" w:cs="Times New Roman" w:eastAsia="Times New Roman" w:hAnsi="Times New Roman"/>
          <w:sz w:val="16"/>
          <w:szCs w:val="16"/>
          <w:i w:val="1"/>
          <w:iCs w:val="1"/>
          <w:color w:val="auto"/>
        </w:rPr>
        <w:t>Other Revenue</w:t>
      </w:r>
      <w:r>
        <w:rPr>
          <w:rFonts w:ascii="Times New Roman" w:cs="Times New Roman" w:eastAsia="Times New Roman" w:hAnsi="Times New Roman"/>
          <w:sz w:val="16"/>
          <w:szCs w:val="16"/>
          <w:color w:val="auto"/>
        </w:rPr>
        <w:t>—Other revenues consist of professional services and other non-software services and are recognized over time as the services are performed. Other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revenues are generally invoiced monthly in arrears.</w:t>
      </w:r>
    </w:p>
    <w:p>
      <w:pPr>
        <w:spacing w:after="0" w:line="54" w:lineRule="exact"/>
        <w:rPr>
          <w:sz w:val="20"/>
          <w:szCs w:val="20"/>
          <w:color w:val="auto"/>
        </w:rPr>
      </w:pPr>
    </w:p>
    <w:p>
      <w:pPr>
        <w:jc w:val="both"/>
        <w:ind w:right="140"/>
        <w:spacing w:after="0" w:line="275" w:lineRule="auto"/>
        <w:rPr>
          <w:sz w:val="20"/>
          <w:szCs w:val="20"/>
          <w:color w:val="auto"/>
        </w:rPr>
      </w:pPr>
      <w:r>
        <w:rPr>
          <w:rFonts w:ascii="Times New Roman" w:cs="Times New Roman" w:eastAsia="Times New Roman" w:hAnsi="Times New Roman"/>
          <w:sz w:val="16"/>
          <w:szCs w:val="16"/>
          <w:color w:val="auto"/>
        </w:rPr>
        <w:t>Revenues related to such services that are billed on a transactional basis are recognized when the transaction for the related service occurs. Transaction revenue is primarily comprised of fees for services applied to the volume of transactions. These are typically based on a per-unit rate and are invoiced for the same period in which the transactions were processed and as the performance obligation is satisfied. For contracts with transaction fees, the amount invoiced corresponds directly with the value provided to the customer, and revenue is recognized when invoiced using the as-invoiced practical expedient.</w:t>
      </w:r>
    </w:p>
    <w:p>
      <w:pPr>
        <w:spacing w:after="0" w:line="7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i w:val="1"/>
          <w:iCs w:val="1"/>
          <w:color w:val="auto"/>
        </w:rPr>
        <w:t>Contracts with Multiple Performance Obligations</w:t>
      </w:r>
      <w:r>
        <w:rPr>
          <w:rFonts w:ascii="Times New Roman" w:cs="Times New Roman" w:eastAsia="Times New Roman" w:hAnsi="Times New Roman"/>
          <w:sz w:val="16"/>
          <w:szCs w:val="16"/>
          <w:color w:val="auto"/>
        </w:rPr>
        <w:t>—The Company’s contracts with customers can include access to different software applications such as CCC</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workflow, estimating, valuation and analytics, each of which is its own performance obligation. These additional services are either sold on a standalone basis or could be used on their own with readily available resources. For these contracts, the Company accounts for individual performance obligations separately, if they are distinct. The transaction price is allocated to the separate performance obligations on a relative standalone selling price basis. The standalone selling price for distinct performance obligations is generally based on directly observable pricing. In instances where standalone selling price is not directly observable, the Company determines standalone selling price based on overall pricing objectives, which take into consideration observable data, market conditions and entity-specific factors.</w:t>
      </w:r>
    </w:p>
    <w:p>
      <w:pPr>
        <w:spacing w:after="0" w:line="28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6"/>
          <w:szCs w:val="16"/>
          <w:color w:val="auto"/>
        </w:rPr>
        <w:t>The Company may occasionally recognize an adjustment in revenue in the current period for performance obligations partially or fully satisfied in the previous periods resulting from changes in estimates for the transaction price, including any changes to the Company’s assessment of whether an estimate of variable consideration is constrained. For the years ended December 31, 2023, 2022 and 2021, the impact on revenue recognized in the current period, from performance obligations partially or fully satisfied in the previous period, was not significant.</w:t>
      </w:r>
    </w:p>
    <w:p>
      <w:pPr>
        <w:spacing w:after="0" w:line="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468630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880" w:top="1098" w:right="339" w:bottom="1440" w:gutter="0" w:footer="0" w:header="0"/>
        </w:sectPr>
      </w:pPr>
    </w:p>
    <w:bookmarkStart w:id="66" w:name="page67"/>
    <w:bookmarkEnd w:id="66"/>
    <w:p>
      <w:pPr>
        <w:ind w:right="180"/>
        <w:spacing w:after="0" w:line="282" w:lineRule="auto"/>
        <w:rPr>
          <w:sz w:val="20"/>
          <w:szCs w:val="20"/>
          <w:color w:val="auto"/>
        </w:rPr>
      </w:pPr>
      <w:r>
        <w:rPr>
          <w:rFonts w:ascii="Times New Roman" w:cs="Times New Roman" w:eastAsia="Times New Roman" w:hAnsi="Times New Roman"/>
          <w:sz w:val="16"/>
          <w:szCs w:val="16"/>
          <w:i w:val="1"/>
          <w:iCs w:val="1"/>
          <w:color w:val="auto"/>
        </w:rPr>
        <w:t>Contract Liabilities</w:t>
      </w:r>
      <w:r>
        <w:rPr>
          <w:rFonts w:ascii="Times New Roman" w:cs="Times New Roman" w:eastAsia="Times New Roman" w:hAnsi="Times New Roman"/>
          <w:sz w:val="16"/>
          <w:szCs w:val="16"/>
          <w:color w:val="auto"/>
        </w:rPr>
        <w:t>—Contract liabilities consist of deferred revenue and include customer billings in advance of revenues being recognized from subscription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contracts and professional services. Deferred revenue that is expected to be recognized during the succeeding twelve-month period is recorded as current, and the remaining portion is recorded as noncurrent and included within other liabilities on the consolidated balance sheets.</w:t>
      </w:r>
    </w:p>
    <w:p>
      <w:pPr>
        <w:spacing w:after="0" w:line="67" w:lineRule="exact"/>
        <w:rPr>
          <w:sz w:val="20"/>
          <w:szCs w:val="20"/>
          <w:color w:val="auto"/>
        </w:rPr>
      </w:pPr>
    </w:p>
    <w:p>
      <w:pPr>
        <w:ind w:right="260"/>
        <w:spacing w:after="0" w:line="276" w:lineRule="auto"/>
        <w:rPr>
          <w:sz w:val="20"/>
          <w:szCs w:val="20"/>
          <w:color w:val="auto"/>
        </w:rPr>
      </w:pPr>
      <w:r>
        <w:rPr>
          <w:rFonts w:ascii="Times New Roman" w:cs="Times New Roman" w:eastAsia="Times New Roman" w:hAnsi="Times New Roman"/>
          <w:sz w:val="16"/>
          <w:szCs w:val="16"/>
          <w:i w:val="1"/>
          <w:iCs w:val="1"/>
          <w:color w:val="auto"/>
        </w:rPr>
        <w:t>Costs to Obtain and Fulfill the Contract</w:t>
      </w:r>
      <w:r>
        <w:rPr>
          <w:rFonts w:ascii="Times New Roman" w:cs="Times New Roman" w:eastAsia="Times New Roman" w:hAnsi="Times New Roman"/>
          <w:sz w:val="16"/>
          <w:szCs w:val="16"/>
          <w:color w:val="auto"/>
        </w:rPr>
        <w:t>—The Company defers costs that are considered to be incremental and recoverable costs of obtaining a contract with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customer, including sales commissions. Costs to fulfill contracts are capitalized when such costs are direct and related to implementation activities for hosted software solutions. Capitalized costs to obtain a contract and costs to fulfill a contract are generally amortized over a period between three and five years, which represents the expected period of benefit of these costs and corresponds to the contract period.</w:t>
      </w:r>
    </w:p>
    <w:p>
      <w:pPr>
        <w:spacing w:after="0" w:line="74" w:lineRule="exact"/>
        <w:rPr>
          <w:sz w:val="20"/>
          <w:szCs w:val="20"/>
          <w:color w:val="auto"/>
        </w:rPr>
      </w:pPr>
    </w:p>
    <w:p>
      <w:pPr>
        <w:ind w:right="640"/>
        <w:spacing w:after="0" w:line="298" w:lineRule="auto"/>
        <w:rPr>
          <w:sz w:val="20"/>
          <w:szCs w:val="20"/>
          <w:color w:val="auto"/>
        </w:rPr>
      </w:pPr>
      <w:r>
        <w:rPr>
          <w:rFonts w:ascii="Times New Roman" w:cs="Times New Roman" w:eastAsia="Times New Roman" w:hAnsi="Times New Roman"/>
          <w:sz w:val="16"/>
          <w:szCs w:val="16"/>
          <w:color w:val="auto"/>
        </w:rPr>
        <w:t>In instances where the contract term is significantly different than our general contract terms of between three and five years, costs to obtain and fulfill are amortized over the contract term which the Company believes best reflects the period of benefit of these costs.</w:t>
      </w:r>
    </w:p>
    <w:p>
      <w:pPr>
        <w:spacing w:after="0" w:line="54"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6"/>
          <w:szCs w:val="16"/>
          <w:b w:val="1"/>
          <w:bCs w:val="1"/>
          <w:color w:val="auto"/>
        </w:rPr>
        <w:t>Cost of Revenues</w:t>
      </w:r>
      <w:r>
        <w:rPr>
          <w:rFonts w:ascii="Times New Roman" w:cs="Times New Roman" w:eastAsia="Times New Roman" w:hAnsi="Times New Roman"/>
          <w:sz w:val="16"/>
          <w:szCs w:val="16"/>
          <w:color w:val="auto"/>
        </w:rPr>
        <w:t>—Cost of revenues is primarily composed of personnel costs, including stock-based compensation, and costs of external resources used in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delivery of services to customers, including software configuration, integration services, customer support activities, third party costs related to hosting the Company’s software for its customers, internal support of production infrastructure, IT security costs, depreciation expense, cost of software production, and data licensing and royalty fees paid to third parties. Cost of revenues also includes amortization of internal use software, including capitalized development costs, and amortization and impairment of acquired technologies.</w:t>
      </w:r>
    </w:p>
    <w:p>
      <w:pPr>
        <w:spacing w:after="0" w:line="74"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6"/>
          <w:szCs w:val="16"/>
          <w:b w:val="1"/>
          <w:bCs w:val="1"/>
          <w:color w:val="auto"/>
        </w:rPr>
        <w:t>Research and Development</w:t>
      </w:r>
      <w:r>
        <w:rPr>
          <w:rFonts w:ascii="Times New Roman" w:cs="Times New Roman" w:eastAsia="Times New Roman" w:hAnsi="Times New Roman"/>
          <w:sz w:val="16"/>
          <w:szCs w:val="16"/>
          <w:color w:val="auto"/>
        </w:rPr>
        <w:t>—Research and development expenses consist primarily of personnel-related costs, including stock-based compensation, and costs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external development resources involved in the engineering, design and development of new solutions, as well as expenses associated with significant ongoing improvements to existing solutions. Research and development expenses also include costs for certain IT expenses. Research and development costs, other than software development costs qualifying for capitalization, are expensed as incurred</w:t>
      </w:r>
    </w:p>
    <w:p>
      <w:pPr>
        <w:spacing w:after="0" w:line="7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6"/>
          <w:szCs w:val="16"/>
          <w:b w:val="1"/>
          <w:bCs w:val="1"/>
          <w:color w:val="auto"/>
        </w:rPr>
        <w:t>Selling and Marketing</w:t>
      </w:r>
      <w:r>
        <w:rPr>
          <w:rFonts w:ascii="Times New Roman" w:cs="Times New Roman" w:eastAsia="Times New Roman" w:hAnsi="Times New Roman"/>
          <w:sz w:val="16"/>
          <w:szCs w:val="16"/>
          <w:color w:val="auto"/>
        </w:rPr>
        <w:t>—Selling and marketing expenses consist primarily of personnel-related costs for our sales and marketing functions, including sales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commissions and stock-based compensation. Additional expenses include advertising costs, marketing costs and event costs, including the Company’s annual industry conference.</w:t>
      </w:r>
    </w:p>
    <w:p>
      <w:pPr>
        <w:spacing w:after="0" w:line="69" w:lineRule="exact"/>
        <w:rPr>
          <w:sz w:val="20"/>
          <w:szCs w:val="20"/>
          <w:color w:val="auto"/>
        </w:rPr>
      </w:pPr>
    </w:p>
    <w:p>
      <w:pPr>
        <w:ind w:right="120"/>
        <w:spacing w:after="0" w:line="298" w:lineRule="auto"/>
        <w:rPr>
          <w:sz w:val="20"/>
          <w:szCs w:val="20"/>
          <w:color w:val="auto"/>
        </w:rPr>
      </w:pPr>
      <w:r>
        <w:rPr>
          <w:rFonts w:ascii="Times New Roman" w:cs="Times New Roman" w:eastAsia="Times New Roman" w:hAnsi="Times New Roman"/>
          <w:sz w:val="16"/>
          <w:szCs w:val="16"/>
          <w:color w:val="auto"/>
        </w:rPr>
        <w:t>The Company expenses advertising and other promotional expenditures as incurred. Advertising expenses were $1.5 million, $1.1 million and $1.1 million for the years ended December 31, 2023, 2022 and 2021, respectively.</w:t>
      </w:r>
    </w:p>
    <w:p>
      <w:pPr>
        <w:spacing w:after="0" w:line="5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6"/>
          <w:szCs w:val="16"/>
          <w:b w:val="1"/>
          <w:bCs w:val="1"/>
          <w:color w:val="auto"/>
        </w:rPr>
        <w:t>General and Administrative</w:t>
      </w:r>
      <w:r>
        <w:rPr>
          <w:rFonts w:ascii="Times New Roman" w:cs="Times New Roman" w:eastAsia="Times New Roman" w:hAnsi="Times New Roman"/>
          <w:sz w:val="16"/>
          <w:szCs w:val="16"/>
          <w:color w:val="auto"/>
        </w:rPr>
        <w:t>—General and administrative expenses consist primarily of personnel-related costs, including stock-based compensation, for our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executive management and administrative employees, including finance and accounting, human resources, internal systems IT, facilities and legal functions. Additional expenses include professional service fees, insurance premiums, and other corporate expenses that are not allocated to the above expense categories.</w:t>
      </w:r>
    </w:p>
    <w:p>
      <w:pPr>
        <w:spacing w:after="0" w:line="67" w:lineRule="exact"/>
        <w:rPr>
          <w:sz w:val="20"/>
          <w:szCs w:val="20"/>
          <w:color w:val="auto"/>
        </w:rPr>
      </w:pPr>
    </w:p>
    <w:p>
      <w:pPr>
        <w:ind w:right="140"/>
        <w:spacing w:after="0" w:line="301" w:lineRule="auto"/>
        <w:rPr>
          <w:sz w:val="20"/>
          <w:szCs w:val="20"/>
          <w:color w:val="auto"/>
        </w:rPr>
      </w:pPr>
      <w:r>
        <w:rPr>
          <w:rFonts w:ascii="Times New Roman" w:cs="Times New Roman" w:eastAsia="Times New Roman" w:hAnsi="Times New Roman"/>
          <w:sz w:val="16"/>
          <w:szCs w:val="16"/>
          <w:b w:val="1"/>
          <w:bCs w:val="1"/>
          <w:color w:val="auto"/>
        </w:rPr>
        <w:t>Amortization of Intangible Assets</w:t>
      </w:r>
      <w:r>
        <w:rPr>
          <w:rFonts w:ascii="Times New Roman" w:cs="Times New Roman" w:eastAsia="Times New Roman" w:hAnsi="Times New Roman"/>
          <w:sz w:val="16"/>
          <w:szCs w:val="16"/>
          <w:color w:val="auto"/>
        </w:rPr>
        <w:t>—Amortization of intangible assets consists of the capitalized costs of intangible assets. These intangible assets are amortized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on a straight-line basis over their estimated useful lives (see Note 12).</w:t>
      </w:r>
    </w:p>
    <w:p>
      <w:pPr>
        <w:spacing w:after="0" w:line="52" w:lineRule="exact"/>
        <w:rPr>
          <w:sz w:val="20"/>
          <w:szCs w:val="20"/>
          <w:color w:val="auto"/>
        </w:rPr>
      </w:pPr>
    </w:p>
    <w:p>
      <w:pPr>
        <w:jc w:val="both"/>
        <w:ind w:right="40"/>
        <w:spacing w:after="0" w:line="301" w:lineRule="auto"/>
        <w:rPr>
          <w:sz w:val="20"/>
          <w:szCs w:val="20"/>
          <w:color w:val="auto"/>
        </w:rPr>
      </w:pPr>
      <w:r>
        <w:rPr>
          <w:rFonts w:ascii="Times New Roman" w:cs="Times New Roman" w:eastAsia="Times New Roman" w:hAnsi="Times New Roman"/>
          <w:sz w:val="16"/>
          <w:szCs w:val="16"/>
          <w:b w:val="1"/>
          <w:bCs w:val="1"/>
          <w:color w:val="auto"/>
        </w:rPr>
        <w:t>Goodwill and Intangible Asset Impairments</w:t>
      </w:r>
      <w:r>
        <w:rPr>
          <w:rFonts w:ascii="Times New Roman" w:cs="Times New Roman" w:eastAsia="Times New Roman" w:hAnsi="Times New Roman"/>
          <w:sz w:val="16"/>
          <w:szCs w:val="16"/>
          <w:color w:val="auto"/>
        </w:rPr>
        <w:t>—Goodwill and intangible asset impairments includes the goodwill and intangible asset impairment charges specific</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 the Company's China reporting unit (see Note 12).</w:t>
      </w:r>
    </w:p>
    <w:p>
      <w:pPr>
        <w:spacing w:after="0" w:line="52" w:lineRule="exact"/>
        <w:rPr>
          <w:sz w:val="20"/>
          <w:szCs w:val="20"/>
          <w:color w:val="auto"/>
        </w:rPr>
      </w:pPr>
    </w:p>
    <w:p>
      <w:pPr>
        <w:jc w:val="both"/>
        <w:ind w:right="60"/>
        <w:spacing w:after="0" w:line="276" w:lineRule="auto"/>
        <w:rPr>
          <w:sz w:val="20"/>
          <w:szCs w:val="20"/>
          <w:color w:val="auto"/>
        </w:rPr>
      </w:pPr>
      <w:r>
        <w:rPr>
          <w:rFonts w:ascii="Times New Roman" w:cs="Times New Roman" w:eastAsia="Times New Roman" w:hAnsi="Times New Roman"/>
          <w:sz w:val="16"/>
          <w:szCs w:val="16"/>
          <w:b w:val="1"/>
          <w:bCs w:val="1"/>
          <w:color w:val="auto"/>
        </w:rPr>
        <w:t>Stock-Based Compensation</w:t>
      </w:r>
      <w:r>
        <w:rPr>
          <w:rFonts w:ascii="Times New Roman" w:cs="Times New Roman" w:eastAsia="Times New Roman" w:hAnsi="Times New Roman"/>
          <w:sz w:val="16"/>
          <w:szCs w:val="16"/>
          <w:color w:val="auto"/>
        </w:rPr>
        <w:t>—The Company’s stock-based compensation plans are described in Note 21. The Company accounts for stock-based payment awards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based on the grant date fair value. The incremental fair value of modifications to stock-based payment awards is estimated at the date of modification. Stock-based payment awards that are settled in cash are accounted for as liabilities. The Company recognizes stock-based compensation expense for only the portion of awards expected to vest, based on an estimated forfeiture rate.</w:t>
      </w:r>
    </w:p>
    <w:p>
      <w:pPr>
        <w:spacing w:after="0" w:line="7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6"/>
          <w:szCs w:val="16"/>
          <w:color w:val="auto"/>
        </w:rPr>
        <w:t>The Company recognizes stock-based compensation expense for time-based awards on a straight-line basis over the requisite service period, which is generally the vesting period of the respective awards. Stock-based compensation expense for performance-based awards with a market condition is recognized over the estimated service period, regardless of whether the market condition is satisfied. Stock-based compensation expense for performance-based awards with a market condition, when the market condition is a liquidity event or change in control, is not recognized until the performance condition is probable of occurring.</w:t>
      </w:r>
    </w:p>
    <w:p>
      <w:pPr>
        <w:spacing w:after="0" w:line="75"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6"/>
          <w:szCs w:val="16"/>
          <w:color w:val="auto"/>
        </w:rPr>
        <w:t>The fair value of RSUs with only a time-based vesting component or a performance-based vesting component is determined using the quoted price of our common stock on the date of grant. As of each reporting period, we estimate the number of RSUs with a performance-based vesting component that are expected to vest based on our current estimate of performance compared to the target metrics and record a cumulative-effect adjustment to stock-based compensation expense when necessary. For stock-based awards that are accounted for as liabilities, we remeasure the fair value of the associated liability at each reporting date through settlement using the Black-Scholes option pricing model and recognize the adjustment as stock-based compensation expense.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fair value of the Company’s stock options with only a time-based component is estimated using the Black-Scholes option pricing model.</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fair value of the Company’s performance-based awards with a market condition is estimated using a Monte Carlo simulation model.</w:t>
      </w:r>
    </w:p>
    <w:p>
      <w:pPr>
        <w:spacing w:after="0" w:line="127"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6"/>
          <w:szCs w:val="16"/>
          <w:color w:val="auto"/>
        </w:rPr>
        <w:t>Stock-based compensation expense related to purchase rights issued under the CCC Intelligent Solutions Holdings Inc. 2021 Employee Stock Purchase Plan ("ESPP") is based on the Black-Scholes option pricing model's fair value of the estimated number of awards as of the beginning of the applicable offering period. Stock-based compensation expense is recognized using the straight-line method over the applicable offering period.</w:t>
      </w:r>
    </w:p>
    <w:p>
      <w:pPr>
        <w:spacing w:after="0" w:line="1"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468630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880" w:top="1096" w:right="379" w:bottom="1440" w:gutter="0" w:footer="0" w:header="0"/>
        </w:sectPr>
      </w:pPr>
    </w:p>
    <w:bookmarkStart w:id="67" w:name="page68"/>
    <w:bookmarkEnd w:id="67"/>
    <w:p>
      <w:pPr>
        <w:ind w:right="120"/>
        <w:spacing w:after="0" w:line="298" w:lineRule="auto"/>
        <w:rPr>
          <w:sz w:val="20"/>
          <w:szCs w:val="20"/>
          <w:color w:val="auto"/>
        </w:rPr>
      </w:pPr>
      <w:r>
        <w:rPr>
          <w:rFonts w:ascii="Times New Roman" w:cs="Times New Roman" w:eastAsia="Times New Roman" w:hAnsi="Times New Roman"/>
          <w:sz w:val="16"/>
          <w:szCs w:val="16"/>
          <w:color w:val="auto"/>
        </w:rPr>
        <w:t>The inputs and assumptions utilized under these methods require judgments and estimates. Changes in the inputs and assumptions could affect the measurement of the estimated fair value of the related compensation expense of these stock-based payment awards.</w:t>
      </w:r>
    </w:p>
    <w:p>
      <w:pPr>
        <w:spacing w:after="0" w:line="54"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6"/>
          <w:szCs w:val="16"/>
          <w:b w:val="1"/>
          <w:bCs w:val="1"/>
          <w:color w:val="auto"/>
        </w:rPr>
        <w:t>Accounts Receivable—Net</w:t>
      </w:r>
      <w:r>
        <w:rPr>
          <w:rFonts w:ascii="Times New Roman" w:cs="Times New Roman" w:eastAsia="Times New Roman" w:hAnsi="Times New Roman"/>
          <w:sz w:val="16"/>
          <w:szCs w:val="16"/>
          <w:color w:val="auto"/>
        </w:rPr>
        <w:t>—Accounts receivable, as presented in the consolidated balance sheets, are net of customer sales allowances and doubtful accounts.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 determines allowances for its sales reserves and doubtful accounts based on specific identification of customer accounts and historical experience to the remaining accounts receivable balance. The Company’s assessment of doubtful accounts includes estimating its expected credit losses based on historical information and adjusted for current conditions and forecasts for the probability of collection from customers. Doubtful accounts are charged to general and administrative expenses in the consolidated statements of operations and comprehensive (loss) income.</w:t>
      </w:r>
    </w:p>
    <w:p>
      <w:pPr>
        <w:spacing w:after="0" w:line="74" w:lineRule="exact"/>
        <w:rPr>
          <w:sz w:val="20"/>
          <w:szCs w:val="20"/>
          <w:color w:val="auto"/>
        </w:rPr>
      </w:pPr>
    </w:p>
    <w:p>
      <w:pPr>
        <w:ind w:right="60"/>
        <w:spacing w:after="0" w:line="301" w:lineRule="auto"/>
        <w:rPr>
          <w:sz w:val="20"/>
          <w:szCs w:val="20"/>
          <w:color w:val="auto"/>
        </w:rPr>
      </w:pPr>
      <w:r>
        <w:rPr>
          <w:rFonts w:ascii="Times New Roman" w:cs="Times New Roman" w:eastAsia="Times New Roman" w:hAnsi="Times New Roman"/>
          <w:sz w:val="16"/>
          <w:szCs w:val="16"/>
          <w:b w:val="1"/>
          <w:bCs w:val="1"/>
          <w:color w:val="auto"/>
        </w:rPr>
        <w:t>Software, Equipment, and Property—Net</w:t>
      </w:r>
      <w:r>
        <w:rPr>
          <w:rFonts w:ascii="Times New Roman" w:cs="Times New Roman" w:eastAsia="Times New Roman" w:hAnsi="Times New Roman"/>
          <w:sz w:val="16"/>
          <w:szCs w:val="16"/>
          <w:color w:val="auto"/>
        </w:rPr>
        <w:t>—Software, equipment, and property are stated at cost, net of accumulated depreciation and amortization. Depreciation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amortization are computed on a straight-line basis over the asset’s estimated useful lives, which are as follows:</w:t>
      </w:r>
    </w:p>
    <w:p>
      <w:pPr>
        <w:spacing w:after="0" w:line="65"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5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Software, equipment, and property</w:t>
            </w:r>
          </w:p>
        </w:tc>
        <w:tc>
          <w:tcPr>
            <w:tcW w:w="280" w:type="dxa"/>
            <w:vAlign w:val="bottom"/>
          </w:tcPr>
          <w:p>
            <w:pPr>
              <w:spacing w:after="0"/>
              <w:rPr>
                <w:sz w:val="19"/>
                <w:szCs w:val="19"/>
                <w:color w:val="auto"/>
              </w:rPr>
            </w:pPr>
          </w:p>
        </w:tc>
        <w:tc>
          <w:tcPr>
            <w:tcW w:w="4680" w:type="dxa"/>
            <w:vAlign w:val="bottom"/>
            <w:tcBorders>
              <w:bottom w:val="single" w:sz="8" w:color="auto"/>
            </w:tcBorders>
          </w:tcPr>
          <w:p>
            <w:pPr>
              <w:jc w:val="right"/>
              <w:ind w:right="3039"/>
              <w:spacing w:after="0"/>
              <w:rPr>
                <w:sz w:val="20"/>
                <w:szCs w:val="20"/>
                <w:color w:val="auto"/>
              </w:rPr>
            </w:pPr>
            <w:r>
              <w:rPr>
                <w:rFonts w:ascii="Times New Roman" w:cs="Times New Roman" w:eastAsia="Times New Roman" w:hAnsi="Times New Roman"/>
                <w:sz w:val="16"/>
                <w:szCs w:val="16"/>
                <w:b w:val="1"/>
                <w:bCs w:val="1"/>
                <w:color w:val="auto"/>
              </w:rPr>
              <w:t>Estimated Useful Life</w:t>
            </w:r>
          </w:p>
        </w:tc>
      </w:tr>
      <w:tr>
        <w:trPr>
          <w:trHeight w:val="210"/>
        </w:trPr>
        <w:tc>
          <w:tcPr>
            <w:tcW w:w="5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Software and licenses</w:t>
            </w:r>
          </w:p>
        </w:tc>
        <w:tc>
          <w:tcPr>
            <w:tcW w:w="28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 years</w:t>
            </w:r>
          </w:p>
        </w:tc>
      </w:tr>
      <w:tr>
        <w:trPr>
          <w:trHeight w:val="229"/>
        </w:trPr>
        <w:tc>
          <w:tcPr>
            <w:tcW w:w="5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Computer equipment</w:t>
            </w:r>
          </w:p>
        </w:tc>
        <w:tc>
          <w:tcPr>
            <w:tcW w:w="280" w:type="dxa"/>
            <w:vAlign w:val="bottom"/>
          </w:tcPr>
          <w:p>
            <w:pPr>
              <w:spacing w:after="0"/>
              <w:rPr>
                <w:sz w:val="19"/>
                <w:szCs w:val="19"/>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years</w:t>
            </w:r>
          </w:p>
        </w:tc>
      </w:tr>
      <w:tr>
        <w:trPr>
          <w:trHeight w:val="230"/>
        </w:trPr>
        <w:tc>
          <w:tcPr>
            <w:tcW w:w="5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Furniture and other equipment</w:t>
            </w:r>
          </w:p>
        </w:tc>
        <w:tc>
          <w:tcPr>
            <w:tcW w:w="280" w:type="dxa"/>
            <w:vAlign w:val="bottom"/>
          </w:tcPr>
          <w:p>
            <w:pPr>
              <w:spacing w:after="0"/>
              <w:rPr>
                <w:sz w:val="19"/>
                <w:szCs w:val="19"/>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years</w:t>
            </w:r>
          </w:p>
        </w:tc>
      </w:tr>
      <w:tr>
        <w:trPr>
          <w:trHeight w:val="229"/>
        </w:trPr>
        <w:tc>
          <w:tcPr>
            <w:tcW w:w="5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Database</w:t>
            </w:r>
          </w:p>
        </w:tc>
        <w:tc>
          <w:tcPr>
            <w:tcW w:w="280" w:type="dxa"/>
            <w:vAlign w:val="bottom"/>
          </w:tcPr>
          <w:p>
            <w:pPr>
              <w:spacing w:after="0"/>
              <w:rPr>
                <w:sz w:val="19"/>
                <w:szCs w:val="19"/>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 years</w:t>
            </w:r>
          </w:p>
        </w:tc>
      </w:tr>
      <w:tr>
        <w:trPr>
          <w:trHeight w:val="229"/>
        </w:trPr>
        <w:tc>
          <w:tcPr>
            <w:tcW w:w="5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Building</w:t>
            </w:r>
          </w:p>
        </w:tc>
        <w:tc>
          <w:tcPr>
            <w:tcW w:w="280" w:type="dxa"/>
            <w:vAlign w:val="bottom"/>
          </w:tcPr>
          <w:p>
            <w:pPr>
              <w:spacing w:after="0"/>
              <w:rPr>
                <w:sz w:val="19"/>
                <w:szCs w:val="19"/>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 years</w:t>
            </w:r>
          </w:p>
        </w:tc>
      </w:tr>
      <w:tr>
        <w:trPr>
          <w:trHeight w:val="230"/>
        </w:trPr>
        <w:tc>
          <w:tcPr>
            <w:tcW w:w="5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Leasehold improvements</w:t>
            </w:r>
          </w:p>
        </w:tc>
        <w:tc>
          <w:tcPr>
            <w:tcW w:w="280" w:type="dxa"/>
            <w:vAlign w:val="bottom"/>
          </w:tcPr>
          <w:p>
            <w:pPr>
              <w:spacing w:after="0"/>
              <w:rPr>
                <w:sz w:val="19"/>
                <w:szCs w:val="19"/>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Lesser of the estimated useful life or life of lease</w:t>
            </w:r>
          </w:p>
        </w:tc>
      </w:tr>
      <w:tr>
        <w:trPr>
          <w:trHeight w:val="229"/>
        </w:trPr>
        <w:tc>
          <w:tcPr>
            <w:tcW w:w="5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Land</w:t>
            </w:r>
          </w:p>
        </w:tc>
        <w:tc>
          <w:tcPr>
            <w:tcW w:w="280" w:type="dxa"/>
            <w:vAlign w:val="bottom"/>
          </w:tcPr>
          <w:p>
            <w:pPr>
              <w:spacing w:after="0"/>
              <w:rPr>
                <w:sz w:val="19"/>
                <w:szCs w:val="19"/>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Indefinite</w:t>
            </w:r>
          </w:p>
        </w:tc>
      </w:tr>
    </w:tbl>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Maintenance and repairs are expensed as incurred. Significant improvements and enhancements are capitalized.</w:t>
      </w:r>
    </w:p>
    <w:p>
      <w:pPr>
        <w:spacing w:after="0" w:line="125"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6"/>
          <w:szCs w:val="16"/>
          <w:b w:val="1"/>
          <w:bCs w:val="1"/>
          <w:color w:val="auto"/>
        </w:rPr>
        <w:t>Internal Use Software</w:t>
      </w:r>
      <w:r>
        <w:rPr>
          <w:rFonts w:ascii="Times New Roman" w:cs="Times New Roman" w:eastAsia="Times New Roman" w:hAnsi="Times New Roman"/>
          <w:sz w:val="16"/>
          <w:szCs w:val="16"/>
          <w:color w:val="auto"/>
        </w:rPr>
        <w:t>—The Company capitalizes the direct costs incurred in developing or obtaining internal use software, including platform development,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infrastructure and tools, as well as certain payroll and payroll-related costs of employees who are directly associated with internal use computer software projects. The amount of capitalized payroll costs with respect to these employees is limited to the time directly spent on such projects. The costs associated with preliminary project stage activities, training, maintenance, and all other post-implementation activities are expensed as incurred. Additionally, the Company expenses internal costs related to minor upgrades and enhancements as it is impractical to separate these costs from normal maintenance activities. Capitalized internal use software costs are recorded within software, equipment, and property on the Company’s consolidated balance sheets.</w:t>
      </w:r>
    </w:p>
    <w:p>
      <w:pPr>
        <w:spacing w:after="0" w:line="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6"/>
          <w:szCs w:val="16"/>
          <w:b w:val="1"/>
          <w:bCs w:val="1"/>
          <w:color w:val="auto"/>
        </w:rPr>
        <w:t>Goodwill and Intangible Assets</w:t>
      </w:r>
      <w:r>
        <w:rPr>
          <w:rFonts w:ascii="Times New Roman" w:cs="Times New Roman" w:eastAsia="Times New Roman" w:hAnsi="Times New Roman"/>
          <w:sz w:val="16"/>
          <w:szCs w:val="16"/>
          <w:color w:val="auto"/>
        </w:rPr>
        <w:t>—Goodwill and intangible assets deemed to have indefinite lives are not amortized, but are subject to an annual impairment test,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more frequently if events or changes in circumstances indicate that the carrying value may not be recoverable. The Company performs its annual impairment assessment of goodwill and indefinite life intangible assets as of November 30 of each year.</w:t>
      </w:r>
    </w:p>
    <w:p>
      <w:pPr>
        <w:spacing w:after="0" w:line="69"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color w:val="auto"/>
        </w:rPr>
        <w:t>Under GAAP, the Company has the option to first assess qualitative factors in order to determine if it is more likely than not that the fair value of one of its reporting units or indefinite life intangible assets is greater than its carrying value ("Step 0"). If the qualitative assessment leads to a determination that the fair value is less than its carrying value, or if the Company elects to bypass the qualitative assessment, it is required to perform a quantitative impairment test ("Step 1") by calculating the fair value of the reporting unit or indefinite life intangible asset and comparing the fair value with its associated carrying value. If the carrying value exceeds the fair value, an impairment loss is recognized in an amount equal to the excess, up to the carrying value of the goodwill or indefinite life intangible asset.</w:t>
      </w:r>
    </w:p>
    <w:p>
      <w:pPr>
        <w:spacing w:after="0" w:line="78"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During the three months ended June 30, 2023, the Company performed an interim quantitative impairment test for its China reporting unit due to events which indicated that the carrying amount was in excess of its estimated fair value. As a result of the interim quantitative impairment test, the Company recorded a goodwill impairment charge of $77.4 million (see Note 12).</w:t>
      </w:r>
    </w:p>
    <w:p>
      <w:pPr>
        <w:spacing w:after="0" w:line="69" w:lineRule="exact"/>
        <w:rPr>
          <w:sz w:val="20"/>
          <w:szCs w:val="20"/>
          <w:color w:val="auto"/>
        </w:rPr>
      </w:pPr>
    </w:p>
    <w:p>
      <w:pPr>
        <w:ind w:right="440"/>
        <w:spacing w:after="0" w:line="298" w:lineRule="auto"/>
        <w:rPr>
          <w:sz w:val="20"/>
          <w:szCs w:val="20"/>
          <w:color w:val="auto"/>
        </w:rPr>
      </w:pPr>
      <w:r>
        <w:rPr>
          <w:rFonts w:ascii="Times New Roman" w:cs="Times New Roman" w:eastAsia="Times New Roman" w:hAnsi="Times New Roman"/>
          <w:sz w:val="16"/>
          <w:szCs w:val="16"/>
          <w:color w:val="auto"/>
        </w:rPr>
        <w:t>The Company performed its annual impairment test for its Domestic reporting unit, its remaining reporting unit with goodwill and indefinite lived assets as of November 30, 2023 and determined no impairment existed.</w:t>
      </w:r>
    </w:p>
    <w:p>
      <w:pPr>
        <w:spacing w:after="0" w:line="56" w:lineRule="exact"/>
        <w:rPr>
          <w:sz w:val="20"/>
          <w:szCs w:val="20"/>
          <w:color w:val="auto"/>
        </w:rPr>
      </w:pPr>
    </w:p>
    <w:p>
      <w:pPr>
        <w:ind w:right="280"/>
        <w:spacing w:after="0" w:line="298" w:lineRule="auto"/>
        <w:rPr>
          <w:sz w:val="20"/>
          <w:szCs w:val="20"/>
          <w:color w:val="auto"/>
        </w:rPr>
      </w:pPr>
      <w:r>
        <w:rPr>
          <w:rFonts w:ascii="Times New Roman" w:cs="Times New Roman" w:eastAsia="Times New Roman" w:hAnsi="Times New Roman"/>
          <w:sz w:val="16"/>
          <w:szCs w:val="16"/>
          <w:color w:val="auto"/>
        </w:rPr>
        <w:t>For the years ended December 31, 2022 and 2021, the Company performed its annual impairment tests for its goodwill and indefinite lived intangible assets and determined no impairment existed.</w:t>
      </w:r>
    </w:p>
    <w:p>
      <w:pPr>
        <w:spacing w:after="0" w:line="54"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6"/>
          <w:szCs w:val="16"/>
          <w:b w:val="1"/>
          <w:bCs w:val="1"/>
          <w:color w:val="auto"/>
        </w:rPr>
        <w:t>Long-Lived Assets</w:t>
      </w:r>
      <w:r>
        <w:rPr>
          <w:rFonts w:ascii="Times New Roman" w:cs="Times New Roman" w:eastAsia="Times New Roman" w:hAnsi="Times New Roman"/>
          <w:sz w:val="16"/>
          <w:szCs w:val="16"/>
          <w:color w:val="auto"/>
        </w:rPr>
        <w:t>—Long-lived assets, other than goodwill, are reviewed for impairment whenever events or changes in circumstances indicate that the carrying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amount of the assets might not be recoverable. Recoverability of assets to be held and used is measured by a comparison of the carrying amount of the asset or asset group to estimated undiscounted future cash flows expected to be generated by such assets. If the carrying amount of the assets exceeds their estimated future cash flows, an impairment charge is recognized equal to the amount by which the carrying amount of the assets exceeds their fair value.</w:t>
      </w:r>
    </w:p>
    <w:p>
      <w:pPr>
        <w:spacing w:after="0" w:line="74" w:lineRule="exact"/>
        <w:rPr>
          <w:sz w:val="20"/>
          <w:szCs w:val="20"/>
          <w:color w:val="auto"/>
        </w:rPr>
      </w:pPr>
    </w:p>
    <w:p>
      <w:pPr>
        <w:ind w:right="520"/>
        <w:spacing w:after="0" w:line="298" w:lineRule="auto"/>
        <w:rPr>
          <w:sz w:val="20"/>
          <w:szCs w:val="20"/>
          <w:color w:val="auto"/>
        </w:rPr>
      </w:pPr>
      <w:r>
        <w:rPr>
          <w:rFonts w:ascii="Times New Roman" w:cs="Times New Roman" w:eastAsia="Times New Roman" w:hAnsi="Times New Roman"/>
          <w:sz w:val="16"/>
          <w:szCs w:val="16"/>
          <w:color w:val="auto"/>
        </w:rPr>
        <w:t>During the year ended December 31, 2023, the Company performed the recoverability test on its China reporting unit's intangible assets due to events which indicated the carrying amount may not be recoverable. As a result, the Company recorded impairment charges totaling $5.3 million (see Note 12).</w:t>
      </w:r>
    </w:p>
    <w:p>
      <w:pPr>
        <w:spacing w:after="0" w:line="56" w:lineRule="exact"/>
        <w:rPr>
          <w:sz w:val="20"/>
          <w:szCs w:val="20"/>
          <w:color w:val="auto"/>
        </w:rPr>
      </w:pPr>
    </w:p>
    <w:p>
      <w:pPr>
        <w:ind w:right="140"/>
        <w:spacing w:after="0" w:line="298" w:lineRule="auto"/>
        <w:rPr>
          <w:sz w:val="20"/>
          <w:szCs w:val="20"/>
          <w:color w:val="auto"/>
        </w:rPr>
      </w:pPr>
      <w:r>
        <w:rPr>
          <w:rFonts w:ascii="Times New Roman" w:cs="Times New Roman" w:eastAsia="Times New Roman" w:hAnsi="Times New Roman"/>
          <w:sz w:val="16"/>
          <w:szCs w:val="16"/>
          <w:color w:val="auto"/>
        </w:rPr>
        <w:t>There were no events or changes in circumstances that indicated the carrying value may not be recoverable and no impairment charges were recognized during the years ended December 31, 2022 and 2021.</w:t>
      </w:r>
    </w:p>
    <w:p>
      <w:pPr>
        <w:spacing w:after="0" w:line="54"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6"/>
          <w:szCs w:val="16"/>
          <w:b w:val="1"/>
          <w:bCs w:val="1"/>
          <w:color w:val="auto"/>
        </w:rPr>
        <w:t>Equity Method Investment</w:t>
      </w:r>
      <w:r>
        <w:rPr>
          <w:rFonts w:ascii="Times New Roman" w:cs="Times New Roman" w:eastAsia="Times New Roman" w:hAnsi="Times New Roman"/>
          <w:sz w:val="16"/>
          <w:szCs w:val="16"/>
          <w:color w:val="auto"/>
        </w:rPr>
        <w:t>—The Company accounts for its 7% investment in a limited partnership using the equity method of accounting. Under the equity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method of accounting, the investee’s accounts are not reflected within the Company’s consolidated balance sheets and consolidated statements of operations and comprehensive (loss) income. The Company’s investment was initially recognized at cost and</w:t>
      </w:r>
    </w:p>
    <w:p>
      <w:pPr>
        <w:spacing w:after="0" w:line="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468630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880" w:top="109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color w:val="auto"/>
        </w:rPr>
        <w:t>adjusted thereafter for the post acquisition changes in the Company’s share of the investee’s earnings which would be recorded in other income-net.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Deferred Financing Costs</w:t>
      </w:r>
      <w:r>
        <w:rPr>
          <w:rFonts w:ascii="Times New Roman" w:cs="Times New Roman" w:eastAsia="Times New Roman" w:hAnsi="Times New Roman"/>
          <w:sz w:val="16"/>
          <w:szCs w:val="16"/>
          <w:color w:val="auto"/>
        </w:rPr>
        <w:t>—Deferred financing costs are capitalized and amortized over the life of the underlying financing agreement (see Note 16).</w:t>
      </w:r>
    </w:p>
    <w:p>
      <w:pPr>
        <w:spacing w:after="0" w:line="127"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6"/>
          <w:szCs w:val="16"/>
          <w:b w:val="1"/>
          <w:bCs w:val="1"/>
          <w:color w:val="auto"/>
        </w:rPr>
        <w:t>Business Combinations</w:t>
      </w:r>
      <w:r>
        <w:rPr>
          <w:rFonts w:ascii="Times New Roman" w:cs="Times New Roman" w:eastAsia="Times New Roman" w:hAnsi="Times New Roman"/>
          <w:sz w:val="16"/>
          <w:szCs w:val="16"/>
          <w:color w:val="auto"/>
        </w:rPr>
        <w:t>—The Company allocates the purchase consideration of acquired companies to tangible and intangible assets acquired and liabilities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assumed based on their estimated fair values at the acquisition date, with the excess recorded to goodwill. These estimates are inherently uncertain and subject to refinement. During the measurement period, which may be up to one year from the acquisition date, adjustments may be recorded to the fair value of these tangible and intangible assets acquired and liabilities assumed, including uncertain tax positions and tax-related valuation allowances, with the corresponding offset to goodwill. Upon the conclusion of the measurement period or final determination of the fair value of assets acquired or liabilities assumed, whichever comes first, any subsequent adjustments are recorded to the consolidated statements of operations and comprehensive (loss) income.</w:t>
      </w:r>
    </w:p>
    <w:p>
      <w:pPr>
        <w:spacing w:after="0" w:line="78"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6"/>
          <w:szCs w:val="16"/>
          <w:color w:val="auto"/>
        </w:rPr>
        <w:t>The Company estimates the fair value of contingent consideration related to business combinations on the date of acquisition (see Note 4). The fair value of the contingent consideration is remeasured each reporting period, with any change in the fair value recorded within the consolidated statements of operations and comprehensive (loss) income.</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b w:val="1"/>
          <w:bCs w:val="1"/>
          <w:color w:val="auto"/>
        </w:rPr>
        <w:t>Fair Value of Financial Instruments and Fair Value Measurements</w:t>
      </w:r>
      <w:r>
        <w:rPr>
          <w:rFonts w:ascii="Times New Roman" w:cs="Times New Roman" w:eastAsia="Times New Roman" w:hAnsi="Times New Roman"/>
          <w:sz w:val="16"/>
          <w:szCs w:val="16"/>
          <w:color w:val="auto"/>
        </w:rPr>
        <w:t>—Fair value is defined as the price that would be received to sell an asset or paid to transfer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liability in an orderly transaction between market participants at the measurement date. To increase the comparability of fair value measures, the following hierarchy prioritizes the inputs to valuation methodologies used to measure fair value.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Level 1</w:t>
      </w:r>
      <w:r>
        <w:rPr>
          <w:rFonts w:ascii="Times New Roman" w:cs="Times New Roman" w:eastAsia="Times New Roman" w:hAnsi="Times New Roman"/>
          <w:sz w:val="16"/>
          <w:szCs w:val="16"/>
          <w:color w:val="auto"/>
        </w:rPr>
        <w:t>—Valuations based on quoted prices for identical assets and liabilities in active markets.</w:t>
      </w:r>
    </w:p>
    <w:p>
      <w:pPr>
        <w:spacing w:after="0" w:line="127" w:lineRule="exact"/>
        <w:rPr>
          <w:sz w:val="20"/>
          <w:szCs w:val="20"/>
          <w:color w:val="auto"/>
        </w:rPr>
      </w:pPr>
    </w:p>
    <w:p>
      <w:pPr>
        <w:jc w:val="both"/>
        <w:ind w:right="480"/>
        <w:spacing w:after="0" w:line="282" w:lineRule="auto"/>
        <w:rPr>
          <w:sz w:val="20"/>
          <w:szCs w:val="20"/>
          <w:color w:val="auto"/>
        </w:rPr>
      </w:pPr>
      <w:r>
        <w:rPr>
          <w:rFonts w:ascii="Times New Roman" w:cs="Times New Roman" w:eastAsia="Times New Roman" w:hAnsi="Times New Roman"/>
          <w:sz w:val="16"/>
          <w:szCs w:val="16"/>
          <w:b w:val="1"/>
          <w:bCs w:val="1"/>
          <w:color w:val="auto"/>
        </w:rPr>
        <w:t>Level 2</w:t>
      </w:r>
      <w:r>
        <w:rPr>
          <w:rFonts w:ascii="Times New Roman" w:cs="Times New Roman" w:eastAsia="Times New Roman" w:hAnsi="Times New Roman"/>
          <w:sz w:val="16"/>
          <w:szCs w:val="16"/>
          <w:color w:val="auto"/>
        </w:rPr>
        <w:t>—Valuations based on observable inputs other than quoted prices included in Level 1, such as quoted prices for similar assets and liabilities in active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markets, quoted prices for identical or similar assets and liabilities in markets that are not active, or other inputs that are observable or can be corroborated by observable market data.</w:t>
      </w:r>
    </w:p>
    <w:p>
      <w:pPr>
        <w:spacing w:after="0" w:line="67" w:lineRule="exact"/>
        <w:rPr>
          <w:sz w:val="20"/>
          <w:szCs w:val="20"/>
          <w:color w:val="auto"/>
        </w:rPr>
      </w:pPr>
    </w:p>
    <w:p>
      <w:pPr>
        <w:ind w:right="300"/>
        <w:spacing w:after="0" w:line="301" w:lineRule="auto"/>
        <w:rPr>
          <w:sz w:val="20"/>
          <w:szCs w:val="20"/>
          <w:color w:val="auto"/>
        </w:rPr>
      </w:pPr>
      <w:r>
        <w:rPr>
          <w:rFonts w:ascii="Times New Roman" w:cs="Times New Roman" w:eastAsia="Times New Roman" w:hAnsi="Times New Roman"/>
          <w:sz w:val="16"/>
          <w:szCs w:val="16"/>
          <w:b w:val="1"/>
          <w:bCs w:val="1"/>
          <w:color w:val="auto"/>
        </w:rPr>
        <w:t>Level 3</w:t>
      </w:r>
      <w:r>
        <w:rPr>
          <w:rFonts w:ascii="Times New Roman" w:cs="Times New Roman" w:eastAsia="Times New Roman" w:hAnsi="Times New Roman"/>
          <w:sz w:val="16"/>
          <w:szCs w:val="16"/>
          <w:color w:val="auto"/>
        </w:rPr>
        <w:t>—Valuations based on unobservable inputs reflecting the Company’s own assumptions, consistent with reasonably available assumptions made by other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market participants. These valuations require significant judgment.</w:t>
      </w:r>
    </w:p>
    <w:p>
      <w:pPr>
        <w:spacing w:after="0" w:line="52" w:lineRule="exact"/>
        <w:rPr>
          <w:sz w:val="20"/>
          <w:szCs w:val="20"/>
          <w:color w:val="auto"/>
        </w:rPr>
      </w:pPr>
    </w:p>
    <w:p>
      <w:pPr>
        <w:ind w:right="400"/>
        <w:spacing w:after="0" w:line="301" w:lineRule="auto"/>
        <w:rPr>
          <w:sz w:val="20"/>
          <w:szCs w:val="20"/>
          <w:color w:val="auto"/>
        </w:rPr>
      </w:pPr>
      <w:r>
        <w:rPr>
          <w:rFonts w:ascii="Times New Roman" w:cs="Times New Roman" w:eastAsia="Times New Roman" w:hAnsi="Times New Roman"/>
          <w:sz w:val="16"/>
          <w:szCs w:val="16"/>
          <w:b w:val="1"/>
          <w:bCs w:val="1"/>
          <w:color w:val="auto"/>
        </w:rPr>
        <w:t>Warrant Liability</w:t>
      </w:r>
      <w:r>
        <w:rPr>
          <w:rFonts w:ascii="Times New Roman" w:cs="Times New Roman" w:eastAsia="Times New Roman" w:hAnsi="Times New Roman"/>
          <w:sz w:val="16"/>
          <w:szCs w:val="16"/>
          <w:color w:val="auto"/>
        </w:rPr>
        <w:t>—The Company assumed publicly-traded warrants (“Public Warrants”) and warrants sold in a private placement (“Private Warrants”) upon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consummation of the Business Combination.</w:t>
      </w:r>
    </w:p>
    <w:p>
      <w:pPr>
        <w:spacing w:after="0" w:line="52"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6"/>
          <w:szCs w:val="16"/>
          <w:color w:val="auto"/>
        </w:rPr>
        <w:t xml:space="preserve">The Company accounts for its Public Warrants and Private Warrants under ASC 815-40, </w:t>
      </w:r>
      <w:r>
        <w:rPr>
          <w:rFonts w:ascii="Times New Roman" w:cs="Times New Roman" w:eastAsia="Times New Roman" w:hAnsi="Times New Roman"/>
          <w:sz w:val="16"/>
          <w:szCs w:val="16"/>
          <w:i w:val="1"/>
          <w:iCs w:val="1"/>
          <w:color w:val="auto"/>
        </w:rPr>
        <w:t>Derivatives and Hedging-Contracts in Entity’s Own Equity</w:t>
      </w:r>
      <w:r>
        <w:rPr>
          <w:rFonts w:ascii="Times New Roman" w:cs="Times New Roman" w:eastAsia="Times New Roman" w:hAnsi="Times New Roman"/>
          <w:sz w:val="16"/>
          <w:szCs w:val="16"/>
          <w:color w:val="auto"/>
        </w:rPr>
        <w:t xml:space="preserve">, in conjunction with the SEC Division of Corporation Finance’s April 12, 2021 Public Statement, </w:t>
      </w:r>
      <w:r>
        <w:rPr>
          <w:rFonts w:ascii="Times New Roman" w:cs="Times New Roman" w:eastAsia="Times New Roman" w:hAnsi="Times New Roman"/>
          <w:sz w:val="16"/>
          <w:szCs w:val="16"/>
          <w:i w:val="1"/>
          <w:iCs w:val="1"/>
          <w:color w:val="auto"/>
        </w:rPr>
        <w:t>Staff Statement on Accounting and Reporting Considerations for Warrants Issued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by Special Purpose Acquisition Companies ("SPACs")</w:t>
      </w:r>
      <w:r>
        <w:rPr>
          <w:rFonts w:ascii="Times New Roman" w:cs="Times New Roman" w:eastAsia="Times New Roman" w:hAnsi="Times New Roman"/>
          <w:sz w:val="16"/>
          <w:szCs w:val="16"/>
          <w:color w:val="auto"/>
        </w:rPr>
        <w:t>. The terms of the warrants provide for potential changes to the settlement amounts dependent upon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characteristics of the warrant holder, and preclude the warrants from being classified in equity and thus the warrants are classified as a liability. Accordingly, the Company recorded the warrants as long-term liabilities on its consolidated balance sheet at fair value upon the closing of the Business Combination (see Note 3), with subsequent changes in the fair value of the warrants recognized in the consolidated statements of operations and comprehensive (loss) income at each reporting date.</w:t>
      </w:r>
    </w:p>
    <w:p>
      <w:pPr>
        <w:spacing w:after="0" w:line="281" w:lineRule="exact"/>
        <w:rPr>
          <w:sz w:val="20"/>
          <w:szCs w:val="20"/>
          <w:color w:val="auto"/>
        </w:rPr>
      </w:pPr>
    </w:p>
    <w:p>
      <w:pPr>
        <w:ind w:right="140"/>
        <w:spacing w:after="0" w:line="298" w:lineRule="auto"/>
        <w:rPr>
          <w:sz w:val="20"/>
          <w:szCs w:val="20"/>
          <w:color w:val="auto"/>
        </w:rPr>
      </w:pPr>
      <w:r>
        <w:rPr>
          <w:rFonts w:ascii="Times New Roman" w:cs="Times New Roman" w:eastAsia="Times New Roman" w:hAnsi="Times New Roman"/>
          <w:sz w:val="16"/>
          <w:szCs w:val="16"/>
          <w:color w:val="auto"/>
        </w:rPr>
        <w:t>Prior to their redemption during the year ended December 31, 2021, the Public Warrants were publicly traded and thus had an observable market price in an active market and were valued at their trading price as of each reporting date.</w:t>
      </w:r>
    </w:p>
    <w:p>
      <w:pPr>
        <w:spacing w:after="0" w:line="56"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6"/>
          <w:szCs w:val="16"/>
          <w:color w:val="auto"/>
        </w:rPr>
        <w:t>The Private Warrants are valued using the Black-Scholes option pricing model. The assumptions utilized under the Black-Scholes option pricing model require judgments and estimates. Changes in these inputs and assumptions could affect the measurement of the estimated fair value of the related fair value of the Private Warrants.</w:t>
      </w:r>
    </w:p>
    <w:p>
      <w:pPr>
        <w:spacing w:after="0" w:line="67"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6"/>
          <w:szCs w:val="16"/>
          <w:b w:val="1"/>
          <w:bCs w:val="1"/>
          <w:color w:val="auto"/>
        </w:rPr>
        <w:t>Derivative Instruments</w:t>
      </w:r>
      <w:r>
        <w:rPr>
          <w:rFonts w:ascii="Times New Roman" w:cs="Times New Roman" w:eastAsia="Times New Roman" w:hAnsi="Times New Roman"/>
          <w:sz w:val="16"/>
          <w:szCs w:val="16"/>
          <w:color w:val="auto"/>
        </w:rPr>
        <w:t>—The Company records derivative instruments as an asset or liability measured at fair value each reporting period. The Company has not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designated its derivatives as hedging instruments for accounting purposes and recognizes the changes in fair value within its consolidated statement of operations and comprehensive (loss) income. Gain and losses from the change in fair value and cash payments and receipts related to the derivative instruments are recognized in other income (expense)—net, in the consolidated statements of operations and comprehensive (loss) income. The Company does not enter into derivative instrument transactions for trading or speculative purposes.</w:t>
      </w:r>
    </w:p>
    <w:p>
      <w:pPr>
        <w:spacing w:after="0" w:line="74"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6"/>
          <w:szCs w:val="16"/>
          <w:b w:val="1"/>
          <w:bCs w:val="1"/>
          <w:color w:val="auto"/>
        </w:rPr>
        <w:t>Income Taxes</w:t>
      </w:r>
      <w:r>
        <w:rPr>
          <w:rFonts w:ascii="Times New Roman" w:cs="Times New Roman" w:eastAsia="Times New Roman" w:hAnsi="Times New Roman"/>
          <w:sz w:val="16"/>
          <w:szCs w:val="16"/>
          <w:color w:val="auto"/>
        </w:rPr>
        <w:t>—Deferred income tax assets and liabilities are recognized for the expected future tax effects of temporary differences between the financial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income tax reporting basis of assets and liabilities using tax rates in effect for the years in which the differences are expected to reverse. Deferred income taxes relate to the timing of recognition of certain revenue and expense items, and the timing of the deductibility of certain reserves and accruals for income tax purposes that differs from the timing for financial reporting purposes. The Company establishes a tax valuation allowance to the extent that it is more likely than not that a deferred tax asset will not be realizable against future taxable income.</w:t>
      </w:r>
    </w:p>
    <w:p>
      <w:pPr>
        <w:spacing w:after="0" w:line="76"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6"/>
          <w:szCs w:val="16"/>
          <w:color w:val="auto"/>
        </w:rPr>
        <w:t>A tax benefit from an uncertain tax position may be recognized when it is more likely than not that the position will be sustained upon examination, including resolutions of any related appeals or litigation process, based on its technical merits. Income tax positions must meet a more-likely-than-not recognition threshold to be recognized. The Company recognizes interest and penalties related to unrecognized tax benefits in income tax expense.</w:t>
      </w:r>
    </w:p>
    <w:p>
      <w:pPr>
        <w:spacing w:after="0" w:line="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468630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880" w:top="1098" w:right="339" w:bottom="1440" w:gutter="0" w:footer="0" w:header="0"/>
        </w:sectPr>
      </w:pPr>
    </w:p>
    <w:bookmarkStart w:id="69" w:name="page70"/>
    <w:bookmarkEnd w:id="69"/>
    <w:p>
      <w:pPr>
        <w:ind w:left="560" w:right="60"/>
        <w:spacing w:after="0" w:line="282" w:lineRule="auto"/>
        <w:rPr>
          <w:sz w:val="20"/>
          <w:szCs w:val="20"/>
          <w:color w:val="auto"/>
        </w:rPr>
      </w:pPr>
      <w:r>
        <w:rPr>
          <w:rFonts w:ascii="Times New Roman" w:cs="Times New Roman" w:eastAsia="Times New Roman" w:hAnsi="Times New Roman"/>
          <w:sz w:val="16"/>
          <w:szCs w:val="16"/>
          <w:b w:val="1"/>
          <w:bCs w:val="1"/>
          <w:color w:val="auto"/>
        </w:rPr>
        <w:t>Employee Insurance Benefits</w:t>
      </w:r>
      <w:r>
        <w:rPr>
          <w:rFonts w:ascii="Times New Roman" w:cs="Times New Roman" w:eastAsia="Times New Roman" w:hAnsi="Times New Roman"/>
          <w:sz w:val="16"/>
          <w:szCs w:val="16"/>
          <w:color w:val="auto"/>
        </w:rPr>
        <w:t>—The Company maintains a self-insured group medical program. The program contains stop loss thresholds with amounts in excess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self-insured levels fully insured by third-party insurers. Liabilities associated with this program are estimated in part by considering historical claims experience and medical cost trends.</w:t>
      </w:r>
    </w:p>
    <w:p>
      <w:pPr>
        <w:spacing w:after="0" w:line="6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Leases</w:t>
      </w:r>
      <w:r>
        <w:rPr>
          <w:rFonts w:ascii="Times New Roman" w:cs="Times New Roman" w:eastAsia="Times New Roman" w:hAnsi="Times New Roman"/>
          <w:sz w:val="16"/>
          <w:szCs w:val="16"/>
          <w:color w:val="auto"/>
        </w:rPr>
        <w:t>—The Company’s lease policy follows guidance from ASC 842,</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w:t>
      </w:r>
    </w:p>
    <w:p>
      <w:pPr>
        <w:spacing w:after="0" w:line="129" w:lineRule="exact"/>
        <w:rPr>
          <w:sz w:val="20"/>
          <w:szCs w:val="20"/>
          <w:color w:val="auto"/>
        </w:rPr>
      </w:pPr>
    </w:p>
    <w:p>
      <w:pPr>
        <w:ind w:left="560" w:right="60"/>
        <w:spacing w:after="0" w:line="269" w:lineRule="auto"/>
        <w:rPr>
          <w:sz w:val="20"/>
          <w:szCs w:val="20"/>
          <w:color w:val="auto"/>
        </w:rPr>
      </w:pPr>
      <w:r>
        <w:rPr>
          <w:rFonts w:ascii="Times New Roman" w:cs="Times New Roman" w:eastAsia="Times New Roman" w:hAnsi="Times New Roman"/>
          <w:sz w:val="16"/>
          <w:szCs w:val="16"/>
          <w:color w:val="auto"/>
        </w:rPr>
        <w:t>In accordance with ASC 842, the Company, at the inception of the contract, determines whether a contract is or contains a lease. For leases with terms greater than 12 months, the Company records the related operating or finance right of use asset and lease liability at the present value of lease payments over the lease term. The Company is generally not able to readily determine the implicit rate in the lease and therefore uses the determined incremental borrowing rate at lease commencement to determine the present value of lease payments. The incremental borrowing rate represents an estimate of the market interest rate the Company would incur at lease commencement to borrow an amount equal to the lease payments on a collateralized basis over the term of a lease. Renewal options are not included in the measurement of the right of use assets and lease liabilities unless the Company is reasonably certain to exercise the optional renewal periods. Some leases also include early termination options, which can be exercised under specific conditions. Additionally, certain leases contain incentives, such as construction allowances from landlords. These incentives reduce the right-of-use asset related to the lease.</w:t>
      </w:r>
    </w:p>
    <w:p>
      <w:pPr>
        <w:spacing w:after="0" w:line="78" w:lineRule="exact"/>
        <w:rPr>
          <w:sz w:val="20"/>
          <w:szCs w:val="20"/>
          <w:color w:val="auto"/>
        </w:rPr>
      </w:pPr>
    </w:p>
    <w:p>
      <w:pPr>
        <w:ind w:left="560" w:right="20"/>
        <w:spacing w:after="0" w:line="274" w:lineRule="auto"/>
        <w:rPr>
          <w:sz w:val="20"/>
          <w:szCs w:val="20"/>
          <w:color w:val="auto"/>
        </w:rPr>
      </w:pPr>
      <w:r>
        <w:rPr>
          <w:rFonts w:ascii="Times New Roman" w:cs="Times New Roman" w:eastAsia="Times New Roman" w:hAnsi="Times New Roman"/>
          <w:sz w:val="16"/>
          <w:szCs w:val="16"/>
          <w:color w:val="auto"/>
        </w:rPr>
        <w:t>Some of the Company’s leases contain rent escalations over the lease term. The Company recognizes expense for operating leases on a straight-line basis over the lease term. The Company has elected the practical expedient to combine lease and non-lease components for all asset categories. Therefore, the lease payments used to measure the lease liability for these leases include fixed minimum rentals along with fixed non-lease component charges. Lease related costs, which are variable rather than fixed, are expensed in the period incurred. The Company does not have significant residual value guarantees or restrictive covenants in the lease portfolio.</w:t>
      </w:r>
    </w:p>
    <w:p>
      <w:pPr>
        <w:spacing w:after="0" w:line="278" w:lineRule="exact"/>
        <w:rPr>
          <w:sz w:val="20"/>
          <w:szCs w:val="20"/>
          <w:color w:val="auto"/>
        </w:rPr>
      </w:pPr>
    </w:p>
    <w:p>
      <w:pPr>
        <w:ind w:left="560" w:right="20"/>
        <w:spacing w:after="0" w:line="282" w:lineRule="auto"/>
        <w:rPr>
          <w:sz w:val="20"/>
          <w:szCs w:val="20"/>
          <w:color w:val="auto"/>
        </w:rPr>
      </w:pPr>
      <w:r>
        <w:rPr>
          <w:rFonts w:ascii="Times New Roman" w:cs="Times New Roman" w:eastAsia="Times New Roman" w:hAnsi="Times New Roman"/>
          <w:sz w:val="16"/>
          <w:szCs w:val="16"/>
          <w:b w:val="1"/>
          <w:bCs w:val="1"/>
          <w:color w:val="auto"/>
        </w:rPr>
        <w:t>Redeemable Non-Controlling Interest</w:t>
      </w:r>
      <w:r>
        <w:rPr>
          <w:rFonts w:ascii="Times New Roman" w:cs="Times New Roman" w:eastAsia="Times New Roman" w:hAnsi="Times New Roman"/>
          <w:sz w:val="16"/>
          <w:szCs w:val="16"/>
          <w:color w:val="auto"/>
        </w:rPr>
        <w:t>—The Company presents a redeemable non-controlling interest as mezzanine equity within its consolidated balance sheets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when it is redeemable at a fixed or determinable price on a fixed or determinable date at the option of the holder or upon the occurrence of an event that is not solely within the control of the Company.</w:t>
      </w:r>
    </w:p>
    <w:p>
      <w:pPr>
        <w:spacing w:after="0" w:line="69" w:lineRule="exact"/>
        <w:rPr>
          <w:sz w:val="20"/>
          <w:szCs w:val="20"/>
          <w:color w:val="auto"/>
        </w:rPr>
      </w:pPr>
    </w:p>
    <w:p>
      <w:pPr>
        <w:ind w:left="560" w:right="20"/>
        <w:spacing w:after="0" w:line="275" w:lineRule="auto"/>
        <w:rPr>
          <w:sz w:val="20"/>
          <w:szCs w:val="20"/>
          <w:color w:val="auto"/>
        </w:rPr>
      </w:pPr>
      <w:r>
        <w:rPr>
          <w:rFonts w:ascii="Times New Roman" w:cs="Times New Roman" w:eastAsia="Times New Roman" w:hAnsi="Times New Roman"/>
          <w:sz w:val="16"/>
          <w:szCs w:val="16"/>
          <w:color w:val="auto"/>
        </w:rPr>
        <w:t>The redeemable non-controlling interest was initially measured at fair value on the date of issuance. When the redemption of a mezzanine-classified non-controlling interest becomes probable, the carrying amount of the redeemable non-controlling interest is increased by periodic accretions using the interest method so that the carrying amount will equal the redemption amount on the date that the shares become redeemable. These adjustments are recorded as accretion of redeemable non-controlling interest, with an offset to additional paid-in capital, on the consolidated statements of mezzanine equity and stockholders' equity (see Note 18).</w:t>
      </w:r>
    </w:p>
    <w:p>
      <w:pPr>
        <w:spacing w:after="0" w:line="75" w:lineRule="exact"/>
        <w:rPr>
          <w:sz w:val="20"/>
          <w:szCs w:val="20"/>
          <w:color w:val="auto"/>
        </w:rPr>
      </w:pPr>
    </w:p>
    <w:p>
      <w:pPr>
        <w:ind w:left="560" w:right="300"/>
        <w:spacing w:after="0" w:line="298" w:lineRule="auto"/>
        <w:rPr>
          <w:sz w:val="20"/>
          <w:szCs w:val="20"/>
          <w:color w:val="auto"/>
        </w:rPr>
      </w:pPr>
      <w:r>
        <w:rPr>
          <w:rFonts w:ascii="Times New Roman" w:cs="Times New Roman" w:eastAsia="Times New Roman" w:hAnsi="Times New Roman"/>
          <w:sz w:val="16"/>
          <w:szCs w:val="16"/>
          <w:color w:val="auto"/>
        </w:rPr>
        <w:t>Any such charges to additional paid-in capital affect net (loss) income available to CCC common stockholders as part of the Company's calculation of net (loss) income per share attributable to common stockholders.</w:t>
      </w:r>
    </w:p>
    <w:p>
      <w:pPr>
        <w:spacing w:after="0" w:line="54" w:lineRule="exact"/>
        <w:rPr>
          <w:sz w:val="20"/>
          <w:szCs w:val="20"/>
          <w:color w:val="auto"/>
        </w:rPr>
      </w:pPr>
    </w:p>
    <w:p>
      <w:pPr>
        <w:ind w:left="560" w:right="40"/>
        <w:spacing w:after="0" w:line="275" w:lineRule="auto"/>
        <w:rPr>
          <w:sz w:val="20"/>
          <w:szCs w:val="20"/>
          <w:color w:val="auto"/>
        </w:rPr>
      </w:pPr>
      <w:r>
        <w:rPr>
          <w:rFonts w:ascii="Times New Roman" w:cs="Times New Roman" w:eastAsia="Times New Roman" w:hAnsi="Times New Roman"/>
          <w:sz w:val="16"/>
          <w:szCs w:val="16"/>
          <w:b w:val="1"/>
          <w:bCs w:val="1"/>
          <w:color w:val="auto"/>
        </w:rPr>
        <w:t>Reclassifications</w:t>
      </w:r>
      <w:r>
        <w:rPr>
          <w:rFonts w:ascii="Times New Roman" w:cs="Times New Roman" w:eastAsia="Times New Roman" w:hAnsi="Times New Roman"/>
          <w:sz w:val="16"/>
          <w:szCs w:val="16"/>
          <w:color w:val="auto"/>
        </w:rPr>
        <w:t>—Certain reclassifications of prior period amounts have been made to conform to the current period presentation. For the year ended December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31, 2023, changes in the fair value of the Company's interest rate cap agreements are recognized within other income-net in the consolidated statements of operations and comprehensive (loss) income. Corresponding amounts recognized during the year ended December 31, 2022, were previously classified as a change in fair value of derivative instruments and have been reclassified to conform to the current period presentation. The amounts reclassified had no impact on net (loss) income.</w:t>
      </w:r>
    </w:p>
    <w:p>
      <w:pPr>
        <w:spacing w:after="0" w:line="277" w:lineRule="exact"/>
        <w:rPr>
          <w:sz w:val="20"/>
          <w:szCs w:val="20"/>
          <w:color w:val="auto"/>
        </w:rPr>
      </w:pPr>
    </w:p>
    <w:p>
      <w:pPr>
        <w:ind w:left="560"/>
        <w:spacing w:after="0" w:line="269" w:lineRule="auto"/>
        <w:rPr>
          <w:sz w:val="20"/>
          <w:szCs w:val="20"/>
          <w:color w:val="auto"/>
        </w:rPr>
      </w:pPr>
      <w:r>
        <w:rPr>
          <w:rFonts w:ascii="Times New Roman" w:cs="Times New Roman" w:eastAsia="Times New Roman" w:hAnsi="Times New Roman"/>
          <w:sz w:val="16"/>
          <w:szCs w:val="16"/>
          <w:b w:val="1"/>
          <w:bCs w:val="1"/>
          <w:color w:val="auto"/>
        </w:rPr>
        <w:t>Recently Adopted Accounting Pronouncements</w:t>
      </w:r>
      <w:r>
        <w:rPr>
          <w:rFonts w:ascii="Times New Roman" w:cs="Times New Roman" w:eastAsia="Times New Roman" w:hAnsi="Times New Roman"/>
          <w:sz w:val="16"/>
          <w:szCs w:val="16"/>
          <w:color w:val="auto"/>
        </w:rPr>
        <w:t>—Effective April 1, 2023, the Company adopted Accounting Standards Update ("ASU") 2020-04, Reference Rate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Reform (Topic 848): Facilitation of the Effects of Reference Rate Reform on Financial Reporting, and in January 2021 subsequently issued ASU 2021-01, which refines the scope of Topic 848. These ASUs provide optional expedients and exceptions for applying GAAP to contracts, hedging relationships, and other transactions, subject to meeting certain criteria, that reference the London Interbank Offered Rate ("LIBOR"), or another rate that is expected to be discontinued. ASU 2020-04 was effective upon issuance. In December 2022, the FASB issued ASU 2022-06 that defers the sunset date for applying the reference rate reform relief in Accounting Standards Codification ("ASC") 848 to December 31, 2024. The Company adopted these standards during the three months ended June 30, 2023 and transitioned the reference rate within its credit agreement and related interest rate cap agreements from LIBOR to the Secured Overnight Financing Rate ("SOFR") (see Note 16). The adoption of these standards did not have a material impact on the consolidated financial statements.</w:t>
      </w:r>
    </w:p>
    <w:p>
      <w:pPr>
        <w:spacing w:after="0" w:line="78" w:lineRule="exact"/>
        <w:rPr>
          <w:sz w:val="20"/>
          <w:szCs w:val="20"/>
          <w:color w:val="auto"/>
        </w:rPr>
      </w:pPr>
    </w:p>
    <w:p>
      <w:pPr>
        <w:ind w:left="580" w:right="380"/>
        <w:spacing w:after="0" w:line="273" w:lineRule="auto"/>
        <w:rPr>
          <w:sz w:val="20"/>
          <w:szCs w:val="20"/>
          <w:color w:val="auto"/>
        </w:rPr>
      </w:pPr>
      <w:r>
        <w:rPr>
          <w:rFonts w:ascii="Times New Roman" w:cs="Times New Roman" w:eastAsia="Times New Roman" w:hAnsi="Times New Roman"/>
          <w:sz w:val="16"/>
          <w:szCs w:val="16"/>
          <w:b w:val="1"/>
          <w:bCs w:val="1"/>
          <w:color w:val="auto"/>
        </w:rPr>
        <w:t>Recently Issued Accounting Pronouncements</w:t>
      </w:r>
      <w:r>
        <w:rPr>
          <w:rFonts w:ascii="Times New Roman" w:cs="Times New Roman" w:eastAsia="Times New Roman" w:hAnsi="Times New Roman"/>
          <w:sz w:val="16"/>
          <w:szCs w:val="16"/>
          <w:color w:val="auto"/>
        </w:rPr>
        <w:t>—In December 2023, the FASB issued ASU 2023-09,</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color w:val="auto"/>
        </w:rPr>
        <w:t>Income Taxes (Topic 740): Improvements to Income Tax</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color w:val="auto"/>
        </w:rPr>
        <w:t xml:space="preserve">Disclosures. </w:t>
      </w:r>
      <w:r>
        <w:rPr>
          <w:rFonts w:ascii="Times New Roman" w:cs="Times New Roman" w:eastAsia="Times New Roman" w:hAnsi="Times New Roman"/>
          <w:sz w:val="16"/>
          <w:szCs w:val="16"/>
          <w:color w:val="auto"/>
        </w:rPr>
        <w:t>This update requires entities to disclose disaggregated information about their effective tax rate reconciliation as well as expanded information 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income taxes paid by jurisdiction. The disclosure requirements will be applied on a prospective basis, with the option to apply them retrospectively. The amendments in this update are effective for fiscal years beginning after December 15, 2024, with early adoption permitted. The Company is evaluating the disclosure requirements related to this update.</w:t>
      </w:r>
    </w:p>
    <w:p>
      <w:pPr>
        <w:spacing w:after="0" w:line="74" w:lineRule="exact"/>
        <w:rPr>
          <w:sz w:val="20"/>
          <w:szCs w:val="20"/>
          <w:color w:val="auto"/>
        </w:rPr>
      </w:pPr>
    </w:p>
    <w:p>
      <w:pPr>
        <w:ind w:left="580" w:right="140"/>
        <w:spacing w:after="0" w:line="273" w:lineRule="auto"/>
        <w:rPr>
          <w:sz w:val="20"/>
          <w:szCs w:val="20"/>
          <w:color w:val="auto"/>
        </w:rPr>
      </w:pPr>
      <w:r>
        <w:rPr>
          <w:rFonts w:ascii="Times New Roman" w:cs="Times New Roman" w:eastAsia="Times New Roman" w:hAnsi="Times New Roman"/>
          <w:sz w:val="16"/>
          <w:szCs w:val="16"/>
          <w:color w:val="auto"/>
        </w:rPr>
        <w:t xml:space="preserve">In November 2023, the FASB issued ASU 2023-07, </w:t>
      </w:r>
      <w:r>
        <w:rPr>
          <w:rFonts w:ascii="Times New Roman" w:cs="Times New Roman" w:eastAsia="Times New Roman" w:hAnsi="Times New Roman"/>
          <w:sz w:val="16"/>
          <w:szCs w:val="16"/>
          <w:i w:val="1"/>
          <w:iCs w:val="1"/>
          <w:color w:val="auto"/>
        </w:rPr>
        <w:t>Segment Reporting (Topic 280): Improvements to Reportable Segment Disclosures.</w:t>
      </w:r>
      <w:r>
        <w:rPr>
          <w:rFonts w:ascii="Times New Roman" w:cs="Times New Roman" w:eastAsia="Times New Roman" w:hAnsi="Times New Roman"/>
          <w:sz w:val="16"/>
          <w:szCs w:val="16"/>
          <w:color w:val="auto"/>
        </w:rPr>
        <w:t xml:space="preserve"> This update is intended to improve reportable segment disclosure requirements, primarily through additional disclosures about significant segment expenses. The amendments in this update are effective for fiscal years beginning after December 31, 2023, and interim periods within fiscal years beginning after December 15, 2024, with early adoption permitted. The amendments should be applied retrospectively to all prior periods presented in the financial statements. The Company is evaluating the disclosure requirements related to this update.</w:t>
      </w:r>
    </w:p>
    <w:p>
      <w:pPr>
        <w:spacing w:after="0" w:line="182" w:lineRule="exact"/>
        <w:rPr>
          <w:sz w:val="20"/>
          <w:szCs w:val="20"/>
          <w:color w:val="auto"/>
        </w:rPr>
      </w:pPr>
    </w:p>
    <w:p>
      <w:pPr>
        <w:ind w:left="560" w:hanging="552"/>
        <w:spacing w:after="0"/>
        <w:tabs>
          <w:tab w:leader="none" w:pos="560" w:val="left"/>
        </w:tabs>
        <w:numPr>
          <w:ilvl w:val="0"/>
          <w:numId w:val="3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BUSINESS COMBINATION</w:t>
      </w:r>
    </w:p>
    <w:p>
      <w:pPr>
        <w:spacing w:after="0" w:line="129" w:lineRule="exact"/>
        <w:rPr>
          <w:sz w:val="20"/>
          <w:szCs w:val="20"/>
          <w:color w:val="auto"/>
        </w:rPr>
      </w:pPr>
    </w:p>
    <w:p>
      <w:pPr>
        <w:jc w:val="both"/>
        <w:ind w:left="560" w:right="120"/>
        <w:spacing w:after="0" w:line="267" w:lineRule="auto"/>
        <w:rPr>
          <w:sz w:val="20"/>
          <w:szCs w:val="20"/>
          <w:color w:val="auto"/>
        </w:rPr>
      </w:pPr>
      <w:r>
        <w:rPr>
          <w:rFonts w:ascii="Times New Roman" w:cs="Times New Roman" w:eastAsia="Times New Roman" w:hAnsi="Times New Roman"/>
          <w:sz w:val="16"/>
          <w:szCs w:val="16"/>
          <w:color w:val="auto"/>
        </w:rPr>
        <w:t>On July 30, 2021 ("Closing Date"), the Company consummated the Business Combination pursuant to the terms of the Business Combination Agreement, dated as of February 2, 2021, as amended, by and among Dragoneer, Chariot Opportunity Merger Sub, Inc. (“Chariot Merger Sub”), a Delaware corporation, and CCCIS, a Delaware corporation.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468630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6" w:right="339" w:bottom="1440" w:gutter="0" w:footer="0" w:header="0"/>
        </w:sectPr>
      </w:pPr>
    </w:p>
    <w:bookmarkStart w:id="70" w:name="page71"/>
    <w:bookmarkEnd w:id="70"/>
    <w:p>
      <w:pPr>
        <w:ind w:right="120"/>
        <w:spacing w:after="0" w:line="275" w:lineRule="auto"/>
        <w:rPr>
          <w:sz w:val="20"/>
          <w:szCs w:val="20"/>
          <w:color w:val="auto"/>
        </w:rPr>
      </w:pPr>
      <w:r>
        <w:rPr>
          <w:rFonts w:ascii="Times New Roman" w:cs="Times New Roman" w:eastAsia="Times New Roman" w:hAnsi="Times New Roman"/>
          <w:sz w:val="16"/>
          <w:szCs w:val="16"/>
          <w:color w:val="auto"/>
        </w:rPr>
        <w:t>Immediately upon the consummation of the Business Combination and the other transactions contemplated by the Business Combination Agreement (collectively, the “Transactions”), Chariot Merger Sub, a wholly-owned direct subsidiary of Dragoneer, merged with and into CCCIS, with CCCIS surviving the Business Combination as a wholly-owned direct subsidiary of Dragoneer (the “Merger”). In connection with the Transactions, Dragoneer changed its name to “CCC Intelligent Solutions Holdings Inc.”</w:t>
      </w:r>
    </w:p>
    <w:p>
      <w:pPr>
        <w:spacing w:after="0" w:line="75"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6"/>
          <w:szCs w:val="16"/>
          <w:color w:val="auto"/>
        </w:rPr>
        <w:t>The Merger was accounted for as a reverse recapitalization in accordance with GAAP. Under this method of accounting, Dragoneer was treated as the acquired company for accounting purposes and the Business Combination was treated as the equivalent of CCCIS issuing stock for the net assets of Dragoneer, accompanied by a recapitalization.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CCCIS was determined to be the accounting acquirer based on the following predominant factors among others:</w:t>
      </w:r>
    </w:p>
    <w:p>
      <w:pPr>
        <w:spacing w:after="0" w:line="127" w:lineRule="exact"/>
        <w:rPr>
          <w:sz w:val="20"/>
          <w:szCs w:val="20"/>
          <w:color w:val="auto"/>
        </w:rPr>
      </w:pPr>
    </w:p>
    <w:p>
      <w:pPr>
        <w:ind w:left="980" w:hanging="514"/>
        <w:spacing w:after="0"/>
        <w:tabs>
          <w:tab w:leader="none" w:pos="9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pre-Closing CCCIS stockholders continue to control the Company following the Closing of the Business Combination;</w:t>
      </w:r>
    </w:p>
    <w:p>
      <w:pPr>
        <w:spacing w:after="0" w:line="126" w:lineRule="exact"/>
        <w:rPr>
          <w:rFonts w:ascii="Times New Roman" w:cs="Times New Roman" w:eastAsia="Times New Roman" w:hAnsi="Times New Roman"/>
          <w:sz w:val="16"/>
          <w:szCs w:val="16"/>
          <w:color w:val="auto"/>
        </w:rPr>
      </w:pPr>
    </w:p>
    <w:p>
      <w:pPr>
        <w:ind w:left="980" w:hanging="514"/>
        <w:spacing w:after="0"/>
        <w:tabs>
          <w:tab w:leader="none" w:pos="9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of directors and management of the Company following the Business Combination are composed of individuals associated with CCCIS;</w:t>
      </w:r>
    </w:p>
    <w:p>
      <w:pPr>
        <w:spacing w:after="0" w:line="126" w:lineRule="exact"/>
        <w:rPr>
          <w:rFonts w:ascii="Times New Roman" w:cs="Times New Roman" w:eastAsia="Times New Roman" w:hAnsi="Times New Roman"/>
          <w:sz w:val="16"/>
          <w:szCs w:val="16"/>
          <w:color w:val="auto"/>
        </w:rPr>
      </w:pPr>
    </w:p>
    <w:p>
      <w:pPr>
        <w:ind w:left="980" w:hanging="514"/>
        <w:spacing w:after="0" w:line="298" w:lineRule="auto"/>
        <w:tabs>
          <w:tab w:leader="none" w:pos="9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CCCIS was the larger entity based on historical operating activity, assets, revenues, and employee base at the time of the Closing of the Transactions; and</w:t>
      </w:r>
    </w:p>
    <w:p>
      <w:pPr>
        <w:spacing w:after="0" w:line="56" w:lineRule="exact"/>
        <w:rPr>
          <w:rFonts w:ascii="Times New Roman" w:cs="Times New Roman" w:eastAsia="Times New Roman" w:hAnsi="Times New Roman"/>
          <w:sz w:val="16"/>
          <w:szCs w:val="16"/>
          <w:color w:val="auto"/>
        </w:rPr>
      </w:pPr>
    </w:p>
    <w:p>
      <w:pPr>
        <w:ind w:left="980" w:hanging="514"/>
        <w:spacing w:after="0"/>
        <w:tabs>
          <w:tab w:leader="none" w:pos="9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ongoing operations of the Company following the Business Combination comprise those of CCCIS.</w:t>
      </w:r>
    </w:p>
    <w:p>
      <w:pPr>
        <w:spacing w:after="0" w:line="127" w:lineRule="exact"/>
        <w:rPr>
          <w:sz w:val="20"/>
          <w:szCs w:val="20"/>
          <w:color w:val="auto"/>
        </w:rPr>
      </w:pPr>
    </w:p>
    <w:p>
      <w:pPr>
        <w:ind w:right="240"/>
        <w:spacing w:after="0" w:line="298" w:lineRule="auto"/>
        <w:rPr>
          <w:sz w:val="20"/>
          <w:szCs w:val="20"/>
          <w:color w:val="auto"/>
        </w:rPr>
      </w:pPr>
      <w:r>
        <w:rPr>
          <w:rFonts w:ascii="Times New Roman" w:cs="Times New Roman" w:eastAsia="Times New Roman" w:hAnsi="Times New Roman"/>
          <w:sz w:val="16"/>
          <w:szCs w:val="16"/>
          <w:color w:val="auto"/>
        </w:rPr>
        <w:t>The net assets of Dragoneer are stated at historical cost, with no goodwill or other intangible assets recorded. Reported shares and earnings per share available to holders of CCCIS’s capital stock and equity awards prior to the Business Combination have been retroactively restated reflecting the Exchange Ratio.</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Pursuant to the Merger, at the Effective Time of the Merger (the “Effective Time”):</w:t>
      </w:r>
    </w:p>
    <w:p>
      <w:pPr>
        <w:spacing w:after="0" w:line="127" w:lineRule="exact"/>
        <w:rPr>
          <w:sz w:val="20"/>
          <w:szCs w:val="20"/>
          <w:color w:val="auto"/>
        </w:rPr>
      </w:pPr>
    </w:p>
    <w:p>
      <w:pPr>
        <w:ind w:left="980" w:right="60" w:hanging="514"/>
        <w:spacing w:after="0" w:line="281" w:lineRule="auto"/>
        <w:tabs>
          <w:tab w:leader="none" w:pos="9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share of CCCIS common stock that was issued and outstanding immediately prior to the Effective Time was automatically canceled and converted into the right to receive shares of the Company’s common stock based on the Exchange Ratio, rounded down to the nearest whole number of shares;</w:t>
      </w:r>
    </w:p>
    <w:p>
      <w:pPr>
        <w:spacing w:after="0" w:line="69" w:lineRule="exact"/>
        <w:rPr>
          <w:rFonts w:ascii="Times New Roman" w:cs="Times New Roman" w:eastAsia="Times New Roman" w:hAnsi="Times New Roman"/>
          <w:sz w:val="16"/>
          <w:szCs w:val="16"/>
          <w:color w:val="auto"/>
        </w:rPr>
      </w:pPr>
    </w:p>
    <w:p>
      <w:pPr>
        <w:ind w:left="980" w:right="120" w:hanging="514"/>
        <w:spacing w:after="0" w:line="272" w:lineRule="auto"/>
        <w:tabs>
          <w:tab w:leader="none" w:pos="9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option to purchase shares of CCCIS common stock, whether vested or unvested, that was outstanding and unexercised as of immediately prior to the Effective Time was assumed by the Company and became an option (vested or unvested, as applicable) to purchase a number of shares of the Company’s common stock equal to the number of shares of CCCIS common stock subject to such option immediately prior to the Effective Time multiplied by the Exchange Ratio, rounded down to the nearest whole number of shares, at an exercise price equal to the exercise price per share of such option immediately prior to the Effective Time divided by the Exchange Ratio and rounded up to the nearest whole cent;</w:t>
      </w:r>
    </w:p>
    <w:p>
      <w:pPr>
        <w:spacing w:after="0" w:line="77" w:lineRule="exact"/>
        <w:rPr>
          <w:rFonts w:ascii="Times New Roman" w:cs="Times New Roman" w:eastAsia="Times New Roman" w:hAnsi="Times New Roman"/>
          <w:sz w:val="16"/>
          <w:szCs w:val="16"/>
          <w:color w:val="auto"/>
        </w:rPr>
      </w:pPr>
    </w:p>
    <w:p>
      <w:pPr>
        <w:ind w:left="980" w:right="380" w:hanging="514"/>
        <w:spacing w:after="0" w:line="298" w:lineRule="auto"/>
        <w:tabs>
          <w:tab w:leader="none" w:pos="9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Dragoneer’s redeemable Class A ordinary shares and Class B ordinary shares that were issued and outstanding immediately prior to the Effective Time were exchanged for an equal number of shares of the Company’s common stock.</w:t>
      </w:r>
    </w:p>
    <w:p>
      <w:pPr>
        <w:spacing w:after="0" w:line="56" w:lineRule="exact"/>
        <w:rPr>
          <w:sz w:val="20"/>
          <w:szCs w:val="20"/>
          <w:color w:val="auto"/>
        </w:rPr>
      </w:pPr>
    </w:p>
    <w:p>
      <w:pPr>
        <w:jc w:val="both"/>
        <w:ind w:right="260"/>
        <w:spacing w:after="0" w:line="281" w:lineRule="auto"/>
        <w:rPr>
          <w:sz w:val="20"/>
          <w:szCs w:val="20"/>
          <w:color w:val="auto"/>
        </w:rPr>
      </w:pPr>
      <w:r>
        <w:rPr>
          <w:rFonts w:ascii="Times New Roman" w:cs="Times New Roman" w:eastAsia="Times New Roman" w:hAnsi="Times New Roman"/>
          <w:sz w:val="16"/>
          <w:szCs w:val="16"/>
          <w:color w:val="auto"/>
        </w:rPr>
        <w:t>Concurrently with the execution of the Business Combination Agreement, the Company entered into subscription agreements with certain institutional investors (the “PIPE Investors”), pursuant to which the PIPE Investors purchased, immediately prior to the Closing, an aggregate of 15,000,000 shares of the Company’s common stock at a purchase price of $10.00 per share.</w:t>
      </w:r>
    </w:p>
    <w:p>
      <w:pPr>
        <w:spacing w:after="0" w:line="69"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6"/>
          <w:szCs w:val="16"/>
          <w:color w:val="auto"/>
        </w:rPr>
        <w:t>Prior to the Closing, the Company entered into forward purchase agreements with Dragoneer Funding LLC and Willett Advisors LLC, pursuant to which the Company issued an aggregate of 17,500,000 forward purchase units, each consisting of one common share and one-fifth of one Public Warrant to purchase one common share for $11.50 per share, for a purchase price of $10.00 per unit. The Public Warrants were redeemed in December 2021 (see Note 22).</w:t>
      </w:r>
    </w:p>
    <w:p>
      <w:pPr>
        <w:spacing w:after="0" w:line="69"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Effective upon Closing, 8,625,000 shares issued and held by Dragoneer Growth Opportunities Holdings (the “Sponsor Vesting Shares”) became non-transferable and subject to forfeiture on the tenth anniversary of Closing if neither of the following triggering events has occurred: (a) the share price of the Company’s common stock has been greater than or equal to $13.00 per share for any twenty trading days within any thirty consecutive trading day period beginning after Closing, or (b) a change in control as defined in the Business Combination Agreement. The Sponsor Vesting Shares do not meet the criteria to be classified as a liability and are presented within stockholders’ equity.</w:t>
      </w:r>
    </w:p>
    <w:p>
      <w:pPr>
        <w:spacing w:after="0" w:line="78"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6"/>
          <w:szCs w:val="16"/>
          <w:color w:val="auto"/>
        </w:rPr>
        <w:t>As part of the Business Combination, 15.0 million shares of the Company’s common stock (the “Company Earnout Shares”) shall be issued to CCCIS shareholders existing as of immediately prior to Closing and holders of vested and unvested equity awards of CCCIS as of the date of the Business Combination Agreement (subject to continued employment), following a triggering event (“CCC Triggering Event”). A CCC Triggering Event is defined as the earlier of (a) the first date on which the shares of the Company’s common stock have traded for greater than or equal to $15.00 per share for any twenty trading days within any thirty consecutive trading day period commencing after the Closing or (b) a change in control as defined in the Business Combination Agreement. If a CCC Triggering Event does not occur within ten years after Closing, the CCC Earnout Shares will be forfeited.</w:t>
      </w:r>
    </w:p>
    <w:p>
      <w:pPr>
        <w:spacing w:after="0" w:line="76" w:lineRule="exact"/>
        <w:rPr>
          <w:sz w:val="20"/>
          <w:szCs w:val="20"/>
          <w:color w:val="auto"/>
        </w:rPr>
      </w:pPr>
    </w:p>
    <w:p>
      <w:pPr>
        <w:jc w:val="both"/>
        <w:ind w:right="140"/>
        <w:spacing w:after="0" w:line="281" w:lineRule="auto"/>
        <w:rPr>
          <w:sz w:val="20"/>
          <w:szCs w:val="20"/>
          <w:color w:val="auto"/>
        </w:rPr>
      </w:pPr>
      <w:r>
        <w:rPr>
          <w:rFonts w:ascii="Times New Roman" w:cs="Times New Roman" w:eastAsia="Times New Roman" w:hAnsi="Times New Roman"/>
          <w:sz w:val="16"/>
          <w:szCs w:val="16"/>
          <w:color w:val="auto"/>
        </w:rPr>
        <w:t>Of the 15.0 million Company Earnout Shares, 13.5 million shares are reserved for issuance to CCCIS shareholders. The Company Earnout Shares do not meet the criteria to be classified as a liability and the fair value of the shares reserved for shareholders of $98.9 million was charged to additional paid-in capital during the year ended December 31, 2021. The remaining 1.5 million Company Earnout Shares are reserved for issuance to CCCIS option holders (see Note 21).</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Earnout Shares are not issued shares and are excluded from the table of common stock outstanding below.</w:t>
      </w:r>
    </w:p>
    <w:p>
      <w:pPr>
        <w:spacing w:after="0" w:line="26"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468630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880" w:top="1098"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color w:val="auto"/>
        </w:rPr>
        <w:t>The total number of shares of the Company’s common stock outstanding immediately following the Closing was 603,170,380, comprised as follows:</w:t>
      </w:r>
    </w:p>
    <w:p>
      <w:pPr>
        <w:sectPr>
          <w:pgSz w:w="11900" w:h="16838" w:orient="portrait"/>
          <w:cols w:equalWidth="0" w:num="1">
            <w:col w:w="10600"/>
          </w:cols>
          <w:pgMar w:left="880" w:top="1098" w:right="419" w:bottom="1440" w:gutter="0" w:footer="0" w:header="0"/>
        </w:sectPr>
      </w:pPr>
    </w:p>
    <w:p>
      <w:pPr>
        <w:spacing w:after="0" w:line="30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Shares issued to Dragoneer public shareholders and Sponsor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-95885</wp:posOffset>
            </wp:positionV>
            <wp:extent cx="4989195" cy="11112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989195" cy="111125"/>
                    </a:xfrm>
                    <a:prstGeom prst="rect">
                      <a:avLst/>
                    </a:prstGeom>
                    <a:noFill/>
                  </pic:spPr>
                </pic:pic>
              </a:graphicData>
            </a:graphic>
          </wp:anchor>
        </w:drawing>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Sponsor Vesting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6985</wp:posOffset>
            </wp:positionV>
            <wp:extent cx="4989195" cy="11112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989195" cy="111125"/>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4"/>
          <w:szCs w:val="14"/>
          <w:color w:val="auto"/>
        </w:rPr>
        <w:t>Shares issued to Legacy CCC shareholders</w:t>
      </w:r>
    </w:p>
    <w:p>
      <w:pPr>
        <w:spacing w:after="0" w:line="1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Shares issued to Forward Purchasers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6985</wp:posOffset>
            </wp:positionV>
            <wp:extent cx="4989195" cy="1200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989195" cy="120015"/>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4"/>
          <w:szCs w:val="14"/>
          <w:color w:val="auto"/>
        </w:rPr>
        <w:t>Shares issued to PIPE Investors</w:t>
      </w:r>
    </w:p>
    <w:p>
      <w:pPr>
        <w:spacing w:after="0" w:line="27" w:lineRule="exact"/>
        <w:rPr>
          <w:sz w:val="20"/>
          <w:szCs w:val="20"/>
          <w:color w:val="auto"/>
        </w:rPr>
      </w:pPr>
    </w:p>
    <w:p>
      <w:pPr>
        <w:ind w:left="1260" w:right="1800" w:hanging="107"/>
        <w:spacing w:after="0" w:line="243" w:lineRule="auto"/>
        <w:rPr>
          <w:sz w:val="20"/>
          <w:szCs w:val="20"/>
          <w:color w:val="auto"/>
        </w:rPr>
      </w:pPr>
      <w:r>
        <w:rPr>
          <w:rFonts w:ascii="Times New Roman" w:cs="Times New Roman" w:eastAsia="Times New Roman" w:hAnsi="Times New Roman"/>
          <w:sz w:val="14"/>
          <w:szCs w:val="14"/>
          <w:color w:val="auto"/>
        </w:rPr>
        <w:t>Total shares of common stock outstanding immediately following the Business Combination</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jc w:val="right"/>
        <w:ind w:right="1680"/>
        <w:spacing w:after="0"/>
        <w:rPr>
          <w:sz w:val="20"/>
          <w:szCs w:val="20"/>
          <w:color w:val="auto"/>
        </w:rPr>
      </w:pPr>
      <w:r>
        <w:rPr>
          <w:rFonts w:ascii="Times New Roman" w:cs="Times New Roman" w:eastAsia="Times New Roman" w:hAnsi="Times New Roman"/>
          <w:sz w:val="14"/>
          <w:szCs w:val="14"/>
          <w:color w:val="auto"/>
        </w:rPr>
        <w:t>56,615,002</w:t>
      </w:r>
    </w:p>
    <w:p>
      <w:pPr>
        <w:spacing w:after="0" w:line="27" w:lineRule="exact"/>
        <w:rPr>
          <w:sz w:val="20"/>
          <w:szCs w:val="20"/>
          <w:color w:val="auto"/>
        </w:rPr>
      </w:pPr>
    </w:p>
    <w:p>
      <w:pPr>
        <w:jc w:val="right"/>
        <w:ind w:right="1680"/>
        <w:spacing w:after="0"/>
        <w:rPr>
          <w:sz w:val="20"/>
          <w:szCs w:val="20"/>
          <w:color w:val="auto"/>
        </w:rPr>
      </w:pPr>
      <w:r>
        <w:rPr>
          <w:rFonts w:ascii="Times New Roman" w:cs="Times New Roman" w:eastAsia="Times New Roman" w:hAnsi="Times New Roman"/>
          <w:sz w:val="14"/>
          <w:szCs w:val="14"/>
          <w:color w:val="auto"/>
        </w:rPr>
        <w:t>8,625,000</w:t>
      </w:r>
    </w:p>
    <w:p>
      <w:pPr>
        <w:spacing w:after="0" w:line="15" w:lineRule="exact"/>
        <w:rPr>
          <w:sz w:val="20"/>
          <w:szCs w:val="20"/>
          <w:color w:val="auto"/>
        </w:rPr>
      </w:pPr>
    </w:p>
    <w:p>
      <w:pPr>
        <w:jc w:val="right"/>
        <w:ind w:right="1680"/>
        <w:spacing w:after="0"/>
        <w:rPr>
          <w:sz w:val="20"/>
          <w:szCs w:val="20"/>
          <w:color w:val="auto"/>
        </w:rPr>
      </w:pPr>
      <w:r>
        <w:rPr>
          <w:rFonts w:ascii="Times New Roman" w:cs="Times New Roman" w:eastAsia="Times New Roman" w:hAnsi="Times New Roman"/>
          <w:sz w:val="14"/>
          <w:szCs w:val="14"/>
          <w:color w:val="auto"/>
        </w:rPr>
        <w:t>505,430,378</w:t>
      </w:r>
    </w:p>
    <w:p>
      <w:pPr>
        <w:spacing w:after="0" w:line="15" w:lineRule="exact"/>
        <w:rPr>
          <w:sz w:val="20"/>
          <w:szCs w:val="20"/>
          <w:color w:val="auto"/>
        </w:rPr>
      </w:pPr>
    </w:p>
    <w:p>
      <w:pPr>
        <w:jc w:val="right"/>
        <w:ind w:right="1680"/>
        <w:spacing w:after="0"/>
        <w:rPr>
          <w:sz w:val="20"/>
          <w:szCs w:val="20"/>
          <w:color w:val="auto"/>
        </w:rPr>
      </w:pPr>
      <w:r>
        <w:rPr>
          <w:rFonts w:ascii="Times New Roman" w:cs="Times New Roman" w:eastAsia="Times New Roman" w:hAnsi="Times New Roman"/>
          <w:sz w:val="14"/>
          <w:szCs w:val="14"/>
          <w:color w:val="auto"/>
        </w:rPr>
        <w:t>17,500,000</w:t>
      </w:r>
    </w:p>
    <w:p>
      <w:pPr>
        <w:spacing w:after="0" w:line="15" w:lineRule="exact"/>
        <w:rPr>
          <w:sz w:val="20"/>
          <w:szCs w:val="20"/>
          <w:color w:val="auto"/>
        </w:rPr>
      </w:pPr>
    </w:p>
    <w:p>
      <w:pPr>
        <w:jc w:val="right"/>
        <w:ind w:right="1680"/>
        <w:spacing w:after="0"/>
        <w:rPr>
          <w:sz w:val="20"/>
          <w:szCs w:val="20"/>
          <w:color w:val="auto"/>
        </w:rPr>
      </w:pPr>
      <w:r>
        <w:rPr>
          <w:rFonts w:ascii="Times New Roman" w:cs="Times New Roman" w:eastAsia="Times New Roman" w:hAnsi="Times New Roman"/>
          <w:sz w:val="14"/>
          <w:szCs w:val="14"/>
          <w:color w:val="auto"/>
        </w:rPr>
        <w:t>15,000,000</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603,170,380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15240</wp:posOffset>
            </wp:positionV>
            <wp:extent cx="90868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32385</wp:posOffset>
            </wp:positionV>
            <wp:extent cx="90868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158" w:lineRule="exact"/>
        <w:rPr>
          <w:sz w:val="20"/>
          <w:szCs w:val="20"/>
          <w:color w:val="auto"/>
        </w:rPr>
      </w:pPr>
    </w:p>
    <w:p>
      <w:pPr>
        <w:sectPr>
          <w:pgSz w:w="11900" w:h="16838" w:orient="portrait"/>
          <w:cols w:equalWidth="0" w:num="2">
            <w:col w:w="7480" w:space="720"/>
            <w:col w:w="2400"/>
          </w:cols>
          <w:pgMar w:left="880" w:top="1098" w:right="419" w:bottom="1440" w:gutter="0" w:footer="0" w:header="0"/>
          <w:type w:val="continuous"/>
        </w:sectPr>
      </w:pPr>
    </w:p>
    <w:p>
      <w:pPr>
        <w:spacing w:after="0" w:line="281" w:lineRule="auto"/>
        <w:rPr>
          <w:sz w:val="20"/>
          <w:szCs w:val="20"/>
          <w:color w:val="auto"/>
        </w:rPr>
      </w:pPr>
      <w:r>
        <w:rPr>
          <w:rFonts w:ascii="Times New Roman" w:cs="Times New Roman" w:eastAsia="Times New Roman" w:hAnsi="Times New Roman"/>
          <w:sz w:val="16"/>
          <w:szCs w:val="16"/>
          <w:color w:val="auto"/>
        </w:rPr>
        <w:t>In connection with the Business Combination, the Company incurred underwriting fees and other costs considered direct and incremental to the transaction totaling $11.1 million (before tax), consisting of legal, accounting, financial advisory and other professional fees. These amounts were treated as a reduction of the cash proceeds and were deducted from the Company’s additional paid-in capital.</w:t>
      </w:r>
    </w:p>
    <w:p>
      <w:pPr>
        <w:spacing w:after="0" w:line="69"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6"/>
          <w:szCs w:val="16"/>
          <w:color w:val="auto"/>
        </w:rPr>
        <w:t>The following table reconciles the elements of the Business Combination to the consolidated statement of cash flows and the consolidated statement of mezzanine equity and stockholders’ equity for the year ended December 31, 2021 (in thousands).</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Cash - Dragoneer trust and cash</w:t>
            </w:r>
          </w:p>
        </w:tc>
        <w:tc>
          <w:tcPr>
            <w:tcW w:w="420" w:type="dxa"/>
            <w:vAlign w:val="bottom"/>
            <w:shd w:val="clear" w:color="auto" w:fill="CFF0FC"/>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449,441</w:t>
            </w:r>
          </w:p>
        </w:tc>
        <w:tc>
          <w:tcPr>
            <w:tcW w:w="80" w:type="dxa"/>
            <w:vAlign w:val="bottom"/>
            <w:shd w:val="clear" w:color="auto" w:fill="CFF0FC"/>
          </w:tcPr>
          <w:p>
            <w:pPr>
              <w:spacing w:after="0"/>
              <w:rPr>
                <w:sz w:val="15"/>
                <w:szCs w:val="15"/>
                <w:color w:val="auto"/>
              </w:rPr>
            </w:pPr>
          </w:p>
        </w:tc>
      </w:tr>
      <w:tr>
        <w:trPr>
          <w:trHeight w:val="176"/>
        </w:trPr>
        <w:tc>
          <w:tcPr>
            <w:tcW w:w="6560" w:type="dxa"/>
            <w:vAlign w:val="bottom"/>
          </w:tcPr>
          <w:p>
            <w:pPr>
              <w:spacing w:after="0"/>
              <w:rPr>
                <w:sz w:val="20"/>
                <w:szCs w:val="20"/>
                <w:color w:val="auto"/>
              </w:rPr>
            </w:pPr>
            <w:r>
              <w:rPr>
                <w:rFonts w:ascii="Times New Roman" w:cs="Times New Roman" w:eastAsia="Times New Roman" w:hAnsi="Times New Roman"/>
                <w:sz w:val="14"/>
                <w:szCs w:val="14"/>
                <w:color w:val="auto"/>
              </w:rPr>
              <w:t>Cash - PIPE Financing</w:t>
            </w:r>
          </w:p>
        </w:tc>
        <w:tc>
          <w:tcPr>
            <w:tcW w:w="4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80" w:type="dxa"/>
            <w:vAlign w:val="bottom"/>
          </w:tcPr>
          <w:p>
            <w:pPr>
              <w:spacing w:after="0"/>
              <w:rPr>
                <w:sz w:val="15"/>
                <w:szCs w:val="15"/>
                <w:color w:val="auto"/>
              </w:rPr>
            </w:pPr>
          </w:p>
        </w:tc>
      </w:tr>
      <w:tr>
        <w:trPr>
          <w:trHeight w:val="175"/>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Cash - Forward Purchase Agreements</w:t>
            </w:r>
          </w:p>
        </w:tc>
        <w:tc>
          <w:tcPr>
            <w:tcW w:w="4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175,000</w:t>
            </w:r>
          </w:p>
        </w:tc>
        <w:tc>
          <w:tcPr>
            <w:tcW w:w="80" w:type="dxa"/>
            <w:vAlign w:val="bottom"/>
            <w:shd w:val="clear" w:color="auto" w:fill="CFF0FC"/>
          </w:tcPr>
          <w:p>
            <w:pPr>
              <w:spacing w:after="0"/>
              <w:rPr>
                <w:sz w:val="15"/>
                <w:szCs w:val="15"/>
                <w:color w:val="auto"/>
              </w:rPr>
            </w:pPr>
          </w:p>
        </w:tc>
      </w:tr>
      <w:tr>
        <w:trPr>
          <w:trHeight w:val="176"/>
        </w:trPr>
        <w:tc>
          <w:tcPr>
            <w:tcW w:w="6560" w:type="dxa"/>
            <w:vAlign w:val="bottom"/>
          </w:tcPr>
          <w:p>
            <w:pPr>
              <w:spacing w:after="0"/>
              <w:rPr>
                <w:sz w:val="20"/>
                <w:szCs w:val="20"/>
                <w:color w:val="auto"/>
              </w:rPr>
            </w:pPr>
            <w:r>
              <w:rPr>
                <w:rFonts w:ascii="Times New Roman" w:cs="Times New Roman" w:eastAsia="Times New Roman" w:hAnsi="Times New Roman"/>
                <w:sz w:val="14"/>
                <w:szCs w:val="14"/>
                <w:color w:val="auto"/>
              </w:rPr>
              <w:t>Less: transaction costs and advisory fees</w:t>
            </w:r>
          </w:p>
        </w:tc>
        <w:tc>
          <w:tcPr>
            <w:tcW w:w="420" w:type="dxa"/>
            <w:vAlign w:val="bottom"/>
          </w:tcPr>
          <w:p>
            <w:pPr>
              <w:spacing w:after="0"/>
              <w:rPr>
                <w:sz w:val="15"/>
                <w:szCs w:val="15"/>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(11,141 )</w:t>
            </w:r>
          </w:p>
        </w:tc>
      </w:tr>
      <w:tr>
        <w:trPr>
          <w:trHeight w:val="169"/>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cash contributions from Business Combination</w:t>
            </w:r>
          </w:p>
        </w:tc>
        <w:tc>
          <w:tcPr>
            <w:tcW w:w="420" w:type="dxa"/>
            <w:vAlign w:val="bottom"/>
            <w:tcBorders>
              <w:top w:val="single" w:sz="8" w:color="auto"/>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763,300</w:t>
            </w:r>
          </w:p>
        </w:tc>
        <w:tc>
          <w:tcPr>
            <w:tcW w:w="80" w:type="dxa"/>
            <w:vAlign w:val="bottom"/>
            <w:shd w:val="clear" w:color="auto" w:fill="CFF0FC"/>
          </w:tcPr>
          <w:p>
            <w:pPr>
              <w:spacing w:after="0"/>
              <w:rPr>
                <w:sz w:val="14"/>
                <w:szCs w:val="14"/>
                <w:color w:val="auto"/>
              </w:rPr>
            </w:pPr>
          </w:p>
        </w:tc>
      </w:tr>
      <w:tr>
        <w:trPr>
          <w:trHeight w:val="175"/>
        </w:trPr>
        <w:tc>
          <w:tcPr>
            <w:tcW w:w="6560" w:type="dxa"/>
            <w:vAlign w:val="bottom"/>
          </w:tcPr>
          <w:p>
            <w:pPr>
              <w:spacing w:after="0"/>
              <w:rPr>
                <w:sz w:val="20"/>
                <w:szCs w:val="20"/>
                <w:color w:val="auto"/>
              </w:rPr>
            </w:pPr>
            <w:r>
              <w:rPr>
                <w:rFonts w:ascii="Times New Roman" w:cs="Times New Roman" w:eastAsia="Times New Roman" w:hAnsi="Times New Roman"/>
                <w:sz w:val="14"/>
                <w:szCs w:val="14"/>
                <w:color w:val="auto"/>
              </w:rPr>
              <w:t>Less: non-cash fair value of Public Warrants and Private Warrants</w:t>
            </w:r>
          </w:p>
        </w:tc>
        <w:tc>
          <w:tcPr>
            <w:tcW w:w="420" w:type="dxa"/>
            <w:vAlign w:val="bottom"/>
          </w:tcPr>
          <w:p>
            <w:pPr>
              <w:spacing w:after="0"/>
              <w:rPr>
                <w:sz w:val="15"/>
                <w:szCs w:val="15"/>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(58,459 )</w:t>
            </w:r>
          </w:p>
        </w:tc>
      </w:tr>
      <w:tr>
        <w:trPr>
          <w:trHeight w:val="209"/>
        </w:trPr>
        <w:tc>
          <w:tcPr>
            <w:tcW w:w="6560" w:type="dxa"/>
            <w:vAlign w:val="bottom"/>
            <w:tcBorders>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Net equity infusion from Business Combination</w:t>
            </w:r>
          </w:p>
        </w:tc>
        <w:tc>
          <w:tcPr>
            <w:tcW w:w="420" w:type="dxa"/>
            <w:vAlign w:val="bottom"/>
            <w:tcBorders>
              <w:top w:val="single" w:sz="8" w:color="auto"/>
              <w:bottom w:val="single" w:sz="8" w:color="auto"/>
            </w:tcBorders>
            <w:shd w:val="clear" w:color="auto" w:fill="CFF0FC"/>
          </w:tcPr>
          <w:p>
            <w:pPr>
              <w:jc w:val="right"/>
              <w:ind w:right="2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704,841</w:t>
            </w:r>
          </w:p>
        </w:tc>
        <w:tc>
          <w:tcPr>
            <w:tcW w:w="8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5667375</wp:posOffset>
            </wp:positionH>
            <wp:positionV relativeFrom="paragraph">
              <wp:posOffset>-25400</wp:posOffset>
            </wp:positionV>
            <wp:extent cx="431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5667375</wp:posOffset>
            </wp:positionH>
            <wp:positionV relativeFrom="paragraph">
              <wp:posOffset>-7620</wp:posOffset>
            </wp:positionV>
            <wp:extent cx="431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880" w:top="1098" w:right="419" w:bottom="1440" w:gutter="0" w:footer="0" w:header="0"/>
          <w:type w:val="continuous"/>
        </w:sectPr>
      </w:pPr>
    </w:p>
    <w:bookmarkStart w:id="72" w:name="page73"/>
    <w:bookmarkEnd w:id="72"/>
    <w:p>
      <w:pPr>
        <w:ind w:left="520" w:hanging="512"/>
        <w:spacing w:after="0"/>
        <w:tabs>
          <w:tab w:leader="none" w:pos="52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ACQUISITION</w:t>
      </w:r>
    </w:p>
    <w:p>
      <w:pPr>
        <w:spacing w:after="0" w:line="125" w:lineRule="exact"/>
        <w:rPr>
          <w:rFonts w:ascii="Times New Roman" w:cs="Times New Roman" w:eastAsia="Times New Roman" w:hAnsi="Times New Roman"/>
          <w:sz w:val="18"/>
          <w:szCs w:val="18"/>
          <w:b w:val="1"/>
          <w:bCs w:val="1"/>
          <w:color w:val="auto"/>
        </w:rPr>
      </w:pPr>
    </w:p>
    <w:p>
      <w:pPr>
        <w:ind w:left="520" w:right="140"/>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6"/>
          <w:szCs w:val="16"/>
          <w:color w:val="auto"/>
        </w:rPr>
        <w:t>On February 8, 2022, the Company completed its acquisition of Safekeep, Inc. (“Safekeep”), a privately held company that leverages AI to streamline and improve subrogation management across auto, property, workers’ compensation and other insurance lines of business. Leveraging Safekeep’s AI-enabled subrogation solutions, the acquisition broadens the Company’s portfolio of cloud-based solutions available to its insurance customers.</w:t>
      </w:r>
    </w:p>
    <w:p>
      <w:pPr>
        <w:spacing w:after="0" w:line="69" w:lineRule="exact"/>
        <w:rPr>
          <w:rFonts w:ascii="Times New Roman" w:cs="Times New Roman" w:eastAsia="Times New Roman" w:hAnsi="Times New Roman"/>
          <w:sz w:val="18"/>
          <w:szCs w:val="18"/>
          <w:b w:val="1"/>
          <w:bCs w:val="1"/>
          <w:color w:val="auto"/>
        </w:rPr>
      </w:pPr>
    </w:p>
    <w:p>
      <w:pPr>
        <w:ind w:left="520" w:right="100"/>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6"/>
          <w:szCs w:val="16"/>
          <w:color w:val="auto"/>
        </w:rPr>
        <w:t>In exchange for all the outstanding shares of Safekeep, the Company paid total cash consideration of $32.3 million upon closing. In accordance with the acquisition agreement, the Company placed $6.0 million in escrow for a general indemnity holdback to be paid to the sellers within 15 months of closing, subject to reduction for certain indemnifications and other potential obligations of the selling shareholders. The remaining cash held in escrow was paid to the sellers in May 2023.</w:t>
      </w:r>
    </w:p>
    <w:p>
      <w:pPr>
        <w:spacing w:after="0" w:line="69" w:lineRule="exact"/>
        <w:rPr>
          <w:rFonts w:ascii="Times New Roman" w:cs="Times New Roman" w:eastAsia="Times New Roman" w:hAnsi="Times New Roman"/>
          <w:sz w:val="18"/>
          <w:szCs w:val="18"/>
          <w:b w:val="1"/>
          <w:bCs w:val="1"/>
          <w:color w:val="auto"/>
        </w:rPr>
      </w:pPr>
    </w:p>
    <w:p>
      <w:pPr>
        <w:ind w:left="520" w:right="4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6"/>
          <w:szCs w:val="16"/>
          <w:color w:val="auto"/>
        </w:rPr>
        <w:t>As additional consideration for the shares, the acquisition agreement includes a contingent earnout for additional cash consideration. The potential amount of the earnout is calculated as a multiple of revenue, above a defined floor, during the 12-month measurement period ending December 31, 2024 and is not to exceed $90.0 million. The fair value of the contingent consideration as of the acquisition date of $0.2 million was estimated using a Monte Carlo simulation model that relies on unobservable inputs, including management estimates and assumptions. Thus, the contingent earnout is a Level 3 measurement.</w:t>
      </w:r>
    </w:p>
    <w:p>
      <w:pPr>
        <w:spacing w:after="0" w:line="74"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6"/>
          <w:szCs w:val="16"/>
          <w:color w:val="auto"/>
        </w:rPr>
        <w:t>The acquisition date fair value of the consideration transferred was $32.5 million, which consisted of the following (in thousands):</w:t>
      </w:r>
    </w:p>
    <w:p>
      <w:pPr>
        <w:spacing w:after="0" w:line="140"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8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paid through closing</w:t>
            </w:r>
          </w:p>
        </w:tc>
        <w:tc>
          <w:tcPr>
            <w:tcW w:w="720" w:type="dxa"/>
            <w:vAlign w:val="bottom"/>
            <w:shd w:val="clear" w:color="auto" w:fill="CFF0FC"/>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32,300</w:t>
            </w:r>
          </w:p>
        </w:tc>
        <w:tc>
          <w:tcPr>
            <w:tcW w:w="100" w:type="dxa"/>
            <w:vAlign w:val="bottom"/>
            <w:shd w:val="clear" w:color="auto" w:fill="CFF0FC"/>
          </w:tcPr>
          <w:p>
            <w:pPr>
              <w:spacing w:after="0"/>
              <w:rPr>
                <w:sz w:val="19"/>
                <w:szCs w:val="19"/>
                <w:color w:val="auto"/>
              </w:rPr>
            </w:pPr>
          </w:p>
        </w:tc>
      </w:tr>
      <w:tr>
        <w:trPr>
          <w:trHeight w:val="227"/>
        </w:trPr>
        <w:tc>
          <w:tcPr>
            <w:tcW w:w="8760" w:type="dxa"/>
            <w:vAlign w:val="bottom"/>
          </w:tcPr>
          <w:p>
            <w:pPr>
              <w:spacing w:after="0"/>
              <w:rPr>
                <w:sz w:val="20"/>
                <w:szCs w:val="20"/>
                <w:color w:val="auto"/>
              </w:rPr>
            </w:pPr>
            <w:r>
              <w:rPr>
                <w:rFonts w:ascii="Times New Roman" w:cs="Times New Roman" w:eastAsia="Times New Roman" w:hAnsi="Times New Roman"/>
                <w:sz w:val="16"/>
                <w:szCs w:val="16"/>
                <w:color w:val="auto"/>
              </w:rPr>
              <w:t>Fair value of contingent earnout consideration</w:t>
            </w:r>
          </w:p>
        </w:tc>
        <w:tc>
          <w:tcPr>
            <w:tcW w:w="7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Pr>
          <w:p>
            <w:pPr>
              <w:spacing w:after="0"/>
              <w:rPr>
                <w:sz w:val="19"/>
                <w:szCs w:val="19"/>
                <w:color w:val="auto"/>
              </w:rPr>
            </w:pPr>
          </w:p>
        </w:tc>
      </w:tr>
      <w:tr>
        <w:trPr>
          <w:trHeight w:val="266"/>
        </w:trPr>
        <w:tc>
          <w:tcPr>
            <w:tcW w:w="8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acquisition date fair value of the consideration transferred</w:t>
            </w:r>
          </w:p>
        </w:tc>
        <w:tc>
          <w:tcPr>
            <w:tcW w:w="720" w:type="dxa"/>
            <w:vAlign w:val="bottom"/>
            <w:tcBorders>
              <w:bottom w:val="single" w:sz="8" w:color="auto"/>
            </w:tcBorders>
            <w:shd w:val="clear" w:color="auto" w:fill="CFF0FC"/>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32,500</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-8255</wp:posOffset>
            </wp:positionV>
            <wp:extent cx="5969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72" w:lineRule="exact"/>
        <w:rPr>
          <w:sz w:val="20"/>
          <w:szCs w:val="20"/>
          <w:color w:val="auto"/>
        </w:rPr>
      </w:pPr>
    </w:p>
    <w:p>
      <w:pPr>
        <w:ind w:left="520" w:right="60"/>
        <w:spacing w:after="0" w:line="276" w:lineRule="auto"/>
        <w:rPr>
          <w:sz w:val="20"/>
          <w:szCs w:val="20"/>
          <w:color w:val="auto"/>
        </w:rPr>
      </w:pPr>
      <w:r>
        <w:rPr>
          <w:rFonts w:ascii="Times New Roman" w:cs="Times New Roman" w:eastAsia="Times New Roman" w:hAnsi="Times New Roman"/>
          <w:sz w:val="16"/>
          <w:szCs w:val="16"/>
          <w:color w:val="auto"/>
        </w:rPr>
        <w:t xml:space="preserve">The acquisition was accounted for as a business combination and reflects the application of acquisition accounting in accordance with ASC 805, </w:t>
      </w:r>
      <w:r>
        <w:rPr>
          <w:rFonts w:ascii="Times New Roman" w:cs="Times New Roman" w:eastAsia="Times New Roman" w:hAnsi="Times New Roman"/>
          <w:sz w:val="16"/>
          <w:szCs w:val="16"/>
          <w:i w:val="1"/>
          <w:iCs w:val="1"/>
          <w:color w:val="auto"/>
        </w:rPr>
        <w:t>Business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Combinations</w:t>
      </w:r>
      <w:r>
        <w:rPr>
          <w:rFonts w:ascii="Times New Roman" w:cs="Times New Roman" w:eastAsia="Times New Roman" w:hAnsi="Times New Roman"/>
          <w:sz w:val="16"/>
          <w:szCs w:val="16"/>
          <w:color w:val="auto"/>
        </w:rPr>
        <w:t>. The total purchase consideration was allocated to the assets acquired and liabilities assumed based on their fair values as of the acquisition date with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excess purchase price assigned to goodwill. The goodwill was primarily attributable to the expected synergies from the combined service offerings and the value of the acquired workforce. The goodwill is not deductible for tax purposes.</w:t>
      </w:r>
    </w:p>
    <w:p>
      <w:pPr>
        <w:spacing w:after="0" w:line="74" w:lineRule="exact"/>
        <w:rPr>
          <w:sz w:val="20"/>
          <w:szCs w:val="20"/>
          <w:color w:val="auto"/>
        </w:rPr>
      </w:pPr>
    </w:p>
    <w:p>
      <w:pPr>
        <w:ind w:left="520" w:right="40"/>
        <w:spacing w:after="0" w:line="271" w:lineRule="auto"/>
        <w:rPr>
          <w:sz w:val="20"/>
          <w:szCs w:val="20"/>
          <w:color w:val="auto"/>
        </w:rPr>
      </w:pPr>
      <w:r>
        <w:rPr>
          <w:rFonts w:ascii="Times New Roman" w:cs="Times New Roman" w:eastAsia="Times New Roman" w:hAnsi="Times New Roman"/>
          <w:sz w:val="16"/>
          <w:szCs w:val="16"/>
          <w:color w:val="auto"/>
        </w:rPr>
        <w:t>The Company’s estimates of the fair values of the assets acquired, liabilities assumed and contingent consideration are based on information that was available at the date of the acquisition. During the measurement period, which may be up to one year from the acquisition date, adjustments may be recorded to the fair value of these tangible and intangible assets acquired and liabilities assumed, including uncertain tax positions and tax-related valuation allowances, with the corresponding offset to goodwill. The Company recorded a measurement period adjustment to reflect the facts and circumstances in existence at the acquisition date in December 2022. The adjustment relates to the valuation of the deferred tax liabilities for $0.9 million, with a corresponding increase in goodwill. There were no other significant changes to the preliminary purchase price allocation.</w:t>
      </w:r>
    </w:p>
    <w:p>
      <w:pPr>
        <w:spacing w:after="0" w:line="76" w:lineRule="exact"/>
        <w:rPr>
          <w:sz w:val="20"/>
          <w:szCs w:val="20"/>
          <w:color w:val="auto"/>
        </w:rPr>
      </w:pPr>
    </w:p>
    <w:p>
      <w:pPr>
        <w:ind w:left="520" w:right="840"/>
        <w:spacing w:after="0" w:line="282" w:lineRule="auto"/>
        <w:rPr>
          <w:sz w:val="20"/>
          <w:szCs w:val="20"/>
          <w:color w:val="auto"/>
        </w:rPr>
      </w:pPr>
      <w:r>
        <w:rPr>
          <w:rFonts w:ascii="Times New Roman" w:cs="Times New Roman" w:eastAsia="Times New Roman" w:hAnsi="Times New Roman"/>
          <w:sz w:val="16"/>
          <w:szCs w:val="16"/>
          <w:color w:val="auto"/>
        </w:rPr>
        <w:t>The purchase price allocation of estimated fair values was finalized as of December 31, 2022. The following table summarizes the final allocation of the consideration to the fair values of the assets acquired and liabilities assumed at the acquisition date (in thousands):</w:t>
      </w:r>
    </w:p>
    <w:tbl>
      <w:tblPr>
        <w:tblLayout w:type="fixed"/>
        <w:tblInd w:w="580" w:type="dxa"/>
        <w:tblCellMar>
          <w:top w:w="0" w:type="dxa"/>
          <w:left w:w="0" w:type="dxa"/>
          <w:bottom w:w="0" w:type="dxa"/>
          <w:right w:w="0" w:type="dxa"/>
        </w:tblCellMar>
      </w:tblPr>
      <w:tr>
        <w:trPr>
          <w:trHeight w:val="215"/>
        </w:trPr>
        <w:tc>
          <w:tcPr>
            <w:tcW w:w="8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Assets acquired:</w:t>
            </w:r>
          </w:p>
        </w:tc>
        <w:tc>
          <w:tcPr>
            <w:tcW w:w="7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8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Current assets</w:t>
            </w:r>
          </w:p>
        </w:tc>
        <w:tc>
          <w:tcPr>
            <w:tcW w:w="72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9"/>
                <w:szCs w:val="19"/>
                <w:color w:val="auto"/>
              </w:rPr>
            </w:pPr>
          </w:p>
        </w:tc>
      </w:tr>
      <w:tr>
        <w:trPr>
          <w:trHeight w:val="236"/>
        </w:trPr>
        <w:tc>
          <w:tcPr>
            <w:tcW w:w="87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Intangible asset - acquired technology</w:t>
            </w:r>
          </w:p>
        </w:tc>
        <w:tc>
          <w:tcPr>
            <w:tcW w:w="72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4,800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16"/>
        </w:trPr>
        <w:tc>
          <w:tcPr>
            <w:tcW w:w="8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assets acquired</w:t>
            </w:r>
          </w:p>
        </w:tc>
        <w:tc>
          <w:tcPr>
            <w:tcW w:w="7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4,950</w:t>
            </w:r>
          </w:p>
        </w:tc>
        <w:tc>
          <w:tcPr>
            <w:tcW w:w="100" w:type="dxa"/>
            <w:vAlign w:val="bottom"/>
          </w:tcPr>
          <w:p>
            <w:pPr>
              <w:spacing w:after="0"/>
              <w:rPr>
                <w:sz w:val="18"/>
                <w:szCs w:val="18"/>
                <w:color w:val="auto"/>
              </w:rPr>
            </w:pPr>
          </w:p>
        </w:tc>
      </w:tr>
      <w:tr>
        <w:trPr>
          <w:trHeight w:val="239"/>
        </w:trPr>
        <w:tc>
          <w:tcPr>
            <w:tcW w:w="8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Liabilities assumed:</w:t>
            </w:r>
          </w:p>
        </w:tc>
        <w:tc>
          <w:tcPr>
            <w:tcW w:w="7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8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Current liabilities</w:t>
            </w:r>
          </w:p>
        </w:tc>
        <w:tc>
          <w:tcPr>
            <w:tcW w:w="7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Pr>
          <w:p>
            <w:pPr>
              <w:spacing w:after="0"/>
              <w:rPr>
                <w:sz w:val="19"/>
                <w:szCs w:val="19"/>
                <w:color w:val="auto"/>
              </w:rPr>
            </w:pPr>
          </w:p>
        </w:tc>
      </w:tr>
      <w:tr>
        <w:trPr>
          <w:trHeight w:val="236"/>
        </w:trPr>
        <w:tc>
          <w:tcPr>
            <w:tcW w:w="87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Deferred tax liabilities</w:t>
            </w:r>
          </w:p>
        </w:tc>
        <w:tc>
          <w:tcPr>
            <w:tcW w:w="72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8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liabilities assumed</w:t>
            </w:r>
          </w:p>
        </w:tc>
        <w:tc>
          <w:tcPr>
            <w:tcW w:w="7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100" w:type="dxa"/>
            <w:vAlign w:val="bottom"/>
          </w:tcPr>
          <w:p>
            <w:pPr>
              <w:spacing w:after="0"/>
              <w:rPr>
                <w:sz w:val="19"/>
                <w:szCs w:val="19"/>
                <w:color w:val="auto"/>
              </w:rPr>
            </w:pPr>
          </w:p>
        </w:tc>
      </w:tr>
      <w:tr>
        <w:trPr>
          <w:trHeight w:val="226"/>
        </w:trPr>
        <w:tc>
          <w:tcPr>
            <w:tcW w:w="8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assets acquired</w:t>
            </w:r>
          </w:p>
        </w:tc>
        <w:tc>
          <w:tcPr>
            <w:tcW w:w="7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4,255</w:t>
            </w:r>
          </w:p>
        </w:tc>
        <w:tc>
          <w:tcPr>
            <w:tcW w:w="100" w:type="dxa"/>
            <w:vAlign w:val="bottom"/>
            <w:shd w:val="clear" w:color="auto" w:fill="CFF0FC"/>
          </w:tcPr>
          <w:p>
            <w:pPr>
              <w:spacing w:after="0"/>
              <w:rPr>
                <w:sz w:val="19"/>
                <w:szCs w:val="19"/>
                <w:color w:val="auto"/>
              </w:rPr>
            </w:pPr>
          </w:p>
        </w:tc>
      </w:tr>
      <w:tr>
        <w:trPr>
          <w:trHeight w:val="227"/>
        </w:trPr>
        <w:tc>
          <w:tcPr>
            <w:tcW w:w="876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7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28,245</w:t>
            </w:r>
          </w:p>
        </w:tc>
        <w:tc>
          <w:tcPr>
            <w:tcW w:w="100" w:type="dxa"/>
            <w:vAlign w:val="bottom"/>
          </w:tcPr>
          <w:p>
            <w:pPr>
              <w:spacing w:after="0"/>
              <w:rPr>
                <w:sz w:val="19"/>
                <w:szCs w:val="19"/>
                <w:color w:val="auto"/>
              </w:rPr>
            </w:pPr>
          </w:p>
        </w:tc>
      </w:tr>
      <w:tr>
        <w:trPr>
          <w:trHeight w:val="266"/>
        </w:trPr>
        <w:tc>
          <w:tcPr>
            <w:tcW w:w="8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purchase price</w:t>
            </w:r>
          </w:p>
        </w:tc>
        <w:tc>
          <w:tcPr>
            <w:tcW w:w="720" w:type="dxa"/>
            <w:vAlign w:val="bottom"/>
            <w:tcBorders>
              <w:bottom w:val="single" w:sz="8" w:color="auto"/>
            </w:tcBorders>
            <w:shd w:val="clear" w:color="auto" w:fill="CFF0FC"/>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32,500</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-1224915</wp:posOffset>
            </wp:positionV>
            <wp:extent cx="596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-633730</wp:posOffset>
            </wp:positionV>
            <wp:extent cx="596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acquired technology intangible asset has an estimated useful life of seven years and is being amortized on a straight-line basis.</w:t>
      </w:r>
    </w:p>
    <w:p>
      <w:pPr>
        <w:spacing w:after="0" w:line="127" w:lineRule="exact"/>
        <w:rPr>
          <w:sz w:val="20"/>
          <w:szCs w:val="20"/>
          <w:color w:val="auto"/>
        </w:rPr>
      </w:pPr>
    </w:p>
    <w:p>
      <w:pPr>
        <w:ind w:left="520" w:right="220"/>
        <w:spacing w:after="0" w:line="281" w:lineRule="auto"/>
        <w:rPr>
          <w:sz w:val="20"/>
          <w:szCs w:val="20"/>
          <w:color w:val="auto"/>
        </w:rPr>
      </w:pPr>
      <w:r>
        <w:rPr>
          <w:rFonts w:ascii="Times New Roman" w:cs="Times New Roman" w:eastAsia="Times New Roman" w:hAnsi="Times New Roman"/>
          <w:sz w:val="16"/>
          <w:szCs w:val="16"/>
          <w:color w:val="auto"/>
        </w:rPr>
        <w:t>The fair value of the acquired technology intangible asset was determined by a valuation model based on estimates of future operating projections as well as judgments on the discount rate and other variables. This fair value measurement is based on significant unobservable inputs, including management estimates and assumptions and thus represents a Level 3 measurement.</w:t>
      </w:r>
    </w:p>
    <w:p>
      <w:pPr>
        <w:spacing w:after="0" w:line="69" w:lineRule="exact"/>
        <w:rPr>
          <w:sz w:val="20"/>
          <w:szCs w:val="20"/>
          <w:color w:val="auto"/>
        </w:rPr>
      </w:pPr>
    </w:p>
    <w:p>
      <w:pPr>
        <w:ind w:left="520" w:right="320"/>
        <w:spacing w:after="0" w:line="269" w:lineRule="auto"/>
        <w:rPr>
          <w:sz w:val="20"/>
          <w:szCs w:val="20"/>
          <w:color w:val="auto"/>
        </w:rPr>
      </w:pPr>
      <w:r>
        <w:rPr>
          <w:rFonts w:ascii="Times New Roman" w:cs="Times New Roman" w:eastAsia="Times New Roman" w:hAnsi="Times New Roman"/>
          <w:sz w:val="16"/>
          <w:szCs w:val="16"/>
          <w:color w:val="auto"/>
        </w:rPr>
        <w:t>The Company incurred transaction costs associated with the acquisition of $1.2 million, included in general and administrative expenses within the consolidated statements of operations and comprehensive (loss) income for the year ended December 31, 2022.</w:t>
      </w: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73" w:name="page74"/>
    <w:bookmarkEnd w:id="73"/>
    <w:p>
      <w:pPr>
        <w:ind w:left="560" w:hanging="552"/>
        <w:spacing w:after="0"/>
        <w:tabs>
          <w:tab w:leader="none" w:pos="560" w:val="left"/>
        </w:tabs>
        <w:numPr>
          <w:ilvl w:val="0"/>
          <w:numId w:val="4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REVENUE</w:t>
      </w:r>
    </w:p>
    <w:p>
      <w:pPr>
        <w:spacing w:after="0" w:line="126" w:lineRule="exact"/>
        <w:rPr>
          <w:rFonts w:ascii="Times New Roman" w:cs="Times New Roman" w:eastAsia="Times New Roman" w:hAnsi="Times New Roman"/>
          <w:sz w:val="16"/>
          <w:szCs w:val="16"/>
          <w:b w:val="1"/>
          <w:bCs w:val="1"/>
          <w:color w:val="auto"/>
        </w:rPr>
      </w:pPr>
    </w:p>
    <w:p>
      <w:pPr>
        <w:ind w:left="560" w:right="160"/>
        <w:spacing w:after="0" w:line="30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i w:val="1"/>
          <w:iCs w:val="1"/>
          <w:color w:val="auto"/>
        </w:rPr>
        <w:t>Disaggregation of Revenue</w:t>
      </w:r>
      <w:r>
        <w:rPr>
          <w:rFonts w:ascii="Times New Roman" w:cs="Times New Roman" w:eastAsia="Times New Roman" w:hAnsi="Times New Roman"/>
          <w:sz w:val="16"/>
          <w:szCs w:val="16"/>
          <w:color w:val="auto"/>
        </w:rPr>
        <w:t>—The Company provides disaggregation of revenue based on type of service as it believes these categories best depict how the nature,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amount, timing and uncertainty of revenue and cash flows are affected by economic factors.</w:t>
      </w:r>
    </w:p>
    <w:p>
      <w:pPr>
        <w:spacing w:after="0" w:line="53" w:lineRule="exact"/>
        <w:rPr>
          <w:rFonts w:ascii="Times New Roman" w:cs="Times New Roman" w:eastAsia="Times New Roman" w:hAnsi="Times New Roman"/>
          <w:sz w:val="16"/>
          <w:szCs w:val="16"/>
          <w:b w:val="1"/>
          <w:bCs w:val="1"/>
          <w:color w:val="auto"/>
        </w:rPr>
      </w:pPr>
    </w:p>
    <w:p>
      <w:pPr>
        <w:ind w:left="5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following table summarizes revenue by type of service for the years ended December 31 (in thousands):</w:t>
      </w:r>
    </w:p>
    <w:p>
      <w:pPr>
        <w:spacing w:after="0" w:line="132"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4280" w:type="dxa"/>
            <w:vAlign w:val="bottom"/>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4280" w:type="dxa"/>
            <w:vAlign w:val="bottom"/>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39"/>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subscriptions</w:t>
            </w:r>
          </w:p>
        </w:tc>
        <w:tc>
          <w:tcPr>
            <w:tcW w:w="1200" w:type="dxa"/>
            <w:vAlign w:val="bottom"/>
            <w:shd w:val="clear" w:color="auto" w:fill="CFF0FC"/>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830,117</w:t>
            </w:r>
          </w:p>
        </w:tc>
        <w:tc>
          <w:tcPr>
            <w:tcW w:w="78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752,505</w:t>
            </w:r>
          </w:p>
        </w:tc>
        <w:tc>
          <w:tcPr>
            <w:tcW w:w="34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662,300</w:t>
            </w:r>
          </w:p>
        </w:tc>
        <w:tc>
          <w:tcPr>
            <w:tcW w:w="100" w:type="dxa"/>
            <w:vAlign w:val="bottom"/>
            <w:shd w:val="clear" w:color="auto" w:fill="CFF0FC"/>
          </w:tcPr>
          <w:p>
            <w:pPr>
              <w:spacing w:after="0"/>
              <w:rPr>
                <w:sz w:val="20"/>
                <w:szCs w:val="20"/>
                <w:color w:val="auto"/>
              </w:rPr>
            </w:pPr>
          </w:p>
        </w:tc>
      </w:tr>
      <w:tr>
        <w:trPr>
          <w:trHeight w:val="239"/>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36,261</w:t>
            </w:r>
          </w:p>
        </w:tc>
        <w:tc>
          <w:tcPr>
            <w:tcW w:w="3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29,943</w:t>
            </w:r>
          </w:p>
        </w:tc>
        <w:tc>
          <w:tcPr>
            <w:tcW w:w="3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25,988</w:t>
            </w:r>
          </w:p>
        </w:tc>
        <w:tc>
          <w:tcPr>
            <w:tcW w:w="100" w:type="dxa"/>
            <w:vAlign w:val="bottom"/>
          </w:tcPr>
          <w:p>
            <w:pPr>
              <w:spacing w:after="0"/>
              <w:rPr>
                <w:sz w:val="20"/>
                <w:szCs w:val="20"/>
                <w:color w:val="auto"/>
              </w:rPr>
            </w:pPr>
          </w:p>
        </w:tc>
      </w:tr>
      <w:tr>
        <w:trPr>
          <w:trHeight w:val="281"/>
        </w:trPr>
        <w:tc>
          <w:tcPr>
            <w:tcW w:w="4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200" w:type="dxa"/>
            <w:vAlign w:val="bottom"/>
            <w:tcBorders>
              <w:bottom w:val="single" w:sz="8" w:color="auto"/>
            </w:tcBorders>
            <w:shd w:val="clear" w:color="auto" w:fill="CFF0FC"/>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866,378</w:t>
            </w:r>
          </w:p>
        </w:tc>
        <w:tc>
          <w:tcPr>
            <w:tcW w:w="34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782,448</w:t>
            </w:r>
          </w:p>
        </w:tc>
        <w:tc>
          <w:tcPr>
            <w:tcW w:w="34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688,288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-24765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-7620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-24765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-7620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2" w:lineRule="exact"/>
        <w:rPr>
          <w:sz w:val="20"/>
          <w:szCs w:val="20"/>
          <w:color w:val="auto"/>
        </w:rPr>
      </w:pPr>
    </w:p>
    <w:p>
      <w:pPr>
        <w:ind w:left="560" w:right="40"/>
        <w:spacing w:after="0" w:line="301" w:lineRule="auto"/>
        <w:rPr>
          <w:sz w:val="20"/>
          <w:szCs w:val="20"/>
          <w:color w:val="auto"/>
        </w:rPr>
      </w:pPr>
      <w:r>
        <w:rPr>
          <w:rFonts w:ascii="Times New Roman" w:cs="Times New Roman" w:eastAsia="Times New Roman" w:hAnsi="Times New Roman"/>
          <w:sz w:val="16"/>
          <w:szCs w:val="16"/>
          <w:i w:val="1"/>
          <w:iCs w:val="1"/>
          <w:color w:val="auto"/>
        </w:rPr>
        <w:t>Contract Assets and Liabilities</w:t>
      </w:r>
      <w:r>
        <w:rPr>
          <w:rFonts w:ascii="Times New Roman" w:cs="Times New Roman" w:eastAsia="Times New Roman" w:hAnsi="Times New Roman"/>
          <w:sz w:val="16"/>
          <w:szCs w:val="16"/>
          <w:color w:val="auto"/>
        </w:rPr>
        <w:t>—The balances of the Company’s receivables, contract assets and contract liabilities from contracts with customers are as follows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thousands):</w:t>
      </w:r>
    </w:p>
    <w:p>
      <w:pPr>
        <w:spacing w:after="0" w:line="65" w:lineRule="exact"/>
        <w:rPr>
          <w:sz w:val="20"/>
          <w:szCs w:val="20"/>
          <w:color w:val="auto"/>
        </w:rPr>
      </w:pPr>
    </w:p>
    <w:tbl>
      <w:tblPr>
        <w:tblLayout w:type="fixed"/>
        <w:tblInd w:w="580" w:type="dxa"/>
        <w:tblCellMar>
          <w:top w:w="0" w:type="dxa"/>
          <w:left w:w="0" w:type="dxa"/>
          <w:bottom w:w="0" w:type="dxa"/>
          <w:right w:w="0" w:type="dxa"/>
        </w:tblCellMar>
      </w:tblPr>
      <w:tr>
        <w:trPr>
          <w:trHeight w:val="212"/>
        </w:trPr>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42"/>
        </w:trPr>
        <w:tc>
          <w:tcPr>
            <w:tcW w:w="5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5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560" w:type="dxa"/>
            <w:vAlign w:val="bottom"/>
          </w:tcPr>
          <w:p>
            <w:pPr>
              <w:spacing w:after="0"/>
              <w:rPr>
                <w:sz w:val="21"/>
                <w:szCs w:val="21"/>
                <w:color w:val="auto"/>
              </w:rPr>
            </w:pPr>
          </w:p>
        </w:tc>
      </w:tr>
      <w:tr>
        <w:trPr>
          <w:trHeight w:val="230"/>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Accounts receivables-Net of allowances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102,365</w:t>
            </w: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98,353</w:t>
            </w: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78,793</w:t>
            </w:r>
          </w:p>
        </w:tc>
        <w:tc>
          <w:tcPr>
            <w:tcW w:w="560" w:type="dxa"/>
            <w:vAlign w:val="bottom"/>
            <w:shd w:val="clear" w:color="auto" w:fill="CFF0FC"/>
          </w:tcPr>
          <w:p>
            <w:pPr>
              <w:spacing w:after="0"/>
              <w:rPr>
                <w:sz w:val="19"/>
                <w:szCs w:val="19"/>
                <w:color w:val="auto"/>
              </w:rPr>
            </w:pPr>
          </w:p>
        </w:tc>
      </w:tr>
      <w:tr>
        <w:trPr>
          <w:trHeight w:val="220"/>
        </w:trPr>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Deferred contract costs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17,900</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16,556</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15,069</w:t>
            </w:r>
          </w:p>
        </w:tc>
        <w:tc>
          <w:tcPr>
            <w:tcW w:w="560" w:type="dxa"/>
            <w:vAlign w:val="bottom"/>
          </w:tcPr>
          <w:p>
            <w:pPr>
              <w:spacing w:after="0"/>
              <w:rPr>
                <w:sz w:val="19"/>
                <w:szCs w:val="19"/>
                <w:color w:val="auto"/>
              </w:rPr>
            </w:pPr>
          </w:p>
        </w:tc>
      </w:tr>
      <w:tr>
        <w:trPr>
          <w:trHeight w:val="239"/>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contract costs-non-current</w:t>
            </w: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22,302</w:t>
            </w:r>
          </w:p>
        </w:tc>
        <w:tc>
          <w:tcPr>
            <w:tcW w:w="5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20,161</w:t>
            </w:r>
          </w:p>
        </w:tc>
        <w:tc>
          <w:tcPr>
            <w:tcW w:w="5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22,117</w:t>
            </w:r>
          </w:p>
        </w:tc>
        <w:tc>
          <w:tcPr>
            <w:tcW w:w="560" w:type="dxa"/>
            <w:vAlign w:val="bottom"/>
            <w:shd w:val="clear" w:color="auto" w:fill="CFF0FC"/>
          </w:tcPr>
          <w:p>
            <w:pPr>
              <w:spacing w:after="0"/>
              <w:rPr>
                <w:sz w:val="20"/>
                <w:szCs w:val="20"/>
                <w:color w:val="auto"/>
              </w:rPr>
            </w:pPr>
          </w:p>
        </w:tc>
      </w:tr>
      <w:tr>
        <w:trPr>
          <w:trHeight w:val="220"/>
        </w:trPr>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Other assets (accounts receivable, non-current)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15,198</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16,437</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8,622</w:t>
            </w:r>
          </w:p>
        </w:tc>
        <w:tc>
          <w:tcPr>
            <w:tcW w:w="560" w:type="dxa"/>
            <w:vAlign w:val="bottom"/>
          </w:tcPr>
          <w:p>
            <w:pPr>
              <w:spacing w:after="0"/>
              <w:rPr>
                <w:sz w:val="19"/>
                <w:szCs w:val="19"/>
                <w:color w:val="auto"/>
              </w:rPr>
            </w:pPr>
          </w:p>
        </w:tc>
      </w:tr>
      <w:tr>
        <w:trPr>
          <w:trHeight w:val="239"/>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revenues</w:t>
            </w: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43,567</w:t>
            </w:r>
          </w:p>
        </w:tc>
        <w:tc>
          <w:tcPr>
            <w:tcW w:w="5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35,239</w:t>
            </w:r>
          </w:p>
        </w:tc>
        <w:tc>
          <w:tcPr>
            <w:tcW w:w="5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31,042</w:t>
            </w:r>
          </w:p>
        </w:tc>
        <w:tc>
          <w:tcPr>
            <w:tcW w:w="560" w:type="dxa"/>
            <w:vAlign w:val="bottom"/>
            <w:shd w:val="clear" w:color="auto" w:fill="CFF0FC"/>
          </w:tcPr>
          <w:p>
            <w:pPr>
              <w:spacing w:after="0"/>
              <w:rPr>
                <w:sz w:val="20"/>
                <w:szCs w:val="20"/>
                <w:color w:val="auto"/>
              </w:rPr>
            </w:pPr>
          </w:p>
        </w:tc>
      </w:tr>
      <w:tr>
        <w:trPr>
          <w:trHeight w:val="210"/>
        </w:trPr>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Other liabilities (deferred revenues, non-current)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1,373</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1,574</w:t>
            </w:r>
          </w:p>
        </w:tc>
        <w:tc>
          <w:tcPr>
            <w:tcW w:w="560" w:type="dxa"/>
            <w:vAlign w:val="bottom"/>
          </w:tcPr>
          <w:p>
            <w:pPr>
              <w:spacing w:after="0"/>
              <w:rPr>
                <w:sz w:val="18"/>
                <w:szCs w:val="18"/>
                <w:color w:val="auto"/>
              </w:rPr>
            </w:pPr>
          </w:p>
        </w:tc>
      </w:tr>
    </w:tbl>
    <w:p>
      <w:pPr>
        <w:spacing w:after="0" w:line="111" w:lineRule="exact"/>
        <w:rPr>
          <w:sz w:val="20"/>
          <w:szCs w:val="20"/>
          <w:color w:val="auto"/>
        </w:rPr>
      </w:pPr>
    </w:p>
    <w:p>
      <w:pPr>
        <w:ind w:left="560" w:right="100"/>
        <w:spacing w:after="0" w:line="301" w:lineRule="auto"/>
        <w:rPr>
          <w:sz w:val="20"/>
          <w:szCs w:val="20"/>
          <w:color w:val="auto"/>
        </w:rPr>
      </w:pPr>
      <w:r>
        <w:rPr>
          <w:rFonts w:ascii="Times New Roman" w:cs="Times New Roman" w:eastAsia="Times New Roman" w:hAnsi="Times New Roman"/>
          <w:sz w:val="16"/>
          <w:szCs w:val="16"/>
          <w:i w:val="1"/>
          <w:iCs w:val="1"/>
          <w:color w:val="auto"/>
        </w:rPr>
        <w:t>Deferred Contract Costs</w:t>
      </w:r>
      <w:r>
        <w:rPr>
          <w:rFonts w:ascii="Times New Roman" w:cs="Times New Roman" w:eastAsia="Times New Roman" w:hAnsi="Times New Roman"/>
          <w:sz w:val="16"/>
          <w:szCs w:val="16"/>
          <w:color w:val="auto"/>
        </w:rPr>
        <w:t>—A summary of the activity impacting the deferred contract costs during the years ended December 31, 2023, 2022 and 2021 is presented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below (in thousands):</w:t>
      </w:r>
    </w:p>
    <w:p>
      <w:pPr>
        <w:spacing w:after="0" w:line="65" w:lineRule="exact"/>
        <w:rPr>
          <w:sz w:val="20"/>
          <w:szCs w:val="20"/>
          <w:color w:val="auto"/>
        </w:rPr>
      </w:pPr>
    </w:p>
    <w:tbl>
      <w:tblPr>
        <w:tblLayout w:type="fixed"/>
        <w:tblInd w:w="580" w:type="dxa"/>
        <w:tblCellMar>
          <w:top w:w="0" w:type="dxa"/>
          <w:left w:w="0" w:type="dxa"/>
          <w:bottom w:w="0" w:type="dxa"/>
          <w:right w:w="0" w:type="dxa"/>
        </w:tblCellMar>
      </w:tblPr>
      <w:tr>
        <w:trPr>
          <w:trHeight w:val="225"/>
        </w:trPr>
        <w:tc>
          <w:tcPr>
            <w:tcW w:w="63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3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r>
      <w:tr>
        <w:trPr>
          <w:trHeight w:val="230"/>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36,717</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37,186</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26,306</w:t>
            </w:r>
          </w:p>
        </w:tc>
        <w:tc>
          <w:tcPr>
            <w:tcW w:w="100" w:type="dxa"/>
            <w:vAlign w:val="bottom"/>
            <w:shd w:val="clear" w:color="auto" w:fill="CFF0FC"/>
          </w:tcPr>
          <w:p>
            <w:pPr>
              <w:spacing w:after="0"/>
              <w:rPr>
                <w:sz w:val="19"/>
                <w:szCs w:val="19"/>
                <w:color w:val="auto"/>
              </w:rPr>
            </w:pPr>
          </w:p>
        </w:tc>
      </w:tr>
      <w:tr>
        <w:trPr>
          <w:trHeight w:val="220"/>
        </w:trPr>
        <w:tc>
          <w:tcPr>
            <w:tcW w:w="6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Costs amortized</w:t>
            </w:r>
          </w:p>
        </w:tc>
        <w:tc>
          <w:tcPr>
            <w:tcW w:w="28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(19,197 )</w:t>
            </w:r>
          </w:p>
        </w:tc>
        <w:tc>
          <w:tcPr>
            <w:tcW w:w="28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(17,986 )</w:t>
            </w:r>
          </w:p>
        </w:tc>
        <w:tc>
          <w:tcPr>
            <w:tcW w:w="28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(15,384 )</w:t>
            </w:r>
          </w:p>
        </w:tc>
      </w:tr>
      <w:tr>
        <w:trPr>
          <w:trHeight w:val="236"/>
        </w:trPr>
        <w:tc>
          <w:tcPr>
            <w:tcW w:w="63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Additional amounts deferred</w:t>
            </w:r>
          </w:p>
        </w:tc>
        <w:tc>
          <w:tcPr>
            <w:tcW w:w="2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22,682</w:t>
            </w: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17,517</w:t>
            </w: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26,264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Balance at end of period</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40,202</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36,717</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37,186</w:t>
            </w:r>
          </w:p>
        </w:tc>
        <w:tc>
          <w:tcPr>
            <w:tcW w:w="100" w:type="dxa"/>
            <w:vAlign w:val="bottom"/>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Classified as:</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Current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17,900</w:t>
            </w:r>
          </w:p>
        </w:tc>
        <w:tc>
          <w:tcPr>
            <w:tcW w:w="26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16,556</w:t>
            </w:r>
          </w:p>
        </w:tc>
        <w:tc>
          <w:tcPr>
            <w:tcW w:w="26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15,069</w:t>
            </w:r>
          </w:p>
        </w:tc>
        <w:tc>
          <w:tcPr>
            <w:tcW w:w="100" w:type="dxa"/>
            <w:vAlign w:val="bottom"/>
          </w:tcPr>
          <w:p>
            <w:pPr>
              <w:spacing w:after="0"/>
              <w:rPr>
                <w:sz w:val="19"/>
                <w:szCs w:val="19"/>
                <w:color w:val="auto"/>
              </w:rPr>
            </w:pPr>
          </w:p>
        </w:tc>
      </w:tr>
      <w:tr>
        <w:trPr>
          <w:trHeight w:val="236"/>
        </w:trPr>
        <w:tc>
          <w:tcPr>
            <w:tcW w:w="63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Non-current</w:t>
            </w:r>
          </w:p>
        </w:tc>
        <w:tc>
          <w:tcPr>
            <w:tcW w:w="2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22,302</w:t>
            </w: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20,161</w:t>
            </w: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22,117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Total deferred contract costs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40,202</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36,717</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37,186</w:t>
            </w:r>
          </w:p>
        </w:tc>
        <w:tc>
          <w:tcPr>
            <w:tcW w:w="100" w:type="dxa"/>
            <w:vAlign w:val="bottom"/>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-942340</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-942340</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-942340</wp:posOffset>
            </wp:positionV>
            <wp:extent cx="5969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-179070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-179070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-179070</wp:posOffset>
            </wp:positionV>
            <wp:extent cx="596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68" w:lineRule="exact"/>
        <w:rPr>
          <w:sz w:val="20"/>
          <w:szCs w:val="20"/>
          <w:color w:val="auto"/>
        </w:rPr>
      </w:pPr>
    </w:p>
    <w:p>
      <w:pPr>
        <w:ind w:left="560" w:right="360"/>
        <w:spacing w:after="0" w:line="261" w:lineRule="auto"/>
        <w:rPr>
          <w:sz w:val="20"/>
          <w:szCs w:val="20"/>
          <w:color w:val="auto"/>
        </w:rPr>
      </w:pPr>
      <w:r>
        <w:rPr>
          <w:rFonts w:ascii="Times New Roman" w:cs="Times New Roman" w:eastAsia="Times New Roman" w:hAnsi="Times New Roman"/>
          <w:sz w:val="18"/>
          <w:szCs w:val="18"/>
          <w:i w:val="1"/>
          <w:iCs w:val="1"/>
          <w:color w:val="auto"/>
        </w:rPr>
        <w:t>Deferred Revenue</w:t>
      </w: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A summary of the activity impacting deferred revenue balances during the years ended December 31, 2023, 2022 and 2021, is presented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6"/>
          <w:szCs w:val="16"/>
          <w:color w:val="auto"/>
        </w:rPr>
        <w:t>below (in thousands):</w:t>
      </w:r>
    </w:p>
    <w:p>
      <w:pPr>
        <w:spacing w:after="0" w:line="94" w:lineRule="exact"/>
        <w:rPr>
          <w:sz w:val="20"/>
          <w:szCs w:val="20"/>
          <w:color w:val="auto"/>
        </w:rPr>
      </w:pPr>
    </w:p>
    <w:tbl>
      <w:tblPr>
        <w:tblLayout w:type="fixed"/>
        <w:tblInd w:w="580" w:type="dxa"/>
        <w:tblCellMar>
          <w:top w:w="0" w:type="dxa"/>
          <w:left w:w="0" w:type="dxa"/>
          <w:bottom w:w="0" w:type="dxa"/>
          <w:right w:w="0" w:type="dxa"/>
        </w:tblCellMar>
      </w:tblPr>
      <w:tr>
        <w:trPr>
          <w:trHeight w:val="225"/>
        </w:trPr>
        <w:tc>
          <w:tcPr>
            <w:tcW w:w="63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3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r>
      <w:tr>
        <w:trPr>
          <w:trHeight w:val="230"/>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36,479</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32,616</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28,515</w:t>
            </w:r>
          </w:p>
        </w:tc>
        <w:tc>
          <w:tcPr>
            <w:tcW w:w="100" w:type="dxa"/>
            <w:vAlign w:val="bottom"/>
            <w:shd w:val="clear" w:color="auto" w:fill="CFF0FC"/>
          </w:tcPr>
          <w:p>
            <w:pPr>
              <w:spacing w:after="0"/>
              <w:rPr>
                <w:sz w:val="19"/>
                <w:szCs w:val="19"/>
                <w:color w:val="auto"/>
              </w:rPr>
            </w:pPr>
          </w:p>
        </w:tc>
      </w:tr>
      <w:tr>
        <w:trPr>
          <w:trHeight w:val="230"/>
        </w:trPr>
        <w:tc>
          <w:tcPr>
            <w:tcW w:w="6300" w:type="dxa"/>
            <w:vAlign w:val="bottom"/>
          </w:tcPr>
          <w:p>
            <w:pPr>
              <w:ind w:left="100"/>
              <w:spacing w:after="0" w:line="230" w:lineRule="exact"/>
              <w:rPr>
                <w:sz w:val="20"/>
                <w:szCs w:val="20"/>
                <w:color w:val="auto"/>
              </w:rPr>
            </w:pPr>
            <w:r>
              <w:rPr>
                <w:rFonts w:ascii="Times New Roman" w:cs="Times New Roman" w:eastAsia="Times New Roman" w:hAnsi="Times New Roman"/>
                <w:sz w:val="16"/>
                <w:szCs w:val="16"/>
                <w:color w:val="auto"/>
              </w:rPr>
              <w:t>Revenue recognized</w:t>
            </w:r>
            <w:r>
              <w:rPr>
                <w:rFonts w:ascii="Times New Roman" w:cs="Times New Roman" w:eastAsia="Times New Roman" w:hAnsi="Times New Roman"/>
                <w:sz w:val="21"/>
                <w:szCs w:val="21"/>
                <w:color w:val="auto"/>
                <w:vertAlign w:val="superscript"/>
              </w:rPr>
              <w:t>1</w:t>
            </w:r>
          </w:p>
        </w:tc>
        <w:tc>
          <w:tcPr>
            <w:tcW w:w="28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(434,197 )</w:t>
            </w:r>
          </w:p>
        </w:tc>
        <w:tc>
          <w:tcPr>
            <w:tcW w:w="28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(380,977 )</w:t>
            </w:r>
          </w:p>
        </w:tc>
        <w:tc>
          <w:tcPr>
            <w:tcW w:w="28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(334,524 )</w:t>
            </w:r>
          </w:p>
        </w:tc>
      </w:tr>
      <w:tr>
        <w:trPr>
          <w:trHeight w:val="229"/>
        </w:trPr>
        <w:tc>
          <w:tcPr>
            <w:tcW w:w="6300" w:type="dxa"/>
            <w:vAlign w:val="bottom"/>
            <w:tcBorders>
              <w:bottom w:val="single" w:sz="8" w:color="CFF0FC"/>
            </w:tcBorders>
            <w:shd w:val="clear" w:color="auto" w:fill="CFF0FC"/>
          </w:tcPr>
          <w:p>
            <w:pPr>
              <w:ind w:left="100"/>
              <w:spacing w:after="0" w:line="230" w:lineRule="exact"/>
              <w:rPr>
                <w:sz w:val="20"/>
                <w:szCs w:val="20"/>
                <w:color w:val="auto"/>
              </w:rPr>
            </w:pPr>
            <w:r>
              <w:rPr>
                <w:rFonts w:ascii="Times New Roman" w:cs="Times New Roman" w:eastAsia="Times New Roman" w:hAnsi="Times New Roman"/>
                <w:sz w:val="16"/>
                <w:szCs w:val="16"/>
                <w:color w:val="auto"/>
              </w:rPr>
              <w:t>Additional amounts deferred</w:t>
            </w:r>
            <w:r>
              <w:rPr>
                <w:rFonts w:ascii="Times New Roman" w:cs="Times New Roman" w:eastAsia="Times New Roman" w:hAnsi="Times New Roman"/>
                <w:sz w:val="21"/>
                <w:szCs w:val="21"/>
                <w:color w:val="auto"/>
                <w:vertAlign w:val="superscript"/>
              </w:rPr>
              <w:t>1</w:t>
            </w: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442,658</w:t>
            </w:r>
          </w:p>
        </w:tc>
        <w:tc>
          <w:tcPr>
            <w:tcW w:w="2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384,840</w:t>
            </w:r>
          </w:p>
        </w:tc>
        <w:tc>
          <w:tcPr>
            <w:tcW w:w="2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338,625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Balance at end of period</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44,940</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36,479</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32,616</w:t>
            </w:r>
          </w:p>
        </w:tc>
        <w:tc>
          <w:tcPr>
            <w:tcW w:w="100" w:type="dxa"/>
            <w:vAlign w:val="bottom"/>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Classified as:</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Current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43,567</w:t>
            </w:r>
          </w:p>
        </w:tc>
        <w:tc>
          <w:tcPr>
            <w:tcW w:w="26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35,239</w:t>
            </w:r>
          </w:p>
        </w:tc>
        <w:tc>
          <w:tcPr>
            <w:tcW w:w="26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31,042</w:t>
            </w:r>
          </w:p>
        </w:tc>
        <w:tc>
          <w:tcPr>
            <w:tcW w:w="100" w:type="dxa"/>
            <w:vAlign w:val="bottom"/>
          </w:tcPr>
          <w:p>
            <w:pPr>
              <w:spacing w:after="0"/>
              <w:rPr>
                <w:sz w:val="19"/>
                <w:szCs w:val="19"/>
                <w:color w:val="auto"/>
              </w:rPr>
            </w:pPr>
          </w:p>
        </w:tc>
      </w:tr>
      <w:tr>
        <w:trPr>
          <w:trHeight w:val="236"/>
        </w:trPr>
        <w:tc>
          <w:tcPr>
            <w:tcW w:w="63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Non-current</w:t>
            </w:r>
          </w:p>
        </w:tc>
        <w:tc>
          <w:tcPr>
            <w:tcW w:w="2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1,373</w:t>
            </w: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Total deferred revenue</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44,940</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36,479</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32,616</w:t>
            </w:r>
          </w:p>
        </w:tc>
        <w:tc>
          <w:tcPr>
            <w:tcW w:w="100" w:type="dxa"/>
            <w:vAlign w:val="bottom"/>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-942340</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-942340</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-942340</wp:posOffset>
            </wp:positionV>
            <wp:extent cx="5969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-179705</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-179705</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-179705</wp:posOffset>
            </wp:positionV>
            <wp:extent cx="5969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45" w:lineRule="exact"/>
        <w:rPr>
          <w:sz w:val="20"/>
          <w:szCs w:val="20"/>
          <w:color w:val="auto"/>
        </w:rPr>
      </w:pPr>
    </w:p>
    <w:p>
      <w:pPr>
        <w:ind w:left="660" w:hanging="103"/>
        <w:spacing w:after="0"/>
        <w:tabs>
          <w:tab w:leader="none" w:pos="660" w:val="left"/>
        </w:tabs>
        <w:numPr>
          <w:ilvl w:val="0"/>
          <w:numId w:val="4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Amounts include total revenue deferred and recognized during each respective period.</w:t>
      </w:r>
    </w:p>
    <w:p>
      <w:pPr>
        <w:spacing w:after="0" w:line="100" w:lineRule="exact"/>
        <w:rPr>
          <w:sz w:val="20"/>
          <w:szCs w:val="20"/>
          <w:color w:val="auto"/>
        </w:rPr>
      </w:pPr>
    </w:p>
    <w:p>
      <w:pPr>
        <w:ind w:left="560" w:right="120"/>
        <w:spacing w:after="0" w:line="298" w:lineRule="auto"/>
        <w:rPr>
          <w:sz w:val="20"/>
          <w:szCs w:val="20"/>
          <w:color w:val="auto"/>
        </w:rPr>
      </w:pPr>
      <w:r>
        <w:rPr>
          <w:rFonts w:ascii="Times New Roman" w:cs="Times New Roman" w:eastAsia="Times New Roman" w:hAnsi="Times New Roman"/>
          <w:sz w:val="16"/>
          <w:szCs w:val="16"/>
          <w:color w:val="auto"/>
        </w:rPr>
        <w:t>During the years ended December 31, 2023, 2022 and 2021, $35.1 million, $31.0 million and $26.5 million, respectively, that was included in the deferred revenue balance at the beginning of each period was recognized as revenue.</w:t>
      </w:r>
    </w:p>
    <w:p>
      <w:pPr>
        <w:spacing w:after="0" w:line="54" w:lineRule="exact"/>
        <w:rPr>
          <w:sz w:val="20"/>
          <w:szCs w:val="20"/>
          <w:color w:val="auto"/>
        </w:rPr>
      </w:pPr>
    </w:p>
    <w:p>
      <w:pPr>
        <w:ind w:left="560" w:right="40"/>
        <w:spacing w:after="0" w:line="272" w:lineRule="auto"/>
        <w:rPr>
          <w:sz w:val="20"/>
          <w:szCs w:val="20"/>
          <w:color w:val="auto"/>
        </w:rPr>
      </w:pPr>
      <w:r>
        <w:rPr>
          <w:rFonts w:ascii="Times New Roman" w:cs="Times New Roman" w:eastAsia="Times New Roman" w:hAnsi="Times New Roman"/>
          <w:sz w:val="16"/>
          <w:szCs w:val="16"/>
          <w:i w:val="1"/>
          <w:iCs w:val="1"/>
          <w:color w:val="auto"/>
        </w:rPr>
        <w:t>Transaction Price Allocated to the Remaining Performance Obligations</w:t>
      </w:r>
      <w:r>
        <w:rPr>
          <w:rFonts w:ascii="Times New Roman" w:cs="Times New Roman" w:eastAsia="Times New Roman" w:hAnsi="Times New Roman"/>
          <w:sz w:val="16"/>
          <w:szCs w:val="16"/>
          <w:color w:val="auto"/>
        </w:rPr>
        <w:t>—Remaining performance obligations represent contracted revenue that has not yet been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recognized, which includes deferred revenue and amounts that will be invoiced and recognized as revenue in future periods. As of December 31, 2023, approximately $1,552 million of revenue is expected to be recognized from remaining performance obligations with approximately $597 million impacting the next twelve months, and approximately $955 million thereafter. The estimated revenues do not include unexercised contract renewals. The remaining performance obligations exclude future transaction revenue where revenue is recognized as the services are rendered and in the amount to which the Company has the right to invoice.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6" w:right="339" w:bottom="1440" w:gutter="0" w:footer="0" w:header="0"/>
        </w:sectPr>
      </w:pPr>
    </w:p>
    <w:bookmarkStart w:id="74" w:name="page75"/>
    <w:bookmarkEnd w:id="74"/>
    <w:p>
      <w:pPr>
        <w:ind w:left="560" w:hanging="552"/>
        <w:spacing w:after="0"/>
        <w:tabs>
          <w:tab w:leader="none" w:pos="560" w:val="left"/>
        </w:tabs>
        <w:numPr>
          <w:ilvl w:val="0"/>
          <w:numId w:val="4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FAIR VALUE MEASUREMENTS</w:t>
      </w:r>
    </w:p>
    <w:p>
      <w:pPr>
        <w:spacing w:after="0" w:line="126" w:lineRule="exact"/>
        <w:rPr>
          <w:rFonts w:ascii="Times New Roman" w:cs="Times New Roman" w:eastAsia="Times New Roman" w:hAnsi="Times New Roman"/>
          <w:sz w:val="16"/>
          <w:szCs w:val="16"/>
          <w:b w:val="1"/>
          <w:bCs w:val="1"/>
          <w:color w:val="auto"/>
        </w:rPr>
      </w:pPr>
    </w:p>
    <w:p>
      <w:pPr>
        <w:ind w:left="5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Assets and Liabilities Measured at Fair Value on a Recurring Basis</w:t>
      </w:r>
    </w:p>
    <w:p>
      <w:pPr>
        <w:spacing w:after="0" w:line="126" w:lineRule="exact"/>
        <w:rPr>
          <w:rFonts w:ascii="Times New Roman" w:cs="Times New Roman" w:eastAsia="Times New Roman" w:hAnsi="Times New Roman"/>
          <w:sz w:val="16"/>
          <w:szCs w:val="16"/>
          <w:b w:val="1"/>
          <w:bCs w:val="1"/>
          <w:color w:val="auto"/>
        </w:rPr>
      </w:pPr>
    </w:p>
    <w:p>
      <w:pPr>
        <w:ind w:left="5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i w:val="1"/>
          <w:iCs w:val="1"/>
          <w:color w:val="auto"/>
        </w:rPr>
        <w:t>Private Warrants</w:t>
      </w:r>
      <w:r>
        <w:rPr>
          <w:rFonts w:ascii="Times New Roman" w:cs="Times New Roman" w:eastAsia="Times New Roman" w:hAnsi="Times New Roman"/>
          <w:sz w:val="16"/>
          <w:szCs w:val="16"/>
          <w:color w:val="auto"/>
        </w:rPr>
        <w:t>—As of December 31, 2023 and 2022, the Company’s Private Warrants are recognized as liabilities and measured at fair value on a recurring basis.</w:t>
      </w:r>
    </w:p>
    <w:p>
      <w:pPr>
        <w:spacing w:after="0" w:line="128" w:lineRule="exact"/>
        <w:rPr>
          <w:rFonts w:ascii="Times New Roman" w:cs="Times New Roman" w:eastAsia="Times New Roman" w:hAnsi="Times New Roman"/>
          <w:sz w:val="16"/>
          <w:szCs w:val="16"/>
          <w:b w:val="1"/>
          <w:bCs w:val="1"/>
          <w:color w:val="auto"/>
        </w:rPr>
      </w:pPr>
    </w:p>
    <w:p>
      <w:pPr>
        <w:ind w:left="560" w:right="240"/>
        <w:spacing w:after="0" w:line="28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Private Warrants are valued using Level 1 and Level 2 inputs within the Black-Scholes option pricing model. The inputs and assumptions utilized under the Black-Scholes option pricing model require judgments and estimates. Changes in these inputs and assumptions could affect the measurement of the estimated fair value of the Private Warrants. Accordingly, the Private Warrants are classified within Level 2 of the fair value hierarchy.</w:t>
      </w:r>
    </w:p>
    <w:p>
      <w:pPr>
        <w:spacing w:after="0" w:line="69" w:lineRule="exact"/>
        <w:rPr>
          <w:rFonts w:ascii="Times New Roman" w:cs="Times New Roman" w:eastAsia="Times New Roman" w:hAnsi="Times New Roman"/>
          <w:sz w:val="16"/>
          <w:szCs w:val="16"/>
          <w:b w:val="1"/>
          <w:bCs w:val="1"/>
          <w:color w:val="auto"/>
        </w:rPr>
      </w:pPr>
    </w:p>
    <w:p>
      <w:pPr>
        <w:ind w:left="560" w:right="360"/>
        <w:spacing w:after="0" w:line="29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valuation of the Private Warrants as of December 31, 2023 and December 31, 2022 was determined using the Black-Scholes option pricing model using the following assumptions:</w:t>
      </w:r>
    </w:p>
    <w:p>
      <w:pPr>
        <w:spacing w:after="0" w:line="68" w:lineRule="exact"/>
        <w:rPr>
          <w:sz w:val="20"/>
          <w:szCs w:val="20"/>
          <w:color w:val="auto"/>
        </w:rPr>
      </w:pPr>
    </w:p>
    <w:tbl>
      <w:tblPr>
        <w:tblLayout w:type="fixed"/>
        <w:tblInd w:w="58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780" w:type="dxa"/>
            <w:vAlign w:val="bottom"/>
          </w:tcPr>
          <w:p>
            <w:pPr>
              <w:jc w:val="center"/>
              <w:ind w:left="39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20" w:type="dxa"/>
            <w:vAlign w:val="bottom"/>
            <w:gridSpan w:val="3"/>
          </w:tcPr>
          <w:p>
            <w:pPr>
              <w:jc w:val="right"/>
              <w:ind w:right="80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42"/>
        </w:trPr>
        <w:tc>
          <w:tcPr>
            <w:tcW w:w="5600" w:type="dxa"/>
            <w:vAlign w:val="bottom"/>
          </w:tcPr>
          <w:p>
            <w:pPr>
              <w:spacing w:after="0"/>
              <w:rPr>
                <w:sz w:val="21"/>
                <w:szCs w:val="21"/>
                <w:color w:val="auto"/>
              </w:rPr>
            </w:pPr>
          </w:p>
        </w:tc>
        <w:tc>
          <w:tcPr>
            <w:tcW w:w="17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0"/>
        </w:trPr>
        <w:tc>
          <w:tcPr>
            <w:tcW w:w="7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Expected term (in years)</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10"/>
        </w:trPr>
        <w:tc>
          <w:tcPr>
            <w:tcW w:w="7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112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color w:val="auto"/>
              </w:rPr>
              <w:t>34 %</w:t>
            </w:r>
          </w:p>
        </w:tc>
        <w:tc>
          <w:tcPr>
            <w:tcW w:w="2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38 %</w:t>
            </w:r>
          </w:p>
        </w:tc>
      </w:tr>
      <w:tr>
        <w:trPr>
          <w:trHeight w:val="229"/>
        </w:trPr>
        <w:tc>
          <w:tcPr>
            <w:tcW w:w="7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Expected dividend yield</w:t>
            </w:r>
          </w:p>
        </w:tc>
        <w:tc>
          <w:tcPr>
            <w:tcW w:w="112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color w:val="auto"/>
              </w:rPr>
              <w:t>0 %</w:t>
            </w:r>
          </w:p>
        </w:tc>
        <w:tc>
          <w:tcPr>
            <w:tcW w:w="2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0 %</w:t>
            </w:r>
          </w:p>
        </w:tc>
      </w:tr>
      <w:tr>
        <w:trPr>
          <w:trHeight w:val="229"/>
        </w:trPr>
        <w:tc>
          <w:tcPr>
            <w:tcW w:w="7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112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color w:val="auto"/>
              </w:rPr>
              <w:t>4.10 %</w:t>
            </w:r>
          </w:p>
        </w:tc>
        <w:tc>
          <w:tcPr>
            <w:tcW w:w="2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4.15 %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-278765</wp:posOffset>
            </wp:positionV>
            <wp:extent cx="6772275" cy="1460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772275" cy="146050"/>
                    </a:xfrm>
                    <a:prstGeom prst="rect">
                      <a:avLst/>
                    </a:prstGeom>
                    <a:noFill/>
                  </pic:spPr>
                </pic:pic>
              </a:graphicData>
            </a:graphic>
          </wp:anchor>
        </w:drawing>
      </w:r>
    </w:p>
    <w:p>
      <w:pPr>
        <w:spacing w:after="0" w:line="94" w:lineRule="exact"/>
        <w:rPr>
          <w:sz w:val="20"/>
          <w:szCs w:val="20"/>
          <w:color w:val="auto"/>
        </w:rPr>
      </w:pPr>
    </w:p>
    <w:p>
      <w:pPr>
        <w:ind w:left="560" w:right="560"/>
        <w:spacing w:after="0" w:line="298" w:lineRule="auto"/>
        <w:rPr>
          <w:sz w:val="20"/>
          <w:szCs w:val="20"/>
          <w:color w:val="auto"/>
        </w:rPr>
      </w:pPr>
      <w:r>
        <w:rPr>
          <w:rFonts w:ascii="Times New Roman" w:cs="Times New Roman" w:eastAsia="Times New Roman" w:hAnsi="Times New Roman"/>
          <w:sz w:val="16"/>
          <w:szCs w:val="16"/>
          <w:color w:val="auto"/>
        </w:rPr>
        <w:t>The estimated fair value of each Private Warrant using the Company's stock price on the valuation date and the above assumptions was $2.89 and $2.05 as of December 31, 2023 and 2022, respectively.</w:t>
      </w:r>
    </w:p>
    <w:p>
      <w:pPr>
        <w:spacing w:after="0" w:line="54" w:lineRule="exact"/>
        <w:rPr>
          <w:sz w:val="20"/>
          <w:szCs w:val="20"/>
          <w:color w:val="auto"/>
        </w:rPr>
      </w:pPr>
    </w:p>
    <w:p>
      <w:pPr>
        <w:ind w:left="520" w:right="120"/>
        <w:spacing w:after="0" w:line="276" w:lineRule="auto"/>
        <w:rPr>
          <w:sz w:val="20"/>
          <w:szCs w:val="20"/>
          <w:color w:val="auto"/>
        </w:rPr>
      </w:pPr>
      <w:r>
        <w:rPr>
          <w:rFonts w:ascii="Times New Roman" w:cs="Times New Roman" w:eastAsia="Times New Roman" w:hAnsi="Times New Roman"/>
          <w:sz w:val="16"/>
          <w:szCs w:val="16"/>
          <w:i w:val="1"/>
          <w:iCs w:val="1"/>
          <w:color w:val="auto"/>
        </w:rPr>
        <w:t>Contingent Consideration Liability</w:t>
      </w:r>
      <w:r>
        <w:rPr>
          <w:rFonts w:ascii="Times New Roman" w:cs="Times New Roman" w:eastAsia="Times New Roman" w:hAnsi="Times New Roman"/>
          <w:sz w:val="16"/>
          <w:szCs w:val="16"/>
          <w:color w:val="auto"/>
        </w:rPr>
        <w:t>—The contingent consideration liability related to the acquisition of Safekeep (see Note 4), recognized within other liabilities 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consolidated balance sheet, is adjusted each reporting period for changes in fair value, which can result from changes in anticipated payments and changes in the assumed discount rate. These inputs are unobservable in the market and therefore, the contingent consideration liability was classified within Level 3 of the fair value hierarchy as of December 31, 2023 and 2022.</w:t>
      </w:r>
    </w:p>
    <w:p>
      <w:pPr>
        <w:spacing w:after="0" w:line="74" w:lineRule="exact"/>
        <w:rPr>
          <w:sz w:val="20"/>
          <w:szCs w:val="20"/>
          <w:color w:val="auto"/>
        </w:rPr>
      </w:pPr>
    </w:p>
    <w:p>
      <w:pPr>
        <w:ind w:left="520" w:right="360"/>
        <w:spacing w:after="0" w:line="298" w:lineRule="auto"/>
        <w:rPr>
          <w:sz w:val="20"/>
          <w:szCs w:val="20"/>
          <w:color w:val="auto"/>
        </w:rPr>
      </w:pPr>
      <w:r>
        <w:rPr>
          <w:rFonts w:ascii="Times New Roman" w:cs="Times New Roman" w:eastAsia="Times New Roman" w:hAnsi="Times New Roman"/>
          <w:sz w:val="16"/>
          <w:szCs w:val="16"/>
          <w:color w:val="auto"/>
        </w:rPr>
        <w:t>The estimated fair value of the contingent consideration at the date of acquisition was determined using probability-weighted discounted cash flows and a Monte Carlo simulation model. The discount rate used to estimate fair value is based on the Company's estimated cost of debt and was 10% as of December 31, 2022.</w:t>
      </w:r>
    </w:p>
    <w:p>
      <w:pPr>
        <w:spacing w:after="0" w:line="56" w:lineRule="exact"/>
        <w:rPr>
          <w:sz w:val="20"/>
          <w:szCs w:val="20"/>
          <w:color w:val="auto"/>
        </w:rPr>
      </w:pPr>
    </w:p>
    <w:p>
      <w:pPr>
        <w:ind w:left="520" w:right="200"/>
        <w:spacing w:after="0" w:line="281" w:lineRule="auto"/>
        <w:rPr>
          <w:sz w:val="20"/>
          <w:szCs w:val="20"/>
          <w:color w:val="auto"/>
        </w:rPr>
      </w:pPr>
      <w:r>
        <w:rPr>
          <w:rFonts w:ascii="Times New Roman" w:cs="Times New Roman" w:eastAsia="Times New Roman" w:hAnsi="Times New Roman"/>
          <w:sz w:val="16"/>
          <w:szCs w:val="16"/>
          <w:color w:val="auto"/>
        </w:rPr>
        <w:t>As of December 31, 2022, the contingent consideration liability had a fair value of $0.1 million. As of December 31, 2023, there were no significant changes to the inputs used within the Monte Carlo simulation model, and the estimated fair value of the contingent consideration liability was $0.1 million. The contingent consideration liability is classified within other liabilities in the accompanying consolidated balance sheets.</w:t>
      </w:r>
    </w:p>
    <w:p>
      <w:pPr>
        <w:spacing w:after="0" w:line="69" w:lineRule="exact"/>
        <w:rPr>
          <w:sz w:val="20"/>
          <w:szCs w:val="20"/>
          <w:color w:val="auto"/>
        </w:rPr>
      </w:pPr>
    </w:p>
    <w:p>
      <w:pPr>
        <w:jc w:val="both"/>
        <w:ind w:left="520" w:right="220"/>
        <w:spacing w:after="0" w:line="281" w:lineRule="auto"/>
        <w:rPr>
          <w:sz w:val="20"/>
          <w:szCs w:val="20"/>
          <w:color w:val="auto"/>
        </w:rPr>
      </w:pPr>
      <w:r>
        <w:rPr>
          <w:rFonts w:ascii="Times New Roman" w:cs="Times New Roman" w:eastAsia="Times New Roman" w:hAnsi="Times New Roman"/>
          <w:sz w:val="16"/>
          <w:szCs w:val="16"/>
          <w:color w:val="auto"/>
        </w:rPr>
        <w:t>During the year ended December 31, 2023, the Company did not recognize any change in the estimated fair value of the contingent consideration. During the year ended December 31, 2022, the Company recognized a $0.1 million gain from the change in the estimated fair value of the contingent consideration liability, within general and administrative expenses on the consolidated statement of operations and comprehensive (loss) income.</w:t>
      </w:r>
    </w:p>
    <w:p>
      <w:pPr>
        <w:spacing w:after="0" w:line="67" w:lineRule="exact"/>
        <w:rPr>
          <w:sz w:val="20"/>
          <w:szCs w:val="20"/>
          <w:color w:val="auto"/>
        </w:rPr>
      </w:pPr>
    </w:p>
    <w:p>
      <w:pPr>
        <w:ind w:left="520" w:right="240"/>
        <w:spacing w:after="0" w:line="282" w:lineRule="auto"/>
        <w:rPr>
          <w:sz w:val="20"/>
          <w:szCs w:val="20"/>
          <w:color w:val="auto"/>
        </w:rPr>
      </w:pPr>
      <w:r>
        <w:rPr>
          <w:rFonts w:ascii="Times New Roman" w:cs="Times New Roman" w:eastAsia="Times New Roman" w:hAnsi="Times New Roman"/>
          <w:sz w:val="16"/>
          <w:szCs w:val="16"/>
          <w:i w:val="1"/>
          <w:iCs w:val="1"/>
          <w:color w:val="auto"/>
        </w:rPr>
        <w:t>Interest Rate Cap</w:t>
      </w:r>
      <w:r>
        <w:rPr>
          <w:rFonts w:ascii="Times New Roman" w:cs="Times New Roman" w:eastAsia="Times New Roman" w:hAnsi="Times New Roman"/>
          <w:sz w:val="16"/>
          <w:szCs w:val="16"/>
          <w:color w:val="auto"/>
        </w:rPr>
        <w:t>—In August 2022, the Company entered into two interest rate cap agreements to reduce its exposure to increases in interest rates applicable to its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floating rate long-term debt (See Note 16). The fair value of the interest rate cap agreements was estimated using inputs that were observable or that could be corroborated by observable market data and therefore, was classified within Level 2 of the fair value hierarchy as of December 31, 2023 and 2022.</w:t>
      </w:r>
    </w:p>
    <w:p>
      <w:pPr>
        <w:spacing w:after="0" w:line="69" w:lineRule="exact"/>
        <w:rPr>
          <w:sz w:val="20"/>
          <w:szCs w:val="20"/>
          <w:color w:val="auto"/>
        </w:rPr>
      </w:pPr>
    </w:p>
    <w:p>
      <w:pPr>
        <w:jc w:val="both"/>
        <w:ind w:left="520" w:right="680"/>
        <w:spacing w:after="0" w:line="281" w:lineRule="auto"/>
        <w:rPr>
          <w:sz w:val="20"/>
          <w:szCs w:val="20"/>
          <w:color w:val="auto"/>
        </w:rPr>
      </w:pPr>
      <w:r>
        <w:rPr>
          <w:rFonts w:ascii="Times New Roman" w:cs="Times New Roman" w:eastAsia="Times New Roman" w:hAnsi="Times New Roman"/>
          <w:sz w:val="16"/>
          <w:szCs w:val="16"/>
          <w:color w:val="auto"/>
        </w:rPr>
        <w:t>The Company did not designate its interest rate cap agreements as hedging instruments and records the changes in fair value within other income-net on the consolidated statement of operations and comprehensive (loss) income. The interest rate cap agreements' fair value was $6.2 million and $12.0 million as of December 31, 2023 and 2022, respectively, classified within other assets in the accompanying consolidated balance sheet.</w:t>
      </w:r>
    </w:p>
    <w:p>
      <w:pPr>
        <w:spacing w:after="0" w:line="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following table presents the fair value of the assets and liabilities measured at fair value on a recurring basis at December 31, 2023 (in thousands):</w:t>
      </w:r>
    </w:p>
    <w:p>
      <w:pPr>
        <w:spacing w:after="0" w:line="138" w:lineRule="exact"/>
        <w:rPr>
          <w:sz w:val="20"/>
          <w:szCs w:val="20"/>
          <w:color w:val="auto"/>
        </w:rPr>
      </w:pPr>
    </w:p>
    <w:tbl>
      <w:tblPr>
        <w:tblLayout w:type="fixed"/>
        <w:tblInd w:w="580" w:type="dxa"/>
        <w:tblCellMar>
          <w:top w:w="0" w:type="dxa"/>
          <w:left w:w="0" w:type="dxa"/>
          <w:bottom w:w="0" w:type="dxa"/>
          <w:right w:w="0" w:type="dxa"/>
        </w:tblCellMar>
      </w:tblPr>
      <w:tr>
        <w:trPr>
          <w:trHeight w:val="225"/>
        </w:trPr>
        <w:tc>
          <w:tcPr>
            <w:tcW w:w="4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30"/>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4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Interest rate cap</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6,208</w:t>
            </w:r>
          </w:p>
        </w:tc>
        <w:tc>
          <w:tcPr>
            <w:tcW w:w="28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spacing w:after="0"/>
              <w:rPr>
                <w:sz w:val="19"/>
                <w:szCs w:val="19"/>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6,208</w:t>
            </w: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6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6,208</w:t>
            </w:r>
          </w:p>
        </w:tc>
        <w:tc>
          <w:tcPr>
            <w:tcW w:w="48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6,208</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1"/>
        </w:trPr>
        <w:tc>
          <w:tcPr>
            <w:tcW w:w="45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38"/>
        </w:trPr>
        <w:tc>
          <w:tcPr>
            <w:tcW w:w="45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Contingent consideration related to business acquisition</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48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FF0FC"/>
          </w:tcPr>
          <w:p>
            <w:pPr>
              <w:spacing w:after="0"/>
              <w:rPr>
                <w:sz w:val="20"/>
                <w:szCs w:val="20"/>
                <w:color w:val="auto"/>
              </w:rPr>
            </w:pPr>
          </w:p>
        </w:tc>
      </w:tr>
      <w:tr>
        <w:trPr>
          <w:trHeight w:val="227"/>
        </w:trPr>
        <w:tc>
          <w:tcPr>
            <w:tcW w:w="4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Private warrants</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51,501</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51,501</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66"/>
        </w:trPr>
        <w:tc>
          <w:tcPr>
            <w:tcW w:w="4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51,601</w:t>
            </w:r>
          </w:p>
        </w:tc>
        <w:tc>
          <w:tcPr>
            <w:tcW w:w="28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51,501</w:t>
            </w:r>
          </w:p>
        </w:tc>
        <w:tc>
          <w:tcPr>
            <w:tcW w:w="28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-642620</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-625475</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-642620</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-625475</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-642620</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-625475</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-642620</wp:posOffset>
            </wp:positionV>
            <wp:extent cx="5969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-625475</wp:posOffset>
            </wp:positionV>
            <wp:extent cx="5969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-25400</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-8255</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-25400</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-8255</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-25400</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-8255</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-8255</wp:posOffset>
            </wp:positionV>
            <wp:extent cx="5969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096" w:right="279" w:bottom="1440" w:gutter="0" w:footer="0" w:header="0"/>
        </w:sectPr>
      </w:pPr>
    </w:p>
    <w:bookmarkStart w:id="75" w:name="page76"/>
    <w:bookmarkEnd w:id="75"/>
    <w:p>
      <w:pPr>
        <w:ind w:left="560"/>
        <w:spacing w:after="0"/>
        <w:rPr>
          <w:sz w:val="20"/>
          <w:szCs w:val="20"/>
          <w:color w:val="auto"/>
        </w:rPr>
      </w:pPr>
      <w:r>
        <w:rPr>
          <w:rFonts w:ascii="Times New Roman" w:cs="Times New Roman" w:eastAsia="Times New Roman" w:hAnsi="Times New Roman"/>
          <w:sz w:val="16"/>
          <w:szCs w:val="16"/>
          <w:color w:val="auto"/>
        </w:rPr>
        <w:t>The following table presents the fair value of the assets and liabilities measured at fair value on a recurring basis at December 31, 2022 (in thousands):</w:t>
      </w:r>
    </w:p>
    <w:p>
      <w:pPr>
        <w:spacing w:after="0" w:line="138" w:lineRule="exact"/>
        <w:rPr>
          <w:sz w:val="20"/>
          <w:szCs w:val="20"/>
          <w:color w:val="auto"/>
        </w:rPr>
      </w:pPr>
    </w:p>
    <w:tbl>
      <w:tblPr>
        <w:tblLayout w:type="fixed"/>
        <w:tblInd w:w="580" w:type="dxa"/>
        <w:tblCellMar>
          <w:top w:w="0" w:type="dxa"/>
          <w:left w:w="0" w:type="dxa"/>
          <w:bottom w:w="0" w:type="dxa"/>
          <w:right w:w="0" w:type="dxa"/>
        </w:tblCellMar>
      </w:tblPr>
      <w:tr>
        <w:trPr>
          <w:trHeight w:val="225"/>
        </w:trPr>
        <w:tc>
          <w:tcPr>
            <w:tcW w:w="4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3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4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Interest rate cap</w:t>
            </w: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11,951</w:t>
            </w:r>
          </w:p>
        </w:tc>
        <w:tc>
          <w:tcPr>
            <w:tcW w:w="280" w:type="dxa"/>
            <w:vAlign w:val="bottom"/>
          </w:tcPr>
          <w:p>
            <w:pPr>
              <w:spacing w:after="0"/>
              <w:rPr>
                <w:sz w:val="19"/>
                <w:szCs w:val="19"/>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spacing w:after="0"/>
              <w:rPr>
                <w:sz w:val="19"/>
                <w:szCs w:val="19"/>
                <w:color w:val="auto"/>
              </w:rPr>
            </w:pP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11,951</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6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11,951</w:t>
            </w:r>
          </w:p>
        </w:tc>
        <w:tc>
          <w:tcPr>
            <w:tcW w:w="4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11,951</w:t>
            </w:r>
          </w:p>
        </w:tc>
        <w:tc>
          <w:tcPr>
            <w:tcW w:w="44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1"/>
        </w:trPr>
        <w:tc>
          <w:tcPr>
            <w:tcW w:w="45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38"/>
        </w:trPr>
        <w:tc>
          <w:tcPr>
            <w:tcW w:w="4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Contingent consideration related to business acquisition</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4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FF0FC"/>
          </w:tcPr>
          <w:p>
            <w:pPr>
              <w:spacing w:after="0"/>
              <w:rPr>
                <w:sz w:val="20"/>
                <w:szCs w:val="20"/>
                <w:color w:val="auto"/>
              </w:rPr>
            </w:pPr>
          </w:p>
        </w:tc>
      </w:tr>
      <w:tr>
        <w:trPr>
          <w:trHeight w:val="227"/>
        </w:trPr>
        <w:tc>
          <w:tcPr>
            <w:tcW w:w="4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Private warrants</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36,405</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36,405</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66"/>
        </w:trPr>
        <w:tc>
          <w:tcPr>
            <w:tcW w:w="4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36,505</w:t>
            </w:r>
          </w:p>
        </w:tc>
        <w:tc>
          <w:tcPr>
            <w:tcW w:w="28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36,405</w:t>
            </w:r>
          </w:p>
        </w:tc>
        <w:tc>
          <w:tcPr>
            <w:tcW w:w="24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-642620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-625475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-642620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-625475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-642620</wp:posOffset>
            </wp:positionV>
            <wp:extent cx="6032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-625475</wp:posOffset>
            </wp:positionV>
            <wp:extent cx="6032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-642620</wp:posOffset>
            </wp:positionV>
            <wp:extent cx="5969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-625475</wp:posOffset>
            </wp:positionV>
            <wp:extent cx="596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-25400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-8255</wp:posOffset>
            </wp:positionV>
            <wp:extent cx="685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-25400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-8255</wp:posOffset>
            </wp:positionV>
            <wp:extent cx="685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-25400</wp:posOffset>
            </wp:positionV>
            <wp:extent cx="6032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-8255</wp:posOffset>
            </wp:positionV>
            <wp:extent cx="6032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-8255</wp:posOffset>
            </wp:positionV>
            <wp:extent cx="5969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80" w:lineRule="exact"/>
        <w:rPr>
          <w:sz w:val="20"/>
          <w:szCs w:val="20"/>
          <w:color w:val="auto"/>
        </w:rPr>
      </w:pPr>
    </w:p>
    <w:p>
      <w:pPr>
        <w:jc w:val="both"/>
        <w:ind w:left="560" w:right="160"/>
        <w:spacing w:after="0" w:line="282" w:lineRule="auto"/>
        <w:rPr>
          <w:sz w:val="20"/>
          <w:szCs w:val="20"/>
          <w:color w:val="auto"/>
        </w:rPr>
      </w:pPr>
      <w:r>
        <w:rPr>
          <w:rFonts w:ascii="Times New Roman" w:cs="Times New Roman" w:eastAsia="Times New Roman" w:hAnsi="Times New Roman"/>
          <w:sz w:val="16"/>
          <w:szCs w:val="16"/>
          <w:b w:val="1"/>
          <w:bCs w:val="1"/>
          <w:color w:val="auto"/>
        </w:rPr>
        <w:t>Assets and Liabilities Measured at Fair Value on a Nonrecurring Basis</w:t>
      </w:r>
      <w:r>
        <w:rPr>
          <w:rFonts w:ascii="Times New Roman" w:cs="Times New Roman" w:eastAsia="Times New Roman" w:hAnsi="Times New Roman"/>
          <w:sz w:val="16"/>
          <w:szCs w:val="16"/>
          <w:color w:val="auto"/>
        </w:rPr>
        <w:t>—The Company has assets that under certain conditions are subject to measurement at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fair value on a nonrecurring basis. These assets include those associated with acquired businesses, including goodwill and other intangible assets. For these assets, measurement at fair value in periods subsequent to their initial recognition is applicable if one or more is determined to be impaired.</w:t>
      </w:r>
    </w:p>
    <w:p>
      <w:pPr>
        <w:spacing w:after="0" w:line="69" w:lineRule="exact"/>
        <w:rPr>
          <w:sz w:val="20"/>
          <w:szCs w:val="20"/>
          <w:color w:val="auto"/>
        </w:rPr>
      </w:pPr>
    </w:p>
    <w:p>
      <w:pPr>
        <w:ind w:left="560" w:right="580"/>
        <w:spacing w:after="0" w:line="298" w:lineRule="auto"/>
        <w:rPr>
          <w:sz w:val="20"/>
          <w:szCs w:val="20"/>
          <w:color w:val="auto"/>
        </w:rPr>
      </w:pPr>
      <w:r>
        <w:rPr>
          <w:rFonts w:ascii="Times New Roman" w:cs="Times New Roman" w:eastAsia="Times New Roman" w:hAnsi="Times New Roman"/>
          <w:sz w:val="16"/>
          <w:szCs w:val="16"/>
          <w:color w:val="auto"/>
        </w:rPr>
        <w:t>During the year ended December 31, 2023 the Company recognized impairment charges of goodwill and definite-lived intangible assets (See Note 12). The Company did not recognize impairment charges related to these assets during the years ended December 31, 2022 and 2021.</w:t>
      </w:r>
    </w:p>
    <w:p>
      <w:pPr>
        <w:spacing w:after="0" w:line="54" w:lineRule="exact"/>
        <w:rPr>
          <w:sz w:val="20"/>
          <w:szCs w:val="20"/>
          <w:color w:val="auto"/>
        </w:rPr>
      </w:pPr>
    </w:p>
    <w:p>
      <w:pPr>
        <w:ind w:left="560" w:right="80"/>
        <w:spacing w:after="0" w:line="301" w:lineRule="auto"/>
        <w:rPr>
          <w:sz w:val="20"/>
          <w:szCs w:val="20"/>
          <w:color w:val="auto"/>
        </w:rPr>
      </w:pPr>
      <w:r>
        <w:rPr>
          <w:rFonts w:ascii="Times New Roman" w:cs="Times New Roman" w:eastAsia="Times New Roman" w:hAnsi="Times New Roman"/>
          <w:sz w:val="16"/>
          <w:szCs w:val="16"/>
          <w:b w:val="1"/>
          <w:bCs w:val="1"/>
          <w:color w:val="auto"/>
        </w:rPr>
        <w:t>Fair Value of Other Financial Instruments</w:t>
      </w:r>
      <w:r>
        <w:rPr>
          <w:rFonts w:ascii="Times New Roman" w:cs="Times New Roman" w:eastAsia="Times New Roman" w:hAnsi="Times New Roman"/>
          <w:sz w:val="16"/>
          <w:szCs w:val="16"/>
          <w:color w:val="auto"/>
        </w:rPr>
        <w:t>—The following table presents the carrying amounts, net of debt discount, and estimated fair values of the Company’s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financial instruments that are not recorded at fair value on the consolidated balance sheets (in thousands):</w:t>
      </w:r>
    </w:p>
    <w:p>
      <w:pPr>
        <w:spacing w:after="0" w:line="200" w:lineRule="exact"/>
        <w:rPr>
          <w:sz w:val="20"/>
          <w:szCs w:val="20"/>
          <w:color w:val="auto"/>
        </w:rPr>
      </w:pPr>
    </w:p>
    <w:tbl>
      <w:tblPr>
        <w:tblLayout w:type="fixed"/>
        <w:tblInd w:w="580" w:type="dxa"/>
        <w:tblCellMar>
          <w:top w:w="0" w:type="dxa"/>
          <w:left w:w="0" w:type="dxa"/>
          <w:bottom w:w="0" w:type="dxa"/>
          <w:right w:w="0" w:type="dxa"/>
        </w:tblCellMar>
      </w:tblPr>
      <w:tr>
        <w:trPr>
          <w:trHeight w:val="225"/>
        </w:trPr>
        <w:tc>
          <w:tcPr>
            <w:tcW w:w="4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60" w:type="dxa"/>
            <w:vAlign w:val="bottom"/>
            <w:gridSpan w:val="6"/>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6"/>
          </w:tcPr>
          <w:p>
            <w:pPr>
              <w:ind w:left="380"/>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12"/>
        </w:trPr>
        <w:tc>
          <w:tcPr>
            <w:tcW w:w="45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3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3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100" w:type="dxa"/>
            <w:vAlign w:val="bottom"/>
          </w:tcPr>
          <w:p>
            <w:pPr>
              <w:spacing w:after="0"/>
              <w:rPr>
                <w:sz w:val="18"/>
                <w:szCs w:val="18"/>
                <w:color w:val="auto"/>
              </w:rPr>
            </w:pPr>
          </w:p>
        </w:tc>
      </w:tr>
      <w:tr>
        <w:trPr>
          <w:trHeight w:val="193"/>
        </w:trPr>
        <w:tc>
          <w:tcPr>
            <w:tcW w:w="4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60" w:type="dxa"/>
            <w:vAlign w:val="bottom"/>
          </w:tcPr>
          <w:p>
            <w:pPr>
              <w:spacing w:after="0"/>
              <w:rPr>
                <w:sz w:val="16"/>
                <w:szCs w:val="16"/>
                <w:color w:val="auto"/>
              </w:rPr>
            </w:pPr>
          </w:p>
        </w:tc>
        <w:tc>
          <w:tcPr>
            <w:tcW w:w="106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300" w:type="dxa"/>
            <w:vAlign w:val="bottom"/>
          </w:tcPr>
          <w:p>
            <w:pPr>
              <w:spacing w:after="0"/>
              <w:rPr>
                <w:sz w:val="16"/>
                <w:szCs w:val="16"/>
                <w:color w:val="auto"/>
              </w:rPr>
            </w:pPr>
          </w:p>
        </w:tc>
        <w:tc>
          <w:tcPr>
            <w:tcW w:w="110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380" w:type="dxa"/>
            <w:vAlign w:val="bottom"/>
          </w:tcPr>
          <w:p>
            <w:pPr>
              <w:spacing w:after="0"/>
              <w:rPr>
                <w:sz w:val="16"/>
                <w:szCs w:val="16"/>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34"/>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Term B Loan, including current maturities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782,564</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784,000</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790,331</w:t>
            </w:r>
          </w:p>
        </w:tc>
        <w:tc>
          <w:tcPr>
            <w:tcW w:w="3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766,260</w:t>
            </w:r>
          </w:p>
        </w:tc>
        <w:tc>
          <w:tcPr>
            <w:tcW w:w="100" w:type="dxa"/>
            <w:vAlign w:val="bottom"/>
            <w:shd w:val="clear" w:color="auto" w:fill="CFF0FC"/>
          </w:tcPr>
          <w:p>
            <w:pPr>
              <w:spacing w:after="0"/>
              <w:rPr>
                <w:sz w:val="19"/>
                <w:szCs w:val="19"/>
                <w:color w:val="auto"/>
              </w:rPr>
            </w:pPr>
          </w:p>
        </w:tc>
      </w:tr>
    </w:tbl>
    <w:p>
      <w:pPr>
        <w:spacing w:after="0" w:line="94" w:lineRule="exact"/>
        <w:rPr>
          <w:sz w:val="20"/>
          <w:szCs w:val="20"/>
          <w:color w:val="auto"/>
        </w:rPr>
      </w:pPr>
    </w:p>
    <w:p>
      <w:pPr>
        <w:ind w:left="560" w:right="60"/>
        <w:spacing w:after="0" w:line="281" w:lineRule="auto"/>
        <w:rPr>
          <w:sz w:val="20"/>
          <w:szCs w:val="20"/>
          <w:color w:val="auto"/>
        </w:rPr>
      </w:pPr>
      <w:r>
        <w:rPr>
          <w:rFonts w:ascii="Times New Roman" w:cs="Times New Roman" w:eastAsia="Times New Roman" w:hAnsi="Times New Roman"/>
          <w:sz w:val="16"/>
          <w:szCs w:val="16"/>
          <w:color w:val="auto"/>
        </w:rPr>
        <w:t>The fair value of the Company’s long-term debt, including current maturities, was estimated based on the quoted market prices for the same or similar instruments and fluctuates with changes in applicable interest rates among other factors. The fair value of long-term debt is classified as a Level 2 measurement in the fair value hierarchy and is established based on observable inputs in less active markets.</w:t>
      </w:r>
    </w:p>
    <w:p>
      <w:pPr>
        <w:spacing w:after="0" w:line="175" w:lineRule="exact"/>
        <w:rPr>
          <w:sz w:val="20"/>
          <w:szCs w:val="20"/>
          <w:color w:val="auto"/>
        </w:rPr>
      </w:pPr>
    </w:p>
    <w:p>
      <w:pPr>
        <w:ind w:left="560" w:hanging="552"/>
        <w:spacing w:after="0"/>
        <w:tabs>
          <w:tab w:leader="none" w:pos="560" w:val="left"/>
        </w:tabs>
        <w:numPr>
          <w:ilvl w:val="0"/>
          <w:numId w:val="4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INCOME TAXES</w:t>
      </w:r>
    </w:p>
    <w:p>
      <w:pPr>
        <w:spacing w:after="0" w:line="128" w:lineRule="exact"/>
        <w:rPr>
          <w:rFonts w:ascii="Times New Roman" w:cs="Times New Roman" w:eastAsia="Times New Roman" w:hAnsi="Times New Roman"/>
          <w:sz w:val="16"/>
          <w:szCs w:val="16"/>
          <w:b w:val="1"/>
          <w:bCs w:val="1"/>
          <w:color w:val="auto"/>
        </w:rPr>
      </w:pPr>
    </w:p>
    <w:p>
      <w:pPr>
        <w:ind w:left="5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components of pretax (loss) income attributable to domestic and foreign operations are as follows (in thousands):</w:t>
      </w:r>
    </w:p>
    <w:p>
      <w:pPr>
        <w:spacing w:after="0" w:line="138" w:lineRule="exact"/>
        <w:rPr>
          <w:sz w:val="20"/>
          <w:szCs w:val="20"/>
          <w:color w:val="auto"/>
        </w:rPr>
      </w:pPr>
    </w:p>
    <w:tbl>
      <w:tblPr>
        <w:tblLayout w:type="fixed"/>
        <w:tblInd w:w="580" w:type="dxa"/>
        <w:tblCellMar>
          <w:top w:w="0" w:type="dxa"/>
          <w:left w:w="0" w:type="dxa"/>
          <w:bottom w:w="0" w:type="dxa"/>
          <w:right w:w="0" w:type="dxa"/>
        </w:tblCellMar>
      </w:tblPr>
      <w:tr>
        <w:trPr>
          <w:trHeight w:val="225"/>
        </w:trPr>
        <w:tc>
          <w:tcPr>
            <w:tcW w:w="6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6"/>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r>
      <w:tr>
        <w:trPr>
          <w:trHeight w:val="223"/>
        </w:trPr>
        <w:tc>
          <w:tcPr>
            <w:tcW w:w="6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12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122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Domestic</w:t>
            </w:r>
          </w:p>
        </w:tc>
        <w:tc>
          <w:tcPr>
            <w:tcW w:w="38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(80,486 )</w:t>
            </w: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54,799</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(261,900 )</w:t>
            </w:r>
          </w:p>
        </w:tc>
        <w:tc>
          <w:tcPr>
            <w:tcW w:w="100" w:type="dxa"/>
            <w:vAlign w:val="bottom"/>
          </w:tcPr>
          <w:p>
            <w:pPr>
              <w:spacing w:after="0"/>
              <w:rPr>
                <w:sz w:val="19"/>
                <w:szCs w:val="19"/>
                <w:color w:val="auto"/>
              </w:rPr>
            </w:pPr>
          </w:p>
        </w:tc>
      </w:tr>
      <w:tr>
        <w:trPr>
          <w:trHeight w:val="227"/>
        </w:trPr>
        <w:tc>
          <w:tcPr>
            <w:tcW w:w="6120" w:type="dxa"/>
            <w:vAlign w:val="bottom"/>
          </w:tcPr>
          <w:p>
            <w:pPr>
              <w:spacing w:after="0"/>
              <w:rPr>
                <w:sz w:val="20"/>
                <w:szCs w:val="20"/>
                <w:color w:val="auto"/>
              </w:rPr>
            </w:pPr>
            <w:r>
              <w:rPr>
                <w:rFonts w:ascii="Times New Roman" w:cs="Times New Roman" w:eastAsia="Times New Roman" w:hAnsi="Times New Roman"/>
                <w:sz w:val="16"/>
                <w:szCs w:val="16"/>
                <w:color w:val="auto"/>
              </w:rPr>
              <w:t>Foreign</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(4,061 )</w:t>
            </w: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(4,937 )</w:t>
            </w:r>
          </w:p>
        </w:tc>
        <w:tc>
          <w:tcPr>
            <w:tcW w:w="2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(13,019 )</w:t>
            </w:r>
          </w:p>
        </w:tc>
        <w:tc>
          <w:tcPr>
            <w:tcW w:w="100" w:type="dxa"/>
            <w:vAlign w:val="bottom"/>
          </w:tcPr>
          <w:p>
            <w:pPr>
              <w:spacing w:after="0"/>
              <w:rPr>
                <w:sz w:val="19"/>
                <w:szCs w:val="19"/>
                <w:color w:val="auto"/>
              </w:rPr>
            </w:pPr>
          </w:p>
        </w:tc>
      </w:tr>
      <w:tr>
        <w:trPr>
          <w:trHeight w:val="266"/>
        </w:trPr>
        <w:tc>
          <w:tcPr>
            <w:tcW w:w="6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Pretax (loss) income</w:t>
            </w:r>
          </w:p>
        </w:tc>
        <w:tc>
          <w:tcPr>
            <w:tcW w:w="10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(84,547</w:t>
            </w:r>
          </w:p>
        </w:tc>
        <w:tc>
          <w:tcPr>
            <w:tcW w:w="220" w:type="dxa"/>
            <w:vAlign w:val="bottom"/>
            <w:tcBorders>
              <w:bottom w:val="single" w:sz="8" w:color="CFF0FC"/>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49,862</w:t>
            </w:r>
          </w:p>
        </w:tc>
        <w:tc>
          <w:tcPr>
            <w:tcW w:w="22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(274,919</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-24765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-24765</wp:posOffset>
            </wp:positionV>
            <wp:extent cx="6032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-7620</wp:posOffset>
            </wp:positionV>
            <wp:extent cx="6032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4" w:lineRule="exact"/>
        <w:rPr>
          <w:sz w:val="20"/>
          <w:szCs w:val="20"/>
          <w:color w:val="auto"/>
        </w:rPr>
      </w:pPr>
    </w:p>
    <w:p>
      <w:pPr>
        <w:jc w:val="both"/>
        <w:ind w:left="560" w:right="140"/>
        <w:spacing w:after="0" w:line="298" w:lineRule="auto"/>
        <w:rPr>
          <w:sz w:val="20"/>
          <w:szCs w:val="20"/>
          <w:color w:val="auto"/>
        </w:rPr>
      </w:pPr>
      <w:r>
        <w:rPr>
          <w:rFonts w:ascii="Times New Roman" w:cs="Times New Roman" w:eastAsia="Times New Roman" w:hAnsi="Times New Roman"/>
          <w:sz w:val="16"/>
          <w:szCs w:val="16"/>
          <w:color w:val="auto"/>
        </w:rPr>
        <w:t>The goodwill and intangible asset impairment charges (see Note 12) recognized during the year ended December 31, 2023 are included in the domestic pretax loss in the table above.</w:t>
      </w:r>
    </w:p>
    <w:p>
      <w:pPr>
        <w:spacing w:after="0" w:line="56" w:lineRule="exact"/>
        <w:rPr>
          <w:sz w:val="20"/>
          <w:szCs w:val="20"/>
          <w:color w:val="auto"/>
        </w:rPr>
      </w:pPr>
    </w:p>
    <w:tbl>
      <w:tblPr>
        <w:tblLayout w:type="fixed"/>
        <w:tblInd w:w="560" w:type="dxa"/>
        <w:tblCellMar>
          <w:top w:w="0" w:type="dxa"/>
          <w:left w:w="0" w:type="dxa"/>
          <w:bottom w:w="0" w:type="dxa"/>
          <w:right w:w="0" w:type="dxa"/>
        </w:tblCellMar>
      </w:tblPr>
      <w:tr>
        <w:trPr>
          <w:trHeight w:val="210"/>
        </w:trPr>
        <w:tc>
          <w:tcPr>
            <w:tcW w:w="6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Company's income tax provision (benefit) consisted of the following (in thousands):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37"/>
        </w:trPr>
        <w:tc>
          <w:tcPr>
            <w:tcW w:w="2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6"/>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provision:</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61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Federal</w:t>
            </w:r>
          </w:p>
        </w:tc>
        <w:tc>
          <w:tcPr>
            <w:tcW w:w="3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41,804</w:t>
            </w:r>
          </w:p>
        </w:tc>
        <w:tc>
          <w:tcPr>
            <w:tcW w:w="2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37,470</w:t>
            </w:r>
          </w:p>
        </w:tc>
        <w:tc>
          <w:tcPr>
            <w:tcW w:w="2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15,263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20" w:type="dxa"/>
            <w:vAlign w:val="bottom"/>
          </w:tcPr>
          <w:p>
            <w:pPr>
              <w:spacing w:after="0"/>
              <w:rPr>
                <w:sz w:val="20"/>
                <w:szCs w:val="20"/>
                <w:color w:val="auto"/>
              </w:rPr>
            </w:pPr>
          </w:p>
        </w:tc>
        <w:tc>
          <w:tcPr>
            <w:tcW w:w="61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State</w:t>
            </w: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10,053</w:t>
            </w:r>
          </w:p>
        </w:tc>
        <w:tc>
          <w:tcPr>
            <w:tcW w:w="2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8,387</w:t>
            </w:r>
          </w:p>
        </w:tc>
        <w:tc>
          <w:tcPr>
            <w:tcW w:w="2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5,620</w:t>
            </w:r>
          </w:p>
        </w:tc>
        <w:tc>
          <w:tcPr>
            <w:tcW w:w="80" w:type="dxa"/>
            <w:vAlign w:val="bottom"/>
            <w:tcBorders>
              <w:bottom w:val="single" w:sz="8" w:color="CFF0FC"/>
            </w:tcBorders>
            <w:shd w:val="clear" w:color="auto" w:fill="CFF0FC"/>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current provision</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51,857</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45,857</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20,883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provision (benefit):</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61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Federal</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(36,253 )</w:t>
            </w: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(26,570 )</w:t>
            </w:r>
          </w:p>
        </w:tc>
        <w:tc>
          <w:tcPr>
            <w:tcW w:w="2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(35,284 )</w:t>
            </w:r>
          </w:p>
        </w:tc>
        <w:tc>
          <w:tcPr>
            <w:tcW w:w="100" w:type="dxa"/>
            <w:vAlign w:val="bottom"/>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6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State</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(10,080 )</w:t>
            </w:r>
          </w:p>
        </w:tc>
        <w:tc>
          <w:tcPr>
            <w:tcW w:w="28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(7,831 )</w:t>
            </w:r>
          </w:p>
        </w:tc>
        <w:tc>
          <w:tcPr>
            <w:tcW w:w="2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(11,599 )</w:t>
            </w:r>
          </w:p>
        </w:tc>
        <w:tc>
          <w:tcPr>
            <w:tcW w:w="100" w:type="dxa"/>
            <w:vAlign w:val="bottom"/>
          </w:tcPr>
          <w:p>
            <w:pPr>
              <w:spacing w:after="0"/>
              <w:rPr>
                <w:sz w:val="20"/>
                <w:szCs w:val="20"/>
                <w:color w:val="auto"/>
              </w:rPr>
            </w:pPr>
          </w:p>
        </w:tc>
      </w:tr>
      <w:tr>
        <w:trPr>
          <w:trHeight w:val="220"/>
        </w:trPr>
        <w:tc>
          <w:tcPr>
            <w:tcW w:w="20" w:type="dxa"/>
            <w:vAlign w:val="bottom"/>
          </w:tcPr>
          <w:p>
            <w:pPr>
              <w:spacing w:after="0"/>
              <w:rPr>
                <w:sz w:val="19"/>
                <w:szCs w:val="19"/>
                <w:color w:val="auto"/>
              </w:rPr>
            </w:pPr>
          </w:p>
        </w:tc>
        <w:tc>
          <w:tcPr>
            <w:tcW w:w="61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Foreign</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(502 )</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(2,080 )</w:t>
            </w:r>
          </w:p>
        </w:tc>
        <w:tc>
          <w:tcPr>
            <w:tcW w:w="100" w:type="dxa"/>
            <w:vAlign w:val="bottom"/>
          </w:tcPr>
          <w:p>
            <w:pPr>
              <w:spacing w:after="0"/>
              <w:rPr>
                <w:sz w:val="19"/>
                <w:szCs w:val="19"/>
                <w:color w:val="auto"/>
              </w:rPr>
            </w:pPr>
          </w:p>
        </w:tc>
      </w:tr>
      <w:tr>
        <w:trPr>
          <w:trHeight w:val="236"/>
        </w:trPr>
        <w:tc>
          <w:tcPr>
            <w:tcW w:w="20" w:type="dxa"/>
            <w:vAlign w:val="bottom"/>
          </w:tcPr>
          <w:p>
            <w:pPr>
              <w:spacing w:after="0"/>
              <w:rPr>
                <w:sz w:val="20"/>
                <w:szCs w:val="20"/>
                <w:color w:val="auto"/>
              </w:rPr>
            </w:pPr>
          </w:p>
        </w:tc>
        <w:tc>
          <w:tcPr>
            <w:tcW w:w="6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(1,054 )</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2,080</w:t>
            </w:r>
          </w:p>
        </w:tc>
        <w:tc>
          <w:tcPr>
            <w:tcW w:w="8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deferred benefit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(46,333 )</w:t>
            </w: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(34,401 )</w:t>
            </w:r>
          </w:p>
        </w:tc>
        <w:tc>
          <w:tcPr>
            <w:tcW w:w="2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(46,883 )</w:t>
            </w:r>
          </w:p>
        </w:tc>
        <w:tc>
          <w:tcPr>
            <w:tcW w:w="100" w:type="dxa"/>
            <w:vAlign w:val="bottom"/>
          </w:tcPr>
          <w:p>
            <w:pPr>
              <w:spacing w:after="0"/>
              <w:rPr>
                <w:sz w:val="19"/>
                <w:szCs w:val="19"/>
                <w:color w:val="auto"/>
              </w:rPr>
            </w:pPr>
          </w:p>
        </w:tc>
      </w:tr>
      <w:tr>
        <w:trPr>
          <w:trHeight w:val="266"/>
        </w:trPr>
        <w:tc>
          <w:tcPr>
            <w:tcW w:w="20" w:type="dxa"/>
            <w:vAlign w:val="bottom"/>
          </w:tcPr>
          <w:p>
            <w:pPr>
              <w:spacing w:after="0"/>
              <w:rPr>
                <w:sz w:val="23"/>
                <w:szCs w:val="23"/>
                <w:color w:val="auto"/>
              </w:rPr>
            </w:pPr>
          </w:p>
        </w:tc>
        <w:tc>
          <w:tcPr>
            <w:tcW w:w="6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income tax provision (benefit)</w:t>
            </w:r>
          </w:p>
        </w:tc>
        <w:tc>
          <w:tcPr>
            <w:tcW w:w="10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5,524</w:t>
            </w:r>
          </w:p>
        </w:tc>
        <w:tc>
          <w:tcPr>
            <w:tcW w:w="22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11,456</w:t>
            </w:r>
          </w:p>
        </w:tc>
        <w:tc>
          <w:tcPr>
            <w:tcW w:w="22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(26,000</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-1370965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-1370965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-1370965</wp:posOffset>
            </wp:positionV>
            <wp:extent cx="6032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-333375</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-333375</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-333375</wp:posOffset>
            </wp:positionV>
            <wp:extent cx="6032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-25400</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-8255</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-25400</wp:posOffset>
            </wp:positionV>
            <wp:extent cx="685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-8255</wp:posOffset>
            </wp:positionV>
            <wp:extent cx="685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-25400</wp:posOffset>
            </wp:positionV>
            <wp:extent cx="6032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-8255</wp:posOffset>
            </wp:positionV>
            <wp:extent cx="6032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color w:val="auto"/>
        </w:rPr>
        <w:t>The Company’s effective income tax rate differs from the federal statutory rate as follows (in thousands, except percentages):</w:t>
      </w: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37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5"/>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37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2021</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40"/>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Federal income tax benefit at statutory rate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(17,755 )</w:t>
            </w:r>
          </w:p>
        </w:tc>
        <w:tc>
          <w:tcPr>
            <w:tcW w:w="300" w:type="dxa"/>
            <w:vAlign w:val="bottom"/>
          </w:tcPr>
          <w:p>
            <w:pPr>
              <w:spacing w:after="0"/>
              <w:rPr>
                <w:sz w:val="24"/>
                <w:szCs w:val="24"/>
                <w:color w:val="auto"/>
              </w:rPr>
            </w:pPr>
          </w:p>
        </w:tc>
        <w:tc>
          <w:tcPr>
            <w:tcW w:w="114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color w:val="auto"/>
              </w:rPr>
              <w:t>21.0 % $</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10,471</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(57,733 )</w:t>
            </w:r>
          </w:p>
        </w:tc>
        <w:tc>
          <w:tcPr>
            <w:tcW w:w="3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Goodwill impairment</w:t>
            </w: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16,255</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(19.2 )</w:t>
            </w:r>
          </w:p>
        </w:tc>
        <w:tc>
          <w:tcPr>
            <w:tcW w:w="240" w:type="dxa"/>
            <w:vAlign w:val="bottom"/>
          </w:tcPr>
          <w:p>
            <w:pPr>
              <w:spacing w:after="0"/>
              <w:rPr>
                <w:sz w:val="20"/>
                <w:szCs w:val="20"/>
                <w:color w:val="auto"/>
              </w:rPr>
            </w:pPr>
          </w:p>
        </w:tc>
        <w:tc>
          <w:tcPr>
            <w:tcW w:w="1220" w:type="dxa"/>
            <w:vAlign w:val="bottom"/>
            <w:gridSpan w:val="3"/>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3"/>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Executive compensation</w:t>
            </w:r>
          </w:p>
        </w:tc>
        <w:tc>
          <w:tcPr>
            <w:tcW w:w="3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12,555</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(14.8 )</w:t>
            </w:r>
          </w:p>
        </w:tc>
        <w:tc>
          <w:tcPr>
            <w:tcW w:w="2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12,508</w:t>
            </w:r>
          </w:p>
        </w:tc>
        <w:tc>
          <w:tcPr>
            <w:tcW w:w="2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25,362</w:t>
            </w:r>
          </w:p>
        </w:tc>
        <w:tc>
          <w:tcPr>
            <w:tcW w:w="1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(9.2 )</w:t>
            </w:r>
          </w:p>
        </w:tc>
        <w:tc>
          <w:tcPr>
            <w:tcW w:w="100" w:type="dxa"/>
            <w:vAlign w:val="bottom"/>
          </w:tcPr>
          <w:p>
            <w:pPr>
              <w:spacing w:after="0"/>
              <w:rPr>
                <w:sz w:val="20"/>
                <w:szCs w:val="20"/>
                <w:color w:val="auto"/>
              </w:rPr>
            </w:pPr>
          </w:p>
        </w:tc>
      </w:tr>
      <w:tr>
        <w:trPr>
          <w:trHeight w:val="220"/>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Fair value of warrants</w:t>
            </w: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3,170</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(3.7 )</w:t>
            </w:r>
          </w:p>
        </w:tc>
        <w:tc>
          <w:tcPr>
            <w:tcW w:w="2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(5,475 )</w:t>
            </w:r>
          </w:p>
        </w:tc>
        <w:tc>
          <w:tcPr>
            <w:tcW w:w="380" w:type="dxa"/>
            <w:vAlign w:val="bottom"/>
          </w:tcPr>
          <w:p>
            <w:pPr>
              <w:spacing w:after="0"/>
              <w:rPr>
                <w:sz w:val="19"/>
                <w:szCs w:val="19"/>
                <w:color w:val="auto"/>
              </w:rPr>
            </w:pPr>
          </w:p>
        </w:tc>
        <w:tc>
          <w:tcPr>
            <w:tcW w:w="8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(11.0 )</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13,545</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100" w:type="dxa"/>
            <w:vAlign w:val="bottom"/>
          </w:tcPr>
          <w:p>
            <w:pPr>
              <w:spacing w:after="0"/>
              <w:rPr>
                <w:sz w:val="19"/>
                <w:szCs w:val="19"/>
                <w:color w:val="auto"/>
              </w:rPr>
            </w:pPr>
          </w:p>
        </w:tc>
      </w:tr>
      <w:tr>
        <w:trPr>
          <w:trHeight w:val="239"/>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3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(3,844 )</w:t>
            </w:r>
          </w:p>
        </w:tc>
        <w:tc>
          <w:tcPr>
            <w:tcW w:w="3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(4,074 )</w:t>
            </w:r>
          </w:p>
        </w:tc>
        <w:tc>
          <w:tcPr>
            <w:tcW w:w="38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(8.1 )</w:t>
            </w:r>
          </w:p>
        </w:tc>
        <w:tc>
          <w:tcPr>
            <w:tcW w:w="24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(3,647 )</w:t>
            </w:r>
          </w:p>
        </w:tc>
        <w:tc>
          <w:tcPr>
            <w:tcW w:w="38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r>
      <w:tr>
        <w:trPr>
          <w:trHeight w:val="220"/>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experimentation credit</w:t>
            </w:r>
          </w:p>
        </w:tc>
        <w:tc>
          <w:tcPr>
            <w:tcW w:w="3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(6,920 )</w:t>
            </w: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(3,510 )</w:t>
            </w:r>
          </w:p>
        </w:tc>
        <w:tc>
          <w:tcPr>
            <w:tcW w:w="380" w:type="dxa"/>
            <w:vAlign w:val="bottom"/>
          </w:tcPr>
          <w:p>
            <w:pPr>
              <w:spacing w:after="0"/>
              <w:rPr>
                <w:sz w:val="19"/>
                <w:szCs w:val="19"/>
                <w:color w:val="auto"/>
              </w:rPr>
            </w:pPr>
          </w:p>
        </w:tc>
        <w:tc>
          <w:tcPr>
            <w:tcW w:w="8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(7.0 )</w:t>
            </w:r>
          </w:p>
        </w:tc>
        <w:tc>
          <w:tcPr>
            <w:tcW w:w="24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(2,914 )</w:t>
            </w:r>
          </w:p>
        </w:tc>
        <w:tc>
          <w:tcPr>
            <w:tcW w:w="3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Impact of foreign operations</w:t>
            </w:r>
          </w:p>
        </w:tc>
        <w:tc>
          <w:tcPr>
            <w:tcW w:w="3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1,794</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(2.1 )</w:t>
            </w:r>
          </w:p>
        </w:tc>
        <w:tc>
          <w:tcPr>
            <w:tcW w:w="2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2,807</w:t>
            </w:r>
          </w:p>
        </w:tc>
        <w:tc>
          <w:tcPr>
            <w:tcW w:w="2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tcPr>
          <w:p>
            <w:pPr>
              <w:spacing w:after="0"/>
              <w:rPr>
                <w:sz w:val="20"/>
                <w:szCs w:val="20"/>
                <w:color w:val="auto"/>
              </w:rPr>
            </w:pPr>
          </w:p>
        </w:tc>
      </w:tr>
      <w:tr>
        <w:trPr>
          <w:trHeight w:val="220"/>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Valuation allowance</w:t>
            </w: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(0.6 )</w:t>
            </w:r>
          </w:p>
        </w:tc>
        <w:tc>
          <w:tcPr>
            <w:tcW w:w="2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(1,054 )</w:t>
            </w:r>
          </w:p>
        </w:tc>
        <w:tc>
          <w:tcPr>
            <w:tcW w:w="380" w:type="dxa"/>
            <w:vAlign w:val="bottom"/>
          </w:tcPr>
          <w:p>
            <w:pPr>
              <w:spacing w:after="0"/>
              <w:rPr>
                <w:sz w:val="19"/>
                <w:szCs w:val="19"/>
                <w:color w:val="auto"/>
              </w:rPr>
            </w:pPr>
          </w:p>
        </w:tc>
        <w:tc>
          <w:tcPr>
            <w:tcW w:w="8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(2.1 )</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2,080</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00" w:type="dxa"/>
            <w:vAlign w:val="bottom"/>
          </w:tcPr>
          <w:p>
            <w:pPr>
              <w:spacing w:after="0"/>
              <w:rPr>
                <w:sz w:val="19"/>
                <w:szCs w:val="19"/>
                <w:color w:val="auto"/>
              </w:rPr>
            </w:pPr>
          </w:p>
        </w:tc>
      </w:tr>
      <w:tr>
        <w:trPr>
          <w:trHeight w:val="239"/>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State and local taxes-net of federal income tax effect</w:t>
            </w:r>
          </w:p>
        </w:tc>
        <w:tc>
          <w:tcPr>
            <w:tcW w:w="3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(22 )</w:t>
            </w:r>
          </w:p>
        </w:tc>
        <w:tc>
          <w:tcPr>
            <w:tcW w:w="3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2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(4,723 )</w:t>
            </w:r>
          </w:p>
        </w:tc>
        <w:tc>
          <w:tcPr>
            <w:tcW w:w="38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r>
      <w:tr>
        <w:trPr>
          <w:trHeight w:val="220"/>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Other nondeductible expenses</w:t>
            </w: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(1.0 )</w:t>
            </w: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tcPr>
          <w:p>
            <w:pPr>
              <w:spacing w:after="0"/>
              <w:rPr>
                <w:sz w:val="19"/>
                <w:szCs w:val="19"/>
                <w:color w:val="auto"/>
              </w:rPr>
            </w:pPr>
          </w:p>
        </w:tc>
      </w:tr>
      <w:tr>
        <w:trPr>
          <w:trHeight w:val="239"/>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Uncertain tax positions</w:t>
            </w:r>
          </w:p>
        </w:tc>
        <w:tc>
          <w:tcPr>
            <w:tcW w:w="3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(0.5 )</w:t>
            </w:r>
          </w:p>
        </w:tc>
        <w:tc>
          <w:tcPr>
            <w:tcW w:w="24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(303 )</w:t>
            </w:r>
          </w:p>
        </w:tc>
        <w:tc>
          <w:tcPr>
            <w:tcW w:w="38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(0.6 )</w:t>
            </w:r>
          </w:p>
        </w:tc>
        <w:tc>
          <w:tcPr>
            <w:tcW w:w="2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1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00" w:type="dxa"/>
            <w:vAlign w:val="bottom"/>
          </w:tcPr>
          <w:p>
            <w:pPr>
              <w:spacing w:after="0"/>
              <w:rPr>
                <w:sz w:val="20"/>
                <w:szCs w:val="20"/>
                <w:color w:val="auto"/>
              </w:rPr>
            </w:pPr>
          </w:p>
        </w:tc>
      </w:tr>
      <w:tr>
        <w:trPr>
          <w:trHeight w:val="220"/>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Foreign rate difference</w:t>
            </w:r>
          </w:p>
        </w:tc>
        <w:tc>
          <w:tcPr>
            <w:tcW w:w="3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(164 )</w:t>
            </w: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(182 )</w:t>
            </w:r>
          </w:p>
        </w:tc>
        <w:tc>
          <w:tcPr>
            <w:tcW w:w="380" w:type="dxa"/>
            <w:vAlign w:val="bottom"/>
          </w:tcPr>
          <w:p>
            <w:pPr>
              <w:spacing w:after="0"/>
              <w:rPr>
                <w:sz w:val="19"/>
                <w:szCs w:val="19"/>
                <w:color w:val="auto"/>
              </w:rPr>
            </w:pPr>
          </w:p>
        </w:tc>
        <w:tc>
          <w:tcPr>
            <w:tcW w:w="8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(0.4 )</w:t>
            </w:r>
          </w:p>
        </w:tc>
        <w:tc>
          <w:tcPr>
            <w:tcW w:w="24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(493 )</w:t>
            </w:r>
          </w:p>
        </w:tc>
        <w:tc>
          <w:tcPr>
            <w:tcW w:w="3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Other—net</w:t>
            </w:r>
          </w:p>
        </w:tc>
        <w:tc>
          <w:tcPr>
            <w:tcW w:w="3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(1,279 )</w:t>
            </w:r>
          </w:p>
        </w:tc>
        <w:tc>
          <w:tcPr>
            <w:tcW w:w="3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(515 )</w:t>
            </w:r>
          </w:p>
        </w:tc>
        <w:tc>
          <w:tcPr>
            <w:tcW w:w="38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(1.0 )</w:t>
            </w:r>
          </w:p>
        </w:tc>
        <w:tc>
          <w:tcPr>
            <w:tcW w:w="2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1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tcPr>
          <w:p>
            <w:pPr>
              <w:spacing w:after="0"/>
              <w:rPr>
                <w:sz w:val="20"/>
                <w:szCs w:val="20"/>
                <w:color w:val="auto"/>
              </w:rPr>
            </w:pPr>
          </w:p>
        </w:tc>
      </w:tr>
      <w:tr>
        <w:trPr>
          <w:trHeight w:val="20"/>
        </w:trPr>
        <w:tc>
          <w:tcPr>
            <w:tcW w:w="37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5,524</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color w:val="auto"/>
              </w:rPr>
              <w:t>(6.5 )% $</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11,456</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(26,000 )</w:t>
            </w:r>
          </w:p>
        </w:tc>
        <w:tc>
          <w:tcPr>
            <w:tcW w:w="3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7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-2073910</wp:posOffset>
            </wp:positionV>
            <wp:extent cx="6772275" cy="1454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772275" cy="145415"/>
                    </a:xfrm>
                    <a:prstGeom prst="rect">
                      <a:avLst/>
                    </a:prstGeom>
                    <a:noFill/>
                  </pic:spPr>
                </pic:pic>
              </a:graphicData>
            </a:graphic>
          </wp:anchor>
        </w:drawing>
        <w:drawing>
          <wp:anchor simplePos="0" relativeHeight="251657728" behindDoc="1" locked="0" layoutInCell="0" allowOverlap="1">
            <wp:simplePos x="0" y="0"/>
            <wp:positionH relativeFrom="column">
              <wp:posOffset>3095625</wp:posOffset>
            </wp:positionH>
            <wp:positionV relativeFrom="paragraph">
              <wp:posOffset>-179070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3850005</wp:posOffset>
            </wp:positionH>
            <wp:positionV relativeFrom="paragraph">
              <wp:posOffset>-179070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4552950</wp:posOffset>
            </wp:positionH>
            <wp:positionV relativeFrom="paragraph">
              <wp:posOffset>-179070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5307330</wp:posOffset>
            </wp:positionH>
            <wp:positionV relativeFrom="paragraph">
              <wp:posOffset>-179070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6001385</wp:posOffset>
            </wp:positionH>
            <wp:positionV relativeFrom="paragraph">
              <wp:posOffset>-179070</wp:posOffset>
            </wp:positionV>
            <wp:extent cx="5969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6721475</wp:posOffset>
            </wp:positionH>
            <wp:positionV relativeFrom="paragraph">
              <wp:posOffset>-179070</wp:posOffset>
            </wp:positionV>
            <wp:extent cx="5969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4"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6"/>
          <w:szCs w:val="16"/>
          <w:color w:val="auto"/>
        </w:rPr>
        <w:t>The Company made income tax payments of $43.0 million, $55.7 million and $15.2 million for the years ended December 31, 2023, 2022 and 2021, respectively. The Company received insignificant refunds from the Internal Revenue Service and various states during the years ended December 31, 2023, 2022 and 2021, respectively.</w:t>
      </w:r>
    </w:p>
    <w:p>
      <w:pPr>
        <w:spacing w:after="0" w:line="69" w:lineRule="exact"/>
        <w:rPr>
          <w:sz w:val="20"/>
          <w:szCs w:val="20"/>
          <w:color w:val="auto"/>
        </w:rPr>
      </w:pPr>
    </w:p>
    <w:p>
      <w:pPr>
        <w:ind w:right="240"/>
        <w:spacing w:after="0" w:line="298" w:lineRule="auto"/>
        <w:rPr>
          <w:sz w:val="20"/>
          <w:szCs w:val="20"/>
          <w:color w:val="auto"/>
        </w:rPr>
      </w:pPr>
      <w:r>
        <w:rPr>
          <w:rFonts w:ascii="Times New Roman" w:cs="Times New Roman" w:eastAsia="Times New Roman" w:hAnsi="Times New Roman"/>
          <w:sz w:val="16"/>
          <w:szCs w:val="16"/>
          <w:color w:val="auto"/>
        </w:rPr>
        <w:t>The approximate income tax effect of each type of temporary difference giving rise to deferred income tax assets and liabilities as of December 31, 2023 and 2022 was as follows (in thousands):</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7200" w:type="dxa"/>
            <w:vAlign w:val="bottom"/>
          </w:tcPr>
          <w:p>
            <w:pPr>
              <w:spacing w:after="0"/>
              <w:rPr>
                <w:sz w:val="19"/>
                <w:szCs w:val="19"/>
                <w:color w:val="auto"/>
              </w:rPr>
            </w:pPr>
          </w:p>
        </w:tc>
        <w:tc>
          <w:tcPr>
            <w:tcW w:w="2820" w:type="dxa"/>
            <w:vAlign w:val="bottom"/>
            <w:tcBorders>
              <w:bottom w:val="single" w:sz="8" w:color="auto"/>
            </w:tcBorders>
            <w:gridSpan w:val="4"/>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2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income tax assets: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Stock-based compensation</w:t>
            </w:r>
          </w:p>
        </w:tc>
        <w:tc>
          <w:tcPr>
            <w:tcW w:w="98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36,329</w:t>
            </w:r>
          </w:p>
        </w:tc>
        <w:tc>
          <w:tcPr>
            <w:tcW w:w="380" w:type="dxa"/>
            <w:vAlign w:val="bottom"/>
          </w:tcPr>
          <w:p>
            <w:pPr>
              <w:spacing w:after="0"/>
              <w:rPr>
                <w:sz w:val="19"/>
                <w:szCs w:val="19"/>
                <w:color w:val="auto"/>
              </w:rPr>
            </w:pP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37,156</w:t>
            </w:r>
          </w:p>
        </w:tc>
        <w:tc>
          <w:tcPr>
            <w:tcW w:w="100" w:type="dxa"/>
            <w:vAlign w:val="bottom"/>
          </w:tcPr>
          <w:p>
            <w:pPr>
              <w:spacing w:after="0"/>
              <w:rPr>
                <w:sz w:val="19"/>
                <w:szCs w:val="19"/>
                <w:color w:val="auto"/>
              </w:rPr>
            </w:pPr>
          </w:p>
        </w:tc>
      </w:tr>
      <w:tr>
        <w:trPr>
          <w:trHeight w:val="239"/>
        </w:trPr>
        <w:tc>
          <w:tcPr>
            <w:tcW w:w="7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13,751</w:t>
            </w:r>
          </w:p>
        </w:tc>
        <w:tc>
          <w:tcPr>
            <w:tcW w:w="3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14,339</w:t>
            </w:r>
          </w:p>
        </w:tc>
        <w:tc>
          <w:tcPr>
            <w:tcW w:w="100" w:type="dxa"/>
            <w:vAlign w:val="bottom"/>
            <w:shd w:val="clear" w:color="auto" w:fill="CFF0FC"/>
          </w:tcPr>
          <w:p>
            <w:pPr>
              <w:spacing w:after="0"/>
              <w:rPr>
                <w:sz w:val="20"/>
                <w:szCs w:val="20"/>
                <w:color w:val="auto"/>
              </w:rPr>
            </w:pPr>
          </w:p>
        </w:tc>
      </w:tr>
      <w:tr>
        <w:trPr>
          <w:trHeight w:val="220"/>
        </w:trPr>
        <w:tc>
          <w:tcPr>
            <w:tcW w:w="7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Accrued compensation</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10,373</w:t>
            </w: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10,962</w:t>
            </w:r>
          </w:p>
        </w:tc>
        <w:tc>
          <w:tcPr>
            <w:tcW w:w="100" w:type="dxa"/>
            <w:vAlign w:val="bottom"/>
          </w:tcPr>
          <w:p>
            <w:pPr>
              <w:spacing w:after="0"/>
              <w:rPr>
                <w:sz w:val="19"/>
                <w:szCs w:val="19"/>
                <w:color w:val="auto"/>
              </w:rPr>
            </w:pPr>
          </w:p>
        </w:tc>
      </w:tr>
      <w:tr>
        <w:trPr>
          <w:trHeight w:val="239"/>
        </w:trPr>
        <w:tc>
          <w:tcPr>
            <w:tcW w:w="7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Net operating losses—foreign</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10,875</w:t>
            </w:r>
          </w:p>
        </w:tc>
        <w:tc>
          <w:tcPr>
            <w:tcW w:w="3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10,373</w:t>
            </w:r>
          </w:p>
        </w:tc>
        <w:tc>
          <w:tcPr>
            <w:tcW w:w="100" w:type="dxa"/>
            <w:vAlign w:val="bottom"/>
            <w:shd w:val="clear" w:color="auto" w:fill="CFF0FC"/>
          </w:tcPr>
          <w:p>
            <w:pPr>
              <w:spacing w:after="0"/>
              <w:rPr>
                <w:sz w:val="20"/>
                <w:szCs w:val="20"/>
                <w:color w:val="auto"/>
              </w:rPr>
            </w:pPr>
          </w:p>
        </w:tc>
      </w:tr>
      <w:tr>
        <w:trPr>
          <w:trHeight w:val="220"/>
        </w:trPr>
        <w:tc>
          <w:tcPr>
            <w:tcW w:w="7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Capitalized R&amp;E—net of amortization</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26,082</w:t>
            </w: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10,221</w:t>
            </w:r>
          </w:p>
        </w:tc>
        <w:tc>
          <w:tcPr>
            <w:tcW w:w="100" w:type="dxa"/>
            <w:vAlign w:val="bottom"/>
          </w:tcPr>
          <w:p>
            <w:pPr>
              <w:spacing w:after="0"/>
              <w:rPr>
                <w:sz w:val="19"/>
                <w:szCs w:val="19"/>
                <w:color w:val="auto"/>
              </w:rPr>
            </w:pPr>
          </w:p>
        </w:tc>
      </w:tr>
      <w:tr>
        <w:trPr>
          <w:trHeight w:val="239"/>
        </w:trPr>
        <w:tc>
          <w:tcPr>
            <w:tcW w:w="7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Sales allowances and doubtful accounts</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1,393</w:t>
            </w:r>
          </w:p>
        </w:tc>
        <w:tc>
          <w:tcPr>
            <w:tcW w:w="3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1,339</w:t>
            </w:r>
          </w:p>
        </w:tc>
        <w:tc>
          <w:tcPr>
            <w:tcW w:w="100" w:type="dxa"/>
            <w:vAlign w:val="bottom"/>
            <w:shd w:val="clear" w:color="auto" w:fill="CFF0FC"/>
          </w:tcPr>
          <w:p>
            <w:pPr>
              <w:spacing w:after="0"/>
              <w:rPr>
                <w:sz w:val="20"/>
                <w:szCs w:val="20"/>
                <w:color w:val="auto"/>
              </w:rPr>
            </w:pPr>
          </w:p>
        </w:tc>
      </w:tr>
      <w:tr>
        <w:trPr>
          <w:trHeight w:val="220"/>
        </w:trPr>
        <w:tc>
          <w:tcPr>
            <w:tcW w:w="7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Interest expense limitation</w:t>
            </w:r>
          </w:p>
        </w:tc>
        <w:tc>
          <w:tcPr>
            <w:tcW w:w="980" w:type="dxa"/>
            <w:vAlign w:val="bottom"/>
          </w:tcPr>
          <w:p>
            <w:pPr>
              <w:spacing w:after="0"/>
              <w:rPr>
                <w:sz w:val="19"/>
                <w:szCs w:val="19"/>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100" w:type="dxa"/>
            <w:vAlign w:val="bottom"/>
          </w:tcPr>
          <w:p>
            <w:pPr>
              <w:spacing w:after="0"/>
              <w:rPr>
                <w:sz w:val="19"/>
                <w:szCs w:val="19"/>
                <w:color w:val="auto"/>
              </w:rPr>
            </w:pPr>
          </w:p>
        </w:tc>
      </w:tr>
      <w:tr>
        <w:trPr>
          <w:trHeight w:val="239"/>
        </w:trPr>
        <w:tc>
          <w:tcPr>
            <w:tcW w:w="7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Net operating losses—domestic (state)</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3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100" w:type="dxa"/>
            <w:vAlign w:val="bottom"/>
            <w:shd w:val="clear" w:color="auto" w:fill="CFF0FC"/>
          </w:tcPr>
          <w:p>
            <w:pPr>
              <w:spacing w:after="0"/>
              <w:rPr>
                <w:sz w:val="20"/>
                <w:szCs w:val="20"/>
                <w:color w:val="auto"/>
              </w:rPr>
            </w:pPr>
          </w:p>
        </w:tc>
      </w:tr>
      <w:tr>
        <w:trPr>
          <w:trHeight w:val="220"/>
        </w:trPr>
        <w:tc>
          <w:tcPr>
            <w:tcW w:w="7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Research and experimental credit</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00" w:type="dxa"/>
            <w:vAlign w:val="bottom"/>
          </w:tcPr>
          <w:p>
            <w:pPr>
              <w:spacing w:after="0"/>
              <w:rPr>
                <w:sz w:val="19"/>
                <w:szCs w:val="19"/>
                <w:color w:val="auto"/>
              </w:rPr>
            </w:pPr>
          </w:p>
        </w:tc>
      </w:tr>
      <w:tr>
        <w:trPr>
          <w:trHeight w:val="236"/>
        </w:trPr>
        <w:tc>
          <w:tcPr>
            <w:tcW w:w="72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Other</w:t>
            </w:r>
          </w:p>
        </w:tc>
        <w:tc>
          <w:tcPr>
            <w:tcW w:w="98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38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16"/>
        </w:trPr>
        <w:tc>
          <w:tcPr>
            <w:tcW w:w="7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deferred income tax assets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100,430</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86,781</w:t>
            </w:r>
          </w:p>
        </w:tc>
        <w:tc>
          <w:tcPr>
            <w:tcW w:w="100" w:type="dxa"/>
            <w:vAlign w:val="bottom"/>
          </w:tcPr>
          <w:p>
            <w:pPr>
              <w:spacing w:after="0"/>
              <w:rPr>
                <w:sz w:val="18"/>
                <w:szCs w:val="18"/>
                <w:color w:val="auto"/>
              </w:rPr>
            </w:pPr>
          </w:p>
        </w:tc>
      </w:tr>
      <w:tr>
        <w:trPr>
          <w:trHeight w:val="236"/>
        </w:trPr>
        <w:tc>
          <w:tcPr>
            <w:tcW w:w="7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Valuation allowance for deferred tax asset</w:t>
            </w:r>
          </w:p>
        </w:tc>
        <w:tc>
          <w:tcPr>
            <w:tcW w:w="98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(10,875 )</w:t>
            </w:r>
          </w:p>
        </w:tc>
        <w:tc>
          <w:tcPr>
            <w:tcW w:w="88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(10,373 )</w:t>
            </w:r>
          </w:p>
        </w:tc>
      </w:tr>
      <w:tr>
        <w:trPr>
          <w:trHeight w:val="223"/>
        </w:trPr>
        <w:tc>
          <w:tcPr>
            <w:tcW w:w="720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6"/>
                <w:szCs w:val="16"/>
                <w:color w:val="auto"/>
              </w:rPr>
              <w:t>Net deferred income tax assets</w:t>
            </w:r>
          </w:p>
        </w:tc>
        <w:tc>
          <w:tcPr>
            <w:tcW w:w="9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89,555</w:t>
            </w:r>
          </w:p>
        </w:tc>
        <w:tc>
          <w:tcPr>
            <w:tcW w:w="380" w:type="dxa"/>
            <w:vAlign w:val="bottom"/>
            <w:tcBorders>
              <w:top w:val="single" w:sz="8" w:color="CFF0FC"/>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76,408</w:t>
            </w:r>
          </w:p>
        </w:tc>
        <w:tc>
          <w:tcPr>
            <w:tcW w:w="100" w:type="dxa"/>
            <w:vAlign w:val="bottom"/>
            <w:tcBorders>
              <w:top w:val="single" w:sz="8" w:color="CFF0FC"/>
            </w:tcBorders>
          </w:tcPr>
          <w:p>
            <w:pPr>
              <w:spacing w:after="0"/>
              <w:rPr>
                <w:sz w:val="19"/>
                <w:szCs w:val="19"/>
                <w:color w:val="auto"/>
              </w:rPr>
            </w:pPr>
          </w:p>
        </w:tc>
      </w:tr>
      <w:tr>
        <w:trPr>
          <w:trHeight w:val="226"/>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income tax liabilities: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Intangible asset amortization</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255,572</w:t>
            </w: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282,032</w:t>
            </w:r>
          </w:p>
        </w:tc>
        <w:tc>
          <w:tcPr>
            <w:tcW w:w="100" w:type="dxa"/>
            <w:vAlign w:val="bottom"/>
          </w:tcPr>
          <w:p>
            <w:pPr>
              <w:spacing w:after="0"/>
              <w:rPr>
                <w:sz w:val="19"/>
                <w:szCs w:val="19"/>
                <w:color w:val="auto"/>
              </w:rPr>
            </w:pPr>
          </w:p>
        </w:tc>
      </w:tr>
      <w:tr>
        <w:trPr>
          <w:trHeight w:val="239"/>
        </w:trPr>
        <w:tc>
          <w:tcPr>
            <w:tcW w:w="7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Software, equipment and property depreciation and amortization</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11,541</w:t>
            </w:r>
          </w:p>
        </w:tc>
        <w:tc>
          <w:tcPr>
            <w:tcW w:w="3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17,628</w:t>
            </w:r>
          </w:p>
        </w:tc>
        <w:tc>
          <w:tcPr>
            <w:tcW w:w="100" w:type="dxa"/>
            <w:vAlign w:val="bottom"/>
            <w:shd w:val="clear" w:color="auto" w:fill="CFF0FC"/>
          </w:tcPr>
          <w:p>
            <w:pPr>
              <w:spacing w:after="0"/>
              <w:rPr>
                <w:sz w:val="20"/>
                <w:szCs w:val="20"/>
                <w:color w:val="auto"/>
              </w:rPr>
            </w:pPr>
          </w:p>
        </w:tc>
      </w:tr>
      <w:tr>
        <w:trPr>
          <w:trHeight w:val="220"/>
        </w:trPr>
        <w:tc>
          <w:tcPr>
            <w:tcW w:w="7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Deferred contract costs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10,044</w:t>
            </w: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9,235</w:t>
            </w:r>
          </w:p>
        </w:tc>
        <w:tc>
          <w:tcPr>
            <w:tcW w:w="100" w:type="dxa"/>
            <w:vAlign w:val="bottom"/>
          </w:tcPr>
          <w:p>
            <w:pPr>
              <w:spacing w:after="0"/>
              <w:rPr>
                <w:sz w:val="19"/>
                <w:szCs w:val="19"/>
                <w:color w:val="auto"/>
              </w:rPr>
            </w:pPr>
          </w:p>
        </w:tc>
      </w:tr>
      <w:tr>
        <w:trPr>
          <w:trHeight w:val="239"/>
        </w:trPr>
        <w:tc>
          <w:tcPr>
            <w:tcW w:w="7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Operating lease assets</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7,078</w:t>
            </w:r>
          </w:p>
        </w:tc>
        <w:tc>
          <w:tcPr>
            <w:tcW w:w="3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7,604</w:t>
            </w:r>
          </w:p>
        </w:tc>
        <w:tc>
          <w:tcPr>
            <w:tcW w:w="100" w:type="dxa"/>
            <w:vAlign w:val="bottom"/>
            <w:shd w:val="clear" w:color="auto" w:fill="CFF0FC"/>
          </w:tcPr>
          <w:p>
            <w:pPr>
              <w:spacing w:after="0"/>
              <w:rPr>
                <w:sz w:val="20"/>
                <w:szCs w:val="20"/>
                <w:color w:val="auto"/>
              </w:rPr>
            </w:pPr>
          </w:p>
        </w:tc>
      </w:tr>
      <w:tr>
        <w:trPr>
          <w:trHeight w:val="226"/>
        </w:trPr>
        <w:tc>
          <w:tcPr>
            <w:tcW w:w="7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Interest rate cap</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3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1,607</w:t>
            </w:r>
          </w:p>
        </w:tc>
        <w:tc>
          <w:tcPr>
            <w:tcW w:w="100" w:type="dxa"/>
            <w:vAlign w:val="bottom"/>
          </w:tcPr>
          <w:p>
            <w:pPr>
              <w:spacing w:after="0"/>
              <w:rPr>
                <w:sz w:val="19"/>
                <w:szCs w:val="19"/>
                <w:color w:val="auto"/>
              </w:rPr>
            </w:pPr>
          </w:p>
        </w:tc>
      </w:tr>
      <w:tr>
        <w:trPr>
          <w:trHeight w:val="223"/>
        </w:trPr>
        <w:tc>
          <w:tcPr>
            <w:tcW w:w="72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 deferred income tax liabilities</w:t>
            </w: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284,920</w:t>
            </w:r>
          </w:p>
        </w:tc>
        <w:tc>
          <w:tcPr>
            <w:tcW w:w="38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318,106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6"/>
        </w:trPr>
        <w:tc>
          <w:tcPr>
            <w:tcW w:w="7200" w:type="dxa"/>
            <w:vAlign w:val="bottom"/>
          </w:tcPr>
          <w:p>
            <w:pPr>
              <w:spacing w:after="0"/>
              <w:rPr>
                <w:sz w:val="20"/>
                <w:szCs w:val="20"/>
                <w:color w:val="auto"/>
              </w:rPr>
            </w:pPr>
            <w:r>
              <w:rPr>
                <w:rFonts w:ascii="Times New Roman" w:cs="Times New Roman" w:eastAsia="Times New Roman" w:hAnsi="Times New Roman"/>
                <w:sz w:val="16"/>
                <w:szCs w:val="16"/>
                <w:color w:val="auto"/>
              </w:rPr>
              <w:t>Net deferred income tax liabilities</w:t>
            </w:r>
          </w:p>
        </w:tc>
        <w:tc>
          <w:tcPr>
            <w:tcW w:w="98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195,365</w:t>
            </w:r>
          </w:p>
        </w:tc>
        <w:tc>
          <w:tcPr>
            <w:tcW w:w="380" w:type="dxa"/>
            <w:vAlign w:val="bottom"/>
          </w:tcPr>
          <w:p>
            <w:pPr>
              <w:spacing w:after="0"/>
              <w:rPr>
                <w:sz w:val="19"/>
                <w:szCs w:val="19"/>
                <w:color w:val="auto"/>
              </w:rPr>
            </w:pPr>
          </w:p>
        </w:tc>
        <w:tc>
          <w:tcPr>
            <w:tcW w:w="88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241,698</w:t>
            </w:r>
          </w:p>
        </w:tc>
        <w:tc>
          <w:tcPr>
            <w:tcW w:w="100" w:type="dxa"/>
            <w:vAlign w:val="bottom"/>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5572760</wp:posOffset>
            </wp:positionH>
            <wp:positionV relativeFrom="paragraph">
              <wp:posOffset>-1670685</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6721475</wp:posOffset>
            </wp:positionH>
            <wp:positionV relativeFrom="paragraph">
              <wp:posOffset>-1670685</wp:posOffset>
            </wp:positionV>
            <wp:extent cx="596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5572760</wp:posOffset>
            </wp:positionH>
            <wp:positionV relativeFrom="paragraph">
              <wp:posOffset>-1370965</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6721475</wp:posOffset>
            </wp:positionH>
            <wp:positionV relativeFrom="paragraph">
              <wp:posOffset>-1370965</wp:posOffset>
            </wp:positionV>
            <wp:extent cx="5969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5572760</wp:posOffset>
            </wp:positionH>
            <wp:positionV relativeFrom="paragraph">
              <wp:posOffset>-179705</wp:posOffset>
            </wp:positionV>
            <wp:extent cx="685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6721475</wp:posOffset>
            </wp:positionH>
            <wp:positionV relativeFrom="paragraph">
              <wp:posOffset>-179705</wp:posOffset>
            </wp:positionV>
            <wp:extent cx="5969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72"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6"/>
          <w:szCs w:val="16"/>
          <w:b w:val="1"/>
          <w:bCs w:val="1"/>
          <w:color w:val="auto"/>
        </w:rPr>
        <w:t>Valuation Allowance</w:t>
      </w:r>
      <w:r>
        <w:rPr>
          <w:rFonts w:ascii="Times New Roman" w:cs="Times New Roman" w:eastAsia="Times New Roman" w:hAnsi="Times New Roman"/>
          <w:sz w:val="16"/>
          <w:szCs w:val="16"/>
          <w:color w:val="auto"/>
        </w:rPr>
        <w:t>—The Company has accumulated net operating losses related to its foreign subsidiaries of $10.9 million and $10.4 million at December 31,</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2023 and 2022, respectively. A valuation allowance equal to 100% of the related tax benefit has been established as of December 31, 2023 and 2022. The valuation allowance increased $0.5 million during the year ended December 31, 2023, decreased $1.0 million during the year ended December 31, 2022 and increased $2.0 million during the year ended December 31, 2021. The changes in the valuation allowance during each year were due to foreign subsidiaries' net operating losses in the current year and the expiration of prior year's net operating losses. No amounts were released during the years ended December 31, 2023, 2022 and 2021. The net operating losses are set to expire in 2024 through 2028 as China allows for a five-year carryforward.</w:t>
      </w:r>
    </w:p>
    <w:p>
      <w:pPr>
        <w:spacing w:after="0" w:line="78" w:lineRule="exact"/>
        <w:rPr>
          <w:sz w:val="20"/>
          <w:szCs w:val="20"/>
          <w:color w:val="auto"/>
        </w:rPr>
      </w:pPr>
    </w:p>
    <w:p>
      <w:pPr>
        <w:ind w:right="860"/>
        <w:spacing w:after="0" w:line="298" w:lineRule="auto"/>
        <w:rPr>
          <w:sz w:val="20"/>
          <w:szCs w:val="20"/>
          <w:color w:val="auto"/>
        </w:rPr>
      </w:pPr>
      <w:r>
        <w:rPr>
          <w:rFonts w:ascii="Times New Roman" w:cs="Times New Roman" w:eastAsia="Times New Roman" w:hAnsi="Times New Roman"/>
          <w:sz w:val="16"/>
          <w:szCs w:val="16"/>
          <w:color w:val="auto"/>
        </w:rPr>
        <w:t>The state net operating losses at December 31, 2023 of $0.5 million are expected to be more likely than not fully utilized. Most states allow for a 20-year carryforward of net operating losses. All losses will expire in 2035-2042 if not fully utilized.</w:t>
      </w:r>
    </w:p>
    <w:p>
      <w:pPr>
        <w:spacing w:after="0" w:line="5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6"/>
          <w:szCs w:val="16"/>
          <w:color w:val="auto"/>
        </w:rPr>
        <w:t>The change in unrecognized tax benefits excluding interest and penalties for the years ended December 31, 2023 and 2022 was as follows (in thousands):</w:t>
      </w:r>
    </w:p>
    <w:p>
      <w:pPr>
        <w:spacing w:after="0" w:line="23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476250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880" w:top="1098" w:right="239" w:bottom="1068" w:gutter="0" w:footer="0" w:header="0"/>
        </w:sectPr>
      </w:pPr>
    </w:p>
    <w:bookmarkStart w:id="77" w:name="page78"/>
    <w:bookmarkEnd w:id="77"/>
    <w:tbl>
      <w:tblPr>
        <w:tblLayout w:type="fixed"/>
        <w:tblInd w:w="580" w:type="dxa"/>
        <w:tblCellMar>
          <w:top w:w="0" w:type="dxa"/>
          <w:left w:w="0" w:type="dxa"/>
          <w:bottom w:w="0" w:type="dxa"/>
          <w:right w:w="0" w:type="dxa"/>
        </w:tblCellMar>
      </w:tblPr>
      <w:tr>
        <w:trPr>
          <w:trHeight w:val="225"/>
        </w:trPr>
        <w:tc>
          <w:tcPr>
            <w:tcW w:w="806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r>
      <w:tr>
        <w:trPr>
          <w:trHeight w:val="229"/>
        </w:trPr>
        <w:tc>
          <w:tcPr>
            <w:tcW w:w="8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720" w:type="dxa"/>
            <w:vAlign w:val="bottom"/>
            <w:shd w:val="clear" w:color="auto" w:fill="CFF0FC"/>
          </w:tcPr>
          <w:p>
            <w:pPr>
              <w:jc w:val="right"/>
              <w:ind w:right="559"/>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3,723</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3,722</w:t>
            </w:r>
          </w:p>
        </w:tc>
        <w:tc>
          <w:tcPr>
            <w:tcW w:w="100" w:type="dxa"/>
            <w:vAlign w:val="bottom"/>
            <w:shd w:val="clear" w:color="auto" w:fill="CFF0FC"/>
          </w:tcPr>
          <w:p>
            <w:pPr>
              <w:spacing w:after="0"/>
              <w:rPr>
                <w:sz w:val="19"/>
                <w:szCs w:val="19"/>
                <w:color w:val="auto"/>
              </w:rPr>
            </w:pPr>
          </w:p>
        </w:tc>
      </w:tr>
      <w:tr>
        <w:trPr>
          <w:trHeight w:val="220"/>
        </w:trPr>
        <w:tc>
          <w:tcPr>
            <w:tcW w:w="8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Additions based on tax positions related to the current year</w:t>
            </w:r>
          </w:p>
        </w:tc>
        <w:tc>
          <w:tcPr>
            <w:tcW w:w="7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1,062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100" w:type="dxa"/>
            <w:vAlign w:val="bottom"/>
          </w:tcPr>
          <w:p>
            <w:pPr>
              <w:spacing w:after="0"/>
              <w:rPr>
                <w:sz w:val="19"/>
                <w:szCs w:val="19"/>
                <w:color w:val="auto"/>
              </w:rPr>
            </w:pPr>
          </w:p>
        </w:tc>
      </w:tr>
      <w:tr>
        <w:trPr>
          <w:trHeight w:val="239"/>
        </w:trPr>
        <w:tc>
          <w:tcPr>
            <w:tcW w:w="80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Additions based on adjustments to tax positions related to prior years</w:t>
            </w:r>
          </w:p>
        </w:tc>
        <w:tc>
          <w:tcPr>
            <w:tcW w:w="720" w:type="dxa"/>
            <w:vAlign w:val="bottom"/>
            <w:shd w:val="clear" w:color="auto" w:fill="CFF0FC"/>
          </w:tcPr>
          <w:p>
            <w:pPr>
              <w:spacing w:after="0"/>
              <w:rPr>
                <w:sz w:val="20"/>
                <w:szCs w:val="2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shd w:val="clear" w:color="auto" w:fill="CFF0FC"/>
          </w:tcPr>
          <w:p>
            <w:pPr>
              <w:spacing w:after="0"/>
              <w:rPr>
                <w:sz w:val="20"/>
                <w:szCs w:val="20"/>
                <w:color w:val="auto"/>
              </w:rPr>
            </w:pPr>
          </w:p>
        </w:tc>
      </w:tr>
      <w:tr>
        <w:trPr>
          <w:trHeight w:val="226"/>
        </w:trPr>
        <w:tc>
          <w:tcPr>
            <w:tcW w:w="8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Reductions for tax positions of prior years</w:t>
            </w:r>
          </w:p>
        </w:tc>
        <w:tc>
          <w:tcPr>
            <w:tcW w:w="72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(897 )</w:t>
            </w:r>
          </w:p>
        </w:tc>
        <w:tc>
          <w:tcPr>
            <w:tcW w:w="2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(901 )</w:t>
            </w:r>
          </w:p>
        </w:tc>
      </w:tr>
      <w:tr>
        <w:trPr>
          <w:trHeight w:val="266"/>
        </w:trPr>
        <w:tc>
          <w:tcPr>
            <w:tcW w:w="8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end of year</w:t>
            </w:r>
          </w:p>
        </w:tc>
        <w:tc>
          <w:tcPr>
            <w:tcW w:w="720" w:type="dxa"/>
            <w:vAlign w:val="bottom"/>
            <w:tcBorders>
              <w:top w:val="single" w:sz="8" w:color="auto"/>
              <w:bottom w:val="single" w:sz="8" w:color="auto"/>
            </w:tcBorders>
            <w:shd w:val="clear" w:color="auto" w:fill="CFF0FC"/>
          </w:tcPr>
          <w:p>
            <w:pPr>
              <w:jc w:val="right"/>
              <w:ind w:right="559"/>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4,415</w:t>
            </w:r>
          </w:p>
        </w:tc>
        <w:tc>
          <w:tcPr>
            <w:tcW w:w="28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3,723</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4" w:lineRule="exact"/>
        <w:rPr>
          <w:sz w:val="20"/>
          <w:szCs w:val="20"/>
          <w:color w:val="auto"/>
        </w:rPr>
      </w:pPr>
    </w:p>
    <w:p>
      <w:pPr>
        <w:ind w:left="560" w:right="180"/>
        <w:spacing w:after="0" w:line="281" w:lineRule="auto"/>
        <w:rPr>
          <w:sz w:val="20"/>
          <w:szCs w:val="20"/>
          <w:color w:val="auto"/>
        </w:rPr>
      </w:pPr>
      <w:r>
        <w:rPr>
          <w:rFonts w:ascii="Times New Roman" w:cs="Times New Roman" w:eastAsia="Times New Roman" w:hAnsi="Times New Roman"/>
          <w:sz w:val="16"/>
          <w:szCs w:val="16"/>
          <w:color w:val="auto"/>
        </w:rPr>
        <w:t>The Company believes its liability for unrecognized tax benefits, excluding interest and penalties, will not significantly change over the following twelve months. However, due to the open statute of limitations within the various jurisdictions in which the Company files tax returns, the amount of any change cannot be reasonably estimated and it is possible there could be significant changes in the amount of unrecognized tax benefits over the following twelve months.</w:t>
      </w:r>
    </w:p>
    <w:p>
      <w:pPr>
        <w:spacing w:after="0" w:line="69" w:lineRule="exact"/>
        <w:rPr>
          <w:sz w:val="20"/>
          <w:szCs w:val="20"/>
          <w:color w:val="auto"/>
        </w:rPr>
      </w:pPr>
    </w:p>
    <w:p>
      <w:pPr>
        <w:ind w:left="560" w:right="40"/>
        <w:spacing w:after="0" w:line="275" w:lineRule="auto"/>
        <w:rPr>
          <w:sz w:val="20"/>
          <w:szCs w:val="20"/>
          <w:color w:val="auto"/>
        </w:rPr>
      </w:pPr>
      <w:r>
        <w:rPr>
          <w:rFonts w:ascii="Times New Roman" w:cs="Times New Roman" w:eastAsia="Times New Roman" w:hAnsi="Times New Roman"/>
          <w:sz w:val="16"/>
          <w:szCs w:val="16"/>
          <w:color w:val="auto"/>
        </w:rPr>
        <w:t>The Company recognizes interest and penalties related to unrecognized tax benefits in income tax expense. As of December 31, 2023 and 2022, the amount accrued for interest and penalties was not material. The Company reflects its liability for unrecognized tax benefits within income taxes payable and other liabilities in its consolidated balance sheets. The amounts included in “reductions for tax positions of prior years” represent expirations of statutes of limitation and decreases in the unrecognized tax benefits relating to settlements reached with taxing authorities during each year shown.</w:t>
      </w:r>
    </w:p>
    <w:p>
      <w:pPr>
        <w:spacing w:after="0" w:line="75" w:lineRule="exact"/>
        <w:rPr>
          <w:sz w:val="20"/>
          <w:szCs w:val="20"/>
          <w:color w:val="auto"/>
        </w:rPr>
      </w:pPr>
    </w:p>
    <w:p>
      <w:pPr>
        <w:ind w:left="560" w:right="220"/>
        <w:spacing w:after="0" w:line="298" w:lineRule="auto"/>
        <w:rPr>
          <w:sz w:val="20"/>
          <w:szCs w:val="20"/>
          <w:color w:val="auto"/>
        </w:rPr>
      </w:pPr>
      <w:r>
        <w:rPr>
          <w:rFonts w:ascii="Times New Roman" w:cs="Times New Roman" w:eastAsia="Times New Roman" w:hAnsi="Times New Roman"/>
          <w:sz w:val="16"/>
          <w:szCs w:val="16"/>
          <w:color w:val="auto"/>
        </w:rPr>
        <w:t>With few US State exceptions, the major jurisdictions subject to examination by the relevant taxing authorities and open tax years, stated as the Company’s fiscal years, are as follows:</w:t>
      </w:r>
    </w:p>
    <w:p>
      <w:pPr>
        <w:spacing w:after="0" w:line="196"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920" w:type="dxa"/>
            <w:vAlign w:val="bottom"/>
          </w:tcPr>
          <w:p>
            <w:pPr>
              <w:spacing w:after="0"/>
              <w:rPr>
                <w:sz w:val="21"/>
                <w:szCs w:val="21"/>
                <w:color w:val="auto"/>
              </w:rPr>
            </w:pPr>
          </w:p>
        </w:tc>
        <w:tc>
          <w:tcPr>
            <w:tcW w:w="5160" w:type="dxa"/>
            <w:vAlign w:val="bottom"/>
            <w:tcBorders>
              <w:bottom w:val="single" w:sz="8" w:color="auto"/>
            </w:tcBorders>
          </w:tcPr>
          <w:p>
            <w:pPr>
              <w:jc w:val="right"/>
              <w:ind w:right="1870"/>
              <w:spacing w:after="0"/>
              <w:rPr>
                <w:sz w:val="20"/>
                <w:szCs w:val="20"/>
                <w:color w:val="auto"/>
              </w:rPr>
            </w:pPr>
            <w:r>
              <w:rPr>
                <w:rFonts w:ascii="Times New Roman" w:cs="Times New Roman" w:eastAsia="Times New Roman" w:hAnsi="Times New Roman"/>
                <w:sz w:val="18"/>
                <w:szCs w:val="18"/>
                <w:b w:val="1"/>
                <w:bCs w:val="1"/>
                <w:color w:val="auto"/>
              </w:rPr>
              <w:t>Open Tax Years</w:t>
            </w:r>
          </w:p>
        </w:tc>
      </w:tr>
      <w:tr>
        <w:trPr>
          <w:trHeight w:val="243"/>
        </w:trPr>
        <w:tc>
          <w:tcPr>
            <w:tcW w:w="4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Federal</w:t>
            </w:r>
          </w:p>
        </w:tc>
        <w:tc>
          <w:tcPr>
            <w:tcW w:w="6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2020 - 2022</w:t>
            </w:r>
          </w:p>
        </w:tc>
      </w:tr>
      <w:tr>
        <w:trPr>
          <w:trHeight w:val="239"/>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States</w:t>
            </w:r>
          </w:p>
        </w:tc>
        <w:tc>
          <w:tcPr>
            <w:tcW w:w="6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2020 - 2022</w:t>
            </w:r>
          </w:p>
        </w:tc>
      </w:tr>
      <w:tr>
        <w:trPr>
          <w:trHeight w:val="247"/>
        </w:trPr>
        <w:tc>
          <w:tcPr>
            <w:tcW w:w="4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China</w:t>
            </w:r>
          </w:p>
        </w:tc>
        <w:tc>
          <w:tcPr>
            <w:tcW w:w="6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2020 - 2022</w:t>
            </w:r>
          </w:p>
        </w:tc>
      </w:tr>
      <w:tr>
        <w:trPr>
          <w:trHeight w:val="234"/>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Canada</w:t>
            </w:r>
          </w:p>
        </w:tc>
        <w:tc>
          <w:tcPr>
            <w:tcW w:w="6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2020 - 2022</w:t>
            </w:r>
          </w:p>
        </w:tc>
      </w:tr>
    </w:tbl>
    <w:p>
      <w:pPr>
        <w:spacing w:after="0" w:line="317" w:lineRule="exact"/>
        <w:rPr>
          <w:sz w:val="20"/>
          <w:szCs w:val="20"/>
          <w:color w:val="auto"/>
        </w:rPr>
      </w:pPr>
    </w:p>
    <w:p>
      <w:pPr>
        <w:ind w:left="560" w:hanging="552"/>
        <w:spacing w:after="0"/>
        <w:tabs>
          <w:tab w:leader="none" w:pos="560" w:val="left"/>
        </w:tabs>
        <w:numPr>
          <w:ilvl w:val="0"/>
          <w:numId w:val="4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ACCOUNTS RECEIVABLE</w:t>
      </w:r>
    </w:p>
    <w:p>
      <w:pPr>
        <w:spacing w:after="0" w:line="128" w:lineRule="exact"/>
        <w:rPr>
          <w:rFonts w:ascii="Times New Roman" w:cs="Times New Roman" w:eastAsia="Times New Roman" w:hAnsi="Times New Roman"/>
          <w:sz w:val="16"/>
          <w:szCs w:val="16"/>
          <w:b w:val="1"/>
          <w:bCs w:val="1"/>
          <w:color w:val="auto"/>
        </w:rPr>
      </w:pPr>
    </w:p>
    <w:p>
      <w:pPr>
        <w:ind w:left="5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Accounts receivable–Net as of December 31, 2023 and 2022, consists of the following (in thousands):</w:t>
      </w:r>
    </w:p>
    <w:p>
      <w:pPr>
        <w:spacing w:after="0" w:line="273" w:lineRule="exact"/>
        <w:rPr>
          <w:sz w:val="20"/>
          <w:szCs w:val="20"/>
          <w:color w:val="auto"/>
        </w:rPr>
      </w:pPr>
    </w:p>
    <w:tbl>
      <w:tblPr>
        <w:tblLayout w:type="fixed"/>
        <w:tblInd w:w="580" w:type="dxa"/>
        <w:tblCellMar>
          <w:top w:w="0" w:type="dxa"/>
          <w:left w:w="0" w:type="dxa"/>
          <w:bottom w:w="0" w:type="dxa"/>
          <w:right w:w="0" w:type="dxa"/>
        </w:tblCellMar>
      </w:tblPr>
      <w:tr>
        <w:trPr>
          <w:trHeight w:val="225"/>
        </w:trPr>
        <w:tc>
          <w:tcPr>
            <w:tcW w:w="672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7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r>
      <w:tr>
        <w:trPr>
          <w:trHeight w:val="230"/>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Accounts receivable</w:t>
            </w:r>
          </w:p>
        </w:tc>
        <w:tc>
          <w:tcPr>
            <w:tcW w:w="92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107,939</w:t>
            </w:r>
          </w:p>
        </w:tc>
        <w:tc>
          <w:tcPr>
            <w:tcW w:w="38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103,692</w:t>
            </w:r>
          </w:p>
        </w:tc>
        <w:tc>
          <w:tcPr>
            <w:tcW w:w="100" w:type="dxa"/>
            <w:vAlign w:val="bottom"/>
            <w:shd w:val="clear" w:color="auto" w:fill="CFF0FC"/>
          </w:tcPr>
          <w:p>
            <w:pPr>
              <w:spacing w:after="0"/>
              <w:rPr>
                <w:sz w:val="19"/>
                <w:szCs w:val="19"/>
                <w:color w:val="auto"/>
              </w:rPr>
            </w:pPr>
          </w:p>
        </w:tc>
      </w:tr>
      <w:tr>
        <w:trPr>
          <w:trHeight w:val="227"/>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Allowance for doubtful accounts and sales reserves</w:t>
            </w:r>
          </w:p>
        </w:tc>
        <w:tc>
          <w:tcPr>
            <w:tcW w:w="92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(5,574 )</w:t>
            </w:r>
          </w:p>
        </w:tc>
        <w:tc>
          <w:tcPr>
            <w:tcW w:w="4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(5,339 )</w:t>
            </w:r>
          </w:p>
        </w:tc>
      </w:tr>
      <w:tr>
        <w:trPr>
          <w:trHeight w:val="266"/>
        </w:trPr>
        <w:tc>
          <w:tcPr>
            <w:tcW w:w="6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Accounts receivable–Net</w:t>
            </w:r>
          </w:p>
        </w:tc>
        <w:tc>
          <w:tcPr>
            <w:tcW w:w="920" w:type="dxa"/>
            <w:vAlign w:val="bottom"/>
            <w:tcBorders>
              <w:top w:val="single" w:sz="8" w:color="auto"/>
              <w:bottom w:val="single" w:sz="8" w:color="auto"/>
            </w:tcBorders>
            <w:shd w:val="clear" w:color="auto" w:fill="CFF0FC"/>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102,365</w:t>
            </w:r>
          </w:p>
        </w:tc>
        <w:tc>
          <w:tcPr>
            <w:tcW w:w="380" w:type="dxa"/>
            <w:vAlign w:val="bottom"/>
            <w:tcBorders>
              <w:bottom w:val="single" w:sz="8" w:color="CFF0FC"/>
            </w:tcBorders>
            <w:shd w:val="clear" w:color="auto" w:fill="CFF0FC"/>
          </w:tcPr>
          <w:p>
            <w:pPr>
              <w:spacing w:after="0"/>
              <w:rPr>
                <w:sz w:val="23"/>
                <w:szCs w:val="23"/>
                <w:color w:val="auto"/>
              </w:rPr>
            </w:pPr>
          </w:p>
        </w:tc>
        <w:tc>
          <w:tcPr>
            <w:tcW w:w="420" w:type="dxa"/>
            <w:vAlign w:val="bottom"/>
            <w:tcBorders>
              <w:top w:val="single" w:sz="8" w:color="auto"/>
              <w:bottom w:val="single" w:sz="8" w:color="auto"/>
            </w:tcBorders>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98,353</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-24765</wp:posOffset>
            </wp:positionV>
            <wp:extent cx="685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-7620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4" w:lineRule="exact"/>
        <w:rPr>
          <w:sz w:val="20"/>
          <w:szCs w:val="20"/>
          <w:color w:val="auto"/>
        </w:rPr>
      </w:pPr>
    </w:p>
    <w:p>
      <w:pPr>
        <w:ind w:left="560" w:right="620"/>
        <w:spacing w:after="0" w:line="298" w:lineRule="auto"/>
        <w:rPr>
          <w:sz w:val="20"/>
          <w:szCs w:val="20"/>
          <w:color w:val="auto"/>
        </w:rPr>
      </w:pPr>
      <w:r>
        <w:rPr>
          <w:rFonts w:ascii="Times New Roman" w:cs="Times New Roman" w:eastAsia="Times New Roman" w:hAnsi="Times New Roman"/>
          <w:sz w:val="16"/>
          <w:szCs w:val="16"/>
          <w:color w:val="auto"/>
        </w:rPr>
        <w:t>Changes to the allowance for doubtful accounts and sales reserves during the years ended December 31, 2023, 2022 and 2021, consists of the following (in thousands):</w:t>
      </w:r>
    </w:p>
    <w:p>
      <w:pPr>
        <w:spacing w:after="0" w:line="68" w:lineRule="exact"/>
        <w:rPr>
          <w:sz w:val="20"/>
          <w:szCs w:val="20"/>
          <w:color w:val="auto"/>
        </w:rPr>
      </w:pPr>
    </w:p>
    <w:tbl>
      <w:tblPr>
        <w:tblLayout w:type="fixed"/>
        <w:tblInd w:w="580" w:type="dxa"/>
        <w:tblCellMar>
          <w:top w:w="0" w:type="dxa"/>
          <w:left w:w="0" w:type="dxa"/>
          <w:bottom w:w="0" w:type="dxa"/>
          <w:right w:w="0" w:type="dxa"/>
        </w:tblCellMar>
      </w:tblPr>
      <w:tr>
        <w:trPr>
          <w:trHeight w:val="225"/>
        </w:trPr>
        <w:tc>
          <w:tcPr>
            <w:tcW w:w="570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7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r>
      <w:tr>
        <w:trPr>
          <w:trHeight w:val="230"/>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82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5,339</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3,791</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4,224</w:t>
            </w:r>
          </w:p>
        </w:tc>
        <w:tc>
          <w:tcPr>
            <w:tcW w:w="100" w:type="dxa"/>
            <w:vAlign w:val="bottom"/>
            <w:shd w:val="clear" w:color="auto" w:fill="CFF0FC"/>
          </w:tcPr>
          <w:p>
            <w:pPr>
              <w:spacing w:after="0"/>
              <w:rPr>
                <w:sz w:val="19"/>
                <w:szCs w:val="19"/>
                <w:color w:val="auto"/>
              </w:rPr>
            </w:pPr>
          </w:p>
        </w:tc>
      </w:tr>
      <w:tr>
        <w:trPr>
          <w:trHeight w:val="220"/>
        </w:trPr>
        <w:tc>
          <w:tcPr>
            <w:tcW w:w="5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Charges to bad debt and sales reserves</w:t>
            </w:r>
          </w:p>
        </w:tc>
        <w:tc>
          <w:tcPr>
            <w:tcW w:w="8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7,079</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3,634</w:t>
            </w:r>
          </w:p>
        </w:tc>
        <w:tc>
          <w:tcPr>
            <w:tcW w:w="100" w:type="dxa"/>
            <w:vAlign w:val="bottom"/>
          </w:tcPr>
          <w:p>
            <w:pPr>
              <w:spacing w:after="0"/>
              <w:rPr>
                <w:sz w:val="19"/>
                <w:szCs w:val="19"/>
                <w:color w:val="auto"/>
              </w:rPr>
            </w:pPr>
          </w:p>
        </w:tc>
      </w:tr>
      <w:tr>
        <w:trPr>
          <w:trHeight w:val="236"/>
        </w:trPr>
        <w:tc>
          <w:tcPr>
            <w:tcW w:w="5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Write-offs, net</w:t>
            </w:r>
          </w:p>
        </w:tc>
        <w:tc>
          <w:tcPr>
            <w:tcW w:w="82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w w:val="98"/>
              </w:rPr>
              <w:t>(6,844 )</w:t>
            </w:r>
          </w:p>
        </w:tc>
        <w:tc>
          <w:tcPr>
            <w:tcW w:w="2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(2,714 )</w:t>
            </w:r>
          </w:p>
        </w:tc>
        <w:tc>
          <w:tcPr>
            <w:tcW w:w="2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(4,067 )</w:t>
            </w:r>
          </w:p>
        </w:tc>
      </w:tr>
      <w:tr>
        <w:trPr>
          <w:trHeight w:val="226"/>
        </w:trPr>
        <w:tc>
          <w:tcPr>
            <w:tcW w:w="5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Balance at end of period</w:t>
            </w:r>
          </w:p>
        </w:tc>
        <w:tc>
          <w:tcPr>
            <w:tcW w:w="82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5,574</w:t>
            </w:r>
          </w:p>
        </w:tc>
        <w:tc>
          <w:tcPr>
            <w:tcW w:w="260" w:type="dxa"/>
            <w:vAlign w:val="bottom"/>
            <w:tcBorders>
              <w:top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5,339</w:t>
            </w:r>
          </w:p>
        </w:tc>
        <w:tc>
          <w:tcPr>
            <w:tcW w:w="240" w:type="dxa"/>
            <w:vAlign w:val="bottom"/>
            <w:tcBorders>
              <w:top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3,791</w:t>
            </w:r>
          </w:p>
        </w:tc>
        <w:tc>
          <w:tcPr>
            <w:tcW w:w="100" w:type="dxa"/>
            <w:vAlign w:val="bottom"/>
            <w:tcBorders>
              <w:top w:val="single" w:sz="8" w:color="CFF0FC"/>
            </w:tcBorders>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-179705</wp:posOffset>
            </wp:positionV>
            <wp:extent cx="685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-179705</wp:posOffset>
            </wp:positionV>
            <wp:extent cx="5969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-179705</wp:posOffset>
            </wp:positionV>
            <wp:extent cx="6032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88" w:lineRule="exact"/>
        <w:rPr>
          <w:sz w:val="20"/>
          <w:szCs w:val="20"/>
          <w:color w:val="auto"/>
        </w:rPr>
      </w:pPr>
    </w:p>
    <w:p>
      <w:pPr>
        <w:ind w:left="560" w:hanging="552"/>
        <w:spacing w:after="0"/>
        <w:tabs>
          <w:tab w:leader="none" w:pos="560" w:val="left"/>
        </w:tabs>
        <w:numPr>
          <w:ilvl w:val="0"/>
          <w:numId w:val="4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OTHER CURRENT ASSETS</w:t>
      </w:r>
    </w:p>
    <w:p>
      <w:pPr>
        <w:spacing w:after="0" w:line="128" w:lineRule="exact"/>
        <w:rPr>
          <w:rFonts w:ascii="Times New Roman" w:cs="Times New Roman" w:eastAsia="Times New Roman" w:hAnsi="Times New Roman"/>
          <w:sz w:val="16"/>
          <w:szCs w:val="16"/>
          <w:b w:val="1"/>
          <w:bCs w:val="1"/>
          <w:color w:val="auto"/>
        </w:rPr>
      </w:pPr>
    </w:p>
    <w:p>
      <w:pPr>
        <w:ind w:left="5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Other current assets as of December 31, 2023 and 2022, consists of the following (in thousands):</w:t>
      </w:r>
    </w:p>
    <w:p>
      <w:pPr>
        <w:spacing w:after="0" w:line="138" w:lineRule="exact"/>
        <w:rPr>
          <w:sz w:val="20"/>
          <w:szCs w:val="20"/>
          <w:color w:val="auto"/>
        </w:rPr>
      </w:pPr>
    </w:p>
    <w:tbl>
      <w:tblPr>
        <w:tblLayout w:type="fixed"/>
        <w:tblInd w:w="580" w:type="dxa"/>
        <w:tblCellMar>
          <w:top w:w="0" w:type="dxa"/>
          <w:left w:w="0" w:type="dxa"/>
          <w:bottom w:w="0" w:type="dxa"/>
          <w:right w:w="0" w:type="dxa"/>
        </w:tblCellMar>
      </w:tblPr>
      <w:tr>
        <w:trPr>
          <w:trHeight w:val="225"/>
        </w:trPr>
        <w:tc>
          <w:tcPr>
            <w:tcW w:w="644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440" w:type="dxa"/>
            <w:vAlign w:val="bottom"/>
          </w:tcPr>
          <w:p>
            <w:pPr>
              <w:spacing w:after="0"/>
              <w:rPr>
                <w:sz w:val="19"/>
                <w:szCs w:val="19"/>
                <w:color w:val="auto"/>
              </w:rPr>
            </w:pPr>
          </w:p>
        </w:tc>
        <w:tc>
          <w:tcPr>
            <w:tcW w:w="1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6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r>
      <w:tr>
        <w:trPr>
          <w:trHeight w:val="230"/>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Prepaid SaaS costs</w:t>
            </w:r>
          </w:p>
        </w:tc>
        <w:tc>
          <w:tcPr>
            <w:tcW w:w="1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7,833</w:t>
            </w:r>
          </w:p>
        </w:tc>
        <w:tc>
          <w:tcPr>
            <w:tcW w:w="4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7,423</w:t>
            </w:r>
          </w:p>
        </w:tc>
        <w:tc>
          <w:tcPr>
            <w:tcW w:w="100" w:type="dxa"/>
            <w:vAlign w:val="bottom"/>
            <w:shd w:val="clear" w:color="auto" w:fill="CFF0FC"/>
          </w:tcPr>
          <w:p>
            <w:pPr>
              <w:spacing w:after="0"/>
              <w:rPr>
                <w:sz w:val="19"/>
                <w:szCs w:val="19"/>
                <w:color w:val="auto"/>
              </w:rPr>
            </w:pPr>
          </w:p>
        </w:tc>
      </w:tr>
      <w:tr>
        <w:trPr>
          <w:trHeight w:val="220"/>
        </w:trPr>
        <w:tc>
          <w:tcPr>
            <w:tcW w:w="6440" w:type="dxa"/>
            <w:vAlign w:val="bottom"/>
          </w:tcPr>
          <w:p>
            <w:pPr>
              <w:spacing w:after="0"/>
              <w:rPr>
                <w:sz w:val="20"/>
                <w:szCs w:val="20"/>
                <w:color w:val="auto"/>
              </w:rPr>
            </w:pPr>
            <w:r>
              <w:rPr>
                <w:rFonts w:ascii="Times New Roman" w:cs="Times New Roman" w:eastAsia="Times New Roman" w:hAnsi="Times New Roman"/>
                <w:sz w:val="16"/>
                <w:szCs w:val="16"/>
                <w:color w:val="auto"/>
              </w:rPr>
              <w:t>Prepaid service fees</w:t>
            </w:r>
          </w:p>
        </w:tc>
        <w:tc>
          <w:tcPr>
            <w:tcW w:w="1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5,992</w:t>
            </w: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5,268</w:t>
            </w:r>
          </w:p>
        </w:tc>
        <w:tc>
          <w:tcPr>
            <w:tcW w:w="100" w:type="dxa"/>
            <w:vAlign w:val="bottom"/>
          </w:tcPr>
          <w:p>
            <w:pPr>
              <w:spacing w:after="0"/>
              <w:rPr>
                <w:sz w:val="19"/>
                <w:szCs w:val="19"/>
                <w:color w:val="auto"/>
              </w:rPr>
            </w:pPr>
          </w:p>
        </w:tc>
      </w:tr>
      <w:tr>
        <w:trPr>
          <w:trHeight w:val="239"/>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Prepaid software and equipment maintenance</w:t>
            </w:r>
          </w:p>
        </w:tc>
        <w:tc>
          <w:tcPr>
            <w:tcW w:w="12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5,547</w:t>
            </w:r>
          </w:p>
        </w:tc>
        <w:tc>
          <w:tcPr>
            <w:tcW w:w="4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7,638</w:t>
            </w:r>
          </w:p>
        </w:tc>
        <w:tc>
          <w:tcPr>
            <w:tcW w:w="100" w:type="dxa"/>
            <w:vAlign w:val="bottom"/>
            <w:shd w:val="clear" w:color="auto" w:fill="CFF0FC"/>
          </w:tcPr>
          <w:p>
            <w:pPr>
              <w:spacing w:after="0"/>
              <w:rPr>
                <w:sz w:val="20"/>
                <w:szCs w:val="20"/>
                <w:color w:val="auto"/>
              </w:rPr>
            </w:pPr>
          </w:p>
        </w:tc>
      </w:tr>
      <w:tr>
        <w:trPr>
          <w:trHeight w:val="220"/>
        </w:trPr>
        <w:tc>
          <w:tcPr>
            <w:tcW w:w="6440" w:type="dxa"/>
            <w:vAlign w:val="bottom"/>
          </w:tcPr>
          <w:p>
            <w:pPr>
              <w:spacing w:after="0"/>
              <w:rPr>
                <w:sz w:val="20"/>
                <w:szCs w:val="20"/>
                <w:color w:val="auto"/>
              </w:rPr>
            </w:pPr>
            <w:r>
              <w:rPr>
                <w:rFonts w:ascii="Times New Roman" w:cs="Times New Roman" w:eastAsia="Times New Roman" w:hAnsi="Times New Roman"/>
                <w:sz w:val="16"/>
                <w:szCs w:val="16"/>
                <w:color w:val="auto"/>
              </w:rPr>
              <w:t>Prepaid insurance</w:t>
            </w:r>
          </w:p>
        </w:tc>
        <w:tc>
          <w:tcPr>
            <w:tcW w:w="1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2,289</w:t>
            </w: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4,062</w:t>
            </w:r>
          </w:p>
        </w:tc>
        <w:tc>
          <w:tcPr>
            <w:tcW w:w="100" w:type="dxa"/>
            <w:vAlign w:val="bottom"/>
          </w:tcPr>
          <w:p>
            <w:pPr>
              <w:spacing w:after="0"/>
              <w:rPr>
                <w:sz w:val="19"/>
                <w:szCs w:val="19"/>
                <w:color w:val="auto"/>
              </w:rPr>
            </w:pPr>
          </w:p>
        </w:tc>
      </w:tr>
      <w:tr>
        <w:trPr>
          <w:trHeight w:val="239"/>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Non-trade receivables</w:t>
            </w:r>
          </w:p>
        </w:tc>
        <w:tc>
          <w:tcPr>
            <w:tcW w:w="12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100" w:type="dxa"/>
            <w:vAlign w:val="bottom"/>
            <w:shd w:val="clear" w:color="auto" w:fill="CFF0FC"/>
          </w:tcPr>
          <w:p>
            <w:pPr>
              <w:spacing w:after="0"/>
              <w:rPr>
                <w:sz w:val="20"/>
                <w:szCs w:val="20"/>
                <w:color w:val="auto"/>
              </w:rPr>
            </w:pPr>
          </w:p>
        </w:tc>
      </w:tr>
      <w:tr>
        <w:trPr>
          <w:trHeight w:val="226"/>
        </w:trPr>
        <w:tc>
          <w:tcPr>
            <w:tcW w:w="644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10,703</w:t>
            </w:r>
          </w:p>
        </w:tc>
        <w:tc>
          <w:tcPr>
            <w:tcW w:w="4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11,277</w:t>
            </w:r>
          </w:p>
        </w:tc>
        <w:tc>
          <w:tcPr>
            <w:tcW w:w="100" w:type="dxa"/>
            <w:vAlign w:val="bottom"/>
          </w:tcPr>
          <w:p>
            <w:pPr>
              <w:spacing w:after="0"/>
              <w:rPr>
                <w:sz w:val="19"/>
                <w:szCs w:val="19"/>
                <w:color w:val="auto"/>
              </w:rPr>
            </w:pPr>
          </w:p>
        </w:tc>
      </w:tr>
      <w:tr>
        <w:trPr>
          <w:trHeight w:val="266"/>
        </w:trPr>
        <w:tc>
          <w:tcPr>
            <w:tcW w:w="6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1240" w:type="dxa"/>
            <w:vAlign w:val="bottom"/>
            <w:tcBorders>
              <w:bottom w:val="single" w:sz="8" w:color="auto"/>
            </w:tcBorders>
            <w:shd w:val="clear" w:color="auto" w:fill="CFF0FC"/>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32,364</w:t>
            </w:r>
          </w:p>
        </w:tc>
        <w:tc>
          <w:tcPr>
            <w:tcW w:w="420" w:type="dxa"/>
            <w:vAlign w:val="bottom"/>
            <w:tcBorders>
              <w:bottom w:val="single" w:sz="8" w:color="CFF0FC"/>
            </w:tcBorders>
            <w:shd w:val="clear" w:color="auto" w:fill="CFF0FC"/>
          </w:tcPr>
          <w:p>
            <w:pPr>
              <w:spacing w:after="0"/>
              <w:rPr>
                <w:sz w:val="23"/>
                <w:szCs w:val="23"/>
                <w:color w:val="auto"/>
              </w:rPr>
            </w:pPr>
          </w:p>
        </w:tc>
        <w:tc>
          <w:tcPr>
            <w:tcW w:w="500" w:type="dxa"/>
            <w:vAlign w:val="bottom"/>
            <w:tcBorders>
              <w:bottom w:val="single" w:sz="8" w:color="auto"/>
            </w:tcBorders>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36,358</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-24765</wp:posOffset>
            </wp:positionV>
            <wp:extent cx="6858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-8255</wp:posOffset>
            </wp:positionV>
            <wp:extent cx="685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-8255</wp:posOffset>
            </wp:positionV>
            <wp:extent cx="5969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1" w:right="339" w:bottom="1440" w:gutter="0" w:footer="0" w:header="0"/>
        </w:sectPr>
      </w:pPr>
    </w:p>
    <w:bookmarkStart w:id="78" w:name="page79"/>
    <w:bookmarkEnd w:id="78"/>
    <w:p>
      <w:pPr>
        <w:ind w:left="560" w:hanging="552"/>
        <w:spacing w:after="0"/>
        <w:tabs>
          <w:tab w:leader="none" w:pos="560" w:val="left"/>
        </w:tabs>
        <w:numPr>
          <w:ilvl w:val="0"/>
          <w:numId w:val="4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SOFTWARE, EQUIPMENT, AND PROPERTY</w:t>
      </w:r>
    </w:p>
    <w:p>
      <w:pPr>
        <w:spacing w:after="0" w:line="128" w:lineRule="exact"/>
        <w:rPr>
          <w:rFonts w:ascii="Times New Roman" w:cs="Times New Roman" w:eastAsia="Times New Roman" w:hAnsi="Times New Roman"/>
          <w:sz w:val="16"/>
          <w:szCs w:val="16"/>
          <w:b w:val="1"/>
          <w:bCs w:val="1"/>
          <w:color w:val="auto"/>
        </w:rPr>
      </w:pPr>
    </w:p>
    <w:p>
      <w:pPr>
        <w:ind w:left="5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Software, equipment, and property as of December 31, 2023 and 2022, consists of the following (in thousands):</w:t>
      </w:r>
    </w:p>
    <w:p>
      <w:pPr>
        <w:spacing w:after="0" w:line="138" w:lineRule="exact"/>
        <w:rPr>
          <w:sz w:val="20"/>
          <w:szCs w:val="20"/>
          <w:color w:val="auto"/>
        </w:rPr>
      </w:pPr>
    </w:p>
    <w:tbl>
      <w:tblPr>
        <w:tblLayout w:type="fixed"/>
        <w:tblInd w:w="580" w:type="dxa"/>
        <w:tblCellMar>
          <w:top w:w="0" w:type="dxa"/>
          <w:left w:w="0" w:type="dxa"/>
          <w:bottom w:w="0" w:type="dxa"/>
          <w:right w:w="0" w:type="dxa"/>
        </w:tblCellMar>
      </w:tblPr>
      <w:tr>
        <w:trPr>
          <w:trHeight w:val="225"/>
        </w:trPr>
        <w:tc>
          <w:tcPr>
            <w:tcW w:w="712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1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r>
      <w:tr>
        <w:trPr>
          <w:trHeight w:val="229"/>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Software, licenses and database</w:t>
            </w:r>
          </w:p>
        </w:tc>
        <w:tc>
          <w:tcPr>
            <w:tcW w:w="94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220,625</w:t>
            </w:r>
          </w:p>
        </w:tc>
        <w:tc>
          <w:tcPr>
            <w:tcW w:w="38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175,616</w:t>
            </w:r>
          </w:p>
        </w:tc>
        <w:tc>
          <w:tcPr>
            <w:tcW w:w="100" w:type="dxa"/>
            <w:vAlign w:val="bottom"/>
            <w:shd w:val="clear" w:color="auto" w:fill="CFF0FC"/>
          </w:tcPr>
          <w:p>
            <w:pPr>
              <w:spacing w:after="0"/>
              <w:rPr>
                <w:sz w:val="19"/>
                <w:szCs w:val="19"/>
                <w:color w:val="auto"/>
              </w:rPr>
            </w:pPr>
          </w:p>
        </w:tc>
      </w:tr>
      <w:tr>
        <w:trPr>
          <w:trHeight w:val="220"/>
        </w:trPr>
        <w:tc>
          <w:tcPr>
            <w:tcW w:w="7120" w:type="dxa"/>
            <w:vAlign w:val="bottom"/>
          </w:tcPr>
          <w:p>
            <w:pPr>
              <w:spacing w:after="0"/>
              <w:rPr>
                <w:sz w:val="20"/>
                <w:szCs w:val="20"/>
                <w:color w:val="auto"/>
              </w:rPr>
            </w:pPr>
            <w:r>
              <w:rPr>
                <w:rFonts w:ascii="Times New Roman" w:cs="Times New Roman" w:eastAsia="Times New Roman" w:hAnsi="Times New Roman"/>
                <w:sz w:val="16"/>
                <w:szCs w:val="16"/>
                <w:color w:val="auto"/>
              </w:rPr>
              <w:t>Computer equipment</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27,467</w:t>
            </w: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33,043</w:t>
            </w:r>
          </w:p>
        </w:tc>
        <w:tc>
          <w:tcPr>
            <w:tcW w:w="100" w:type="dxa"/>
            <w:vAlign w:val="bottom"/>
          </w:tcPr>
          <w:p>
            <w:pPr>
              <w:spacing w:after="0"/>
              <w:rPr>
                <w:sz w:val="19"/>
                <w:szCs w:val="19"/>
                <w:color w:val="auto"/>
              </w:rPr>
            </w:pPr>
          </w:p>
        </w:tc>
      </w:tr>
      <w:tr>
        <w:trPr>
          <w:trHeight w:val="239"/>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31,046</w:t>
            </w:r>
          </w:p>
        </w:tc>
        <w:tc>
          <w:tcPr>
            <w:tcW w:w="3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30,430</w:t>
            </w:r>
          </w:p>
        </w:tc>
        <w:tc>
          <w:tcPr>
            <w:tcW w:w="100" w:type="dxa"/>
            <w:vAlign w:val="bottom"/>
            <w:shd w:val="clear" w:color="auto" w:fill="CFF0FC"/>
          </w:tcPr>
          <w:p>
            <w:pPr>
              <w:spacing w:after="0"/>
              <w:rPr>
                <w:sz w:val="20"/>
                <w:szCs w:val="20"/>
                <w:color w:val="auto"/>
              </w:rPr>
            </w:pPr>
          </w:p>
        </w:tc>
      </w:tr>
      <w:tr>
        <w:trPr>
          <w:trHeight w:val="220"/>
        </w:trPr>
        <w:tc>
          <w:tcPr>
            <w:tcW w:w="7120" w:type="dxa"/>
            <w:vAlign w:val="bottom"/>
          </w:tcPr>
          <w:p>
            <w:pPr>
              <w:spacing w:after="0"/>
              <w:rPr>
                <w:sz w:val="20"/>
                <w:szCs w:val="20"/>
                <w:color w:val="auto"/>
              </w:rPr>
            </w:pPr>
            <w:r>
              <w:rPr>
                <w:rFonts w:ascii="Times New Roman" w:cs="Times New Roman" w:eastAsia="Times New Roman" w:hAnsi="Times New Roman"/>
                <w:sz w:val="16"/>
                <w:szCs w:val="16"/>
                <w:color w:val="auto"/>
              </w:rPr>
              <w:t>Building and land</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4,910</w:t>
            </w: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4,910</w:t>
            </w:r>
          </w:p>
        </w:tc>
        <w:tc>
          <w:tcPr>
            <w:tcW w:w="100" w:type="dxa"/>
            <w:vAlign w:val="bottom"/>
          </w:tcPr>
          <w:p>
            <w:pPr>
              <w:spacing w:after="0"/>
              <w:rPr>
                <w:sz w:val="19"/>
                <w:szCs w:val="19"/>
                <w:color w:val="auto"/>
              </w:rPr>
            </w:pPr>
          </w:p>
        </w:tc>
      </w:tr>
      <w:tr>
        <w:trPr>
          <w:trHeight w:val="236"/>
        </w:trPr>
        <w:tc>
          <w:tcPr>
            <w:tcW w:w="7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Furniture and other equipment</w:t>
            </w:r>
          </w:p>
        </w:tc>
        <w:tc>
          <w:tcPr>
            <w:tcW w:w="94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1,370</w:t>
            </w:r>
          </w:p>
        </w:tc>
        <w:tc>
          <w:tcPr>
            <w:tcW w:w="38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16"/>
        </w:trPr>
        <w:tc>
          <w:tcPr>
            <w:tcW w:w="71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software, equipment, and property</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285,418</w:t>
            </w: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245,477</w:t>
            </w:r>
          </w:p>
        </w:tc>
        <w:tc>
          <w:tcPr>
            <w:tcW w:w="100" w:type="dxa"/>
            <w:vAlign w:val="bottom"/>
          </w:tcPr>
          <w:p>
            <w:pPr>
              <w:spacing w:after="0"/>
              <w:rPr>
                <w:sz w:val="18"/>
                <w:szCs w:val="18"/>
                <w:color w:val="auto"/>
              </w:rPr>
            </w:pPr>
          </w:p>
        </w:tc>
      </w:tr>
      <w:tr>
        <w:trPr>
          <w:trHeight w:val="236"/>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9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w w:val="95"/>
              </w:rPr>
              <w:t>(125,002 )</w:t>
            </w:r>
          </w:p>
        </w:tc>
        <w:tc>
          <w:tcPr>
            <w:tcW w:w="4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(99,034 )</w:t>
            </w:r>
          </w:p>
        </w:tc>
      </w:tr>
      <w:tr>
        <w:trPr>
          <w:trHeight w:val="226"/>
        </w:trPr>
        <w:tc>
          <w:tcPr>
            <w:tcW w:w="71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Net software, equipment, and property</w:t>
            </w:r>
          </w:p>
        </w:tc>
        <w:tc>
          <w:tcPr>
            <w:tcW w:w="940" w:type="dxa"/>
            <w:vAlign w:val="bottom"/>
            <w:tcBorders>
              <w:top w:val="single" w:sz="8" w:color="auto"/>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160,416</w:t>
            </w:r>
          </w:p>
        </w:tc>
        <w:tc>
          <w:tcPr>
            <w:tcW w:w="380" w:type="dxa"/>
            <w:vAlign w:val="bottom"/>
            <w:tcBorders>
              <w:top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146,443</w:t>
            </w:r>
          </w:p>
        </w:tc>
        <w:tc>
          <w:tcPr>
            <w:tcW w:w="100" w:type="dxa"/>
            <w:vAlign w:val="bottom"/>
            <w:tcBorders>
              <w:top w:val="single" w:sz="8" w:color="CFF0FC"/>
            </w:tcBorders>
          </w:tcPr>
          <w:p>
            <w:pPr>
              <w:spacing w:after="0"/>
              <w:rPr>
                <w:sz w:val="19"/>
                <w:szCs w:val="19"/>
                <w:color w:val="auto"/>
              </w:rPr>
            </w:pPr>
          </w:p>
        </w:tc>
      </w:tr>
      <w:tr>
        <w:trPr>
          <w:trHeight w:val="20"/>
        </w:trPr>
        <w:tc>
          <w:tcPr>
            <w:tcW w:w="7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-479425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-479425</wp:posOffset>
            </wp:positionV>
            <wp:extent cx="5969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-179070</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-179070</wp:posOffset>
            </wp:positionV>
            <wp:extent cx="5969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4" w:lineRule="exact"/>
        <w:rPr>
          <w:sz w:val="20"/>
          <w:szCs w:val="20"/>
          <w:color w:val="auto"/>
        </w:rPr>
      </w:pPr>
    </w:p>
    <w:p>
      <w:pPr>
        <w:ind w:left="560" w:right="600"/>
        <w:spacing w:after="0" w:line="298" w:lineRule="auto"/>
        <w:rPr>
          <w:sz w:val="20"/>
          <w:szCs w:val="20"/>
          <w:color w:val="auto"/>
        </w:rPr>
      </w:pPr>
      <w:r>
        <w:rPr>
          <w:rFonts w:ascii="Times New Roman" w:cs="Times New Roman" w:eastAsia="Times New Roman" w:hAnsi="Times New Roman"/>
          <w:sz w:val="16"/>
          <w:szCs w:val="16"/>
          <w:color w:val="auto"/>
        </w:rPr>
        <w:t>Depreciation and amortization expense related to software, equipment, and property was $36.9 million, $27.9 million and $24.5 million for the years ended December 31, 2023, 2022 and 2021, respectively.</w:t>
      </w:r>
    </w:p>
    <w:p>
      <w:pPr>
        <w:spacing w:after="0" w:line="162" w:lineRule="exact"/>
        <w:rPr>
          <w:sz w:val="20"/>
          <w:szCs w:val="20"/>
          <w:color w:val="auto"/>
        </w:rPr>
      </w:pPr>
    </w:p>
    <w:p>
      <w:pPr>
        <w:ind w:left="560" w:hanging="552"/>
        <w:spacing w:after="0"/>
        <w:tabs>
          <w:tab w:leader="none" w:pos="560" w:val="left"/>
        </w:tabs>
        <w:numPr>
          <w:ilvl w:val="0"/>
          <w:numId w:val="4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LEASES</w:t>
      </w:r>
    </w:p>
    <w:p>
      <w:pPr>
        <w:spacing w:after="0" w:line="128" w:lineRule="exact"/>
        <w:rPr>
          <w:rFonts w:ascii="Times New Roman" w:cs="Times New Roman" w:eastAsia="Times New Roman" w:hAnsi="Times New Roman"/>
          <w:sz w:val="16"/>
          <w:szCs w:val="16"/>
          <w:b w:val="1"/>
          <w:bCs w:val="1"/>
          <w:color w:val="auto"/>
        </w:rPr>
      </w:pPr>
    </w:p>
    <w:p>
      <w:pPr>
        <w:ind w:left="560" w:right="80"/>
        <w:spacing w:after="0" w:line="28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leases real estate in the form of office space and data center facilities. Generally, at the inception of the contract, the term for real estate leases ranges from 1 to 17 years and the term for equipment leases is 1 to 3 years. Some real estate leases include options to renew that can extend the original term by 3 to 5 years.</w:t>
      </w:r>
    </w:p>
    <w:p>
      <w:pPr>
        <w:spacing w:after="0" w:line="69" w:lineRule="exact"/>
        <w:rPr>
          <w:rFonts w:ascii="Times New Roman" w:cs="Times New Roman" w:eastAsia="Times New Roman" w:hAnsi="Times New Roman"/>
          <w:sz w:val="16"/>
          <w:szCs w:val="16"/>
          <w:b w:val="1"/>
          <w:bCs w:val="1"/>
          <w:color w:val="auto"/>
        </w:rPr>
      </w:pPr>
    </w:p>
    <w:p>
      <w:pPr>
        <w:ind w:left="560" w:right="20"/>
        <w:spacing w:after="0" w:line="29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Operating lease costs are included within cost of revenues, exclusive of amortization and impairment of acquired technologies, research and development and general and administrative expenses on the consolidated statements of operations and comprehensive (loss) income. The Company does not have any finance leases.</w:t>
      </w:r>
    </w:p>
    <w:p>
      <w:pPr>
        <w:spacing w:after="0" w:line="56" w:lineRule="exact"/>
        <w:rPr>
          <w:rFonts w:ascii="Times New Roman" w:cs="Times New Roman" w:eastAsia="Times New Roman" w:hAnsi="Times New Roman"/>
          <w:sz w:val="16"/>
          <w:szCs w:val="16"/>
          <w:b w:val="1"/>
          <w:bCs w:val="1"/>
          <w:color w:val="auto"/>
        </w:rPr>
      </w:pPr>
    </w:p>
    <w:p>
      <w:pPr>
        <w:ind w:left="560" w:right="20"/>
        <w:spacing w:after="0" w:line="307"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December 2022, the Company terminated a corporate office lease which otherwise would have expired in March 2026. In connection with the lease termination, the Company agreed to a termination fee in the amount of $3.8 million, which released the Company from all future minimum lease payments and variable leases costs related to this facility. As of the termination date, the Company derecognized the operating lease asset and operating lease liability and recognized a loss on lease termination of $3.1 million, included within general and administrative expenses in the consolidated statement of operations and comprehensive (loss) income. The components of lease expense for the years ended December 31, 2023, 2022 and 2021 were as follows (in thousands):</w:t>
      </w:r>
    </w:p>
    <w:p>
      <w:pPr>
        <w:spacing w:after="0" w:line="63" w:lineRule="exact"/>
        <w:rPr>
          <w:sz w:val="20"/>
          <w:szCs w:val="20"/>
          <w:color w:val="auto"/>
        </w:rPr>
      </w:pPr>
    </w:p>
    <w:tbl>
      <w:tblPr>
        <w:tblLayout w:type="fixed"/>
        <w:tblInd w:w="1140" w:type="dxa"/>
        <w:tblCellMar>
          <w:top w:w="0" w:type="dxa"/>
          <w:left w:w="0" w:type="dxa"/>
          <w:bottom w:w="0" w:type="dxa"/>
          <w:right w:w="0" w:type="dxa"/>
        </w:tblCellMar>
      </w:tblPr>
      <w:tr>
        <w:trPr>
          <w:trHeight w:val="212"/>
        </w:trPr>
        <w:tc>
          <w:tcPr>
            <w:tcW w:w="4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4680" w:type="dxa"/>
            <w:vAlign w:val="bottom"/>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21"/>
                <w:szCs w:val="21"/>
                <w:color w:val="auto"/>
              </w:rPr>
            </w:pPr>
          </w:p>
        </w:tc>
      </w:tr>
      <w:tr>
        <w:trPr>
          <w:trHeight w:val="230"/>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costs</w:t>
            </w:r>
          </w:p>
        </w:tc>
        <w:tc>
          <w:tcPr>
            <w:tcW w:w="84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5,958</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12,390</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16,386</w:t>
            </w:r>
          </w:p>
        </w:tc>
        <w:tc>
          <w:tcPr>
            <w:tcW w:w="80" w:type="dxa"/>
            <w:vAlign w:val="bottom"/>
            <w:shd w:val="clear" w:color="auto" w:fill="CFF0FC"/>
          </w:tcPr>
          <w:p>
            <w:pPr>
              <w:spacing w:after="0"/>
              <w:rPr>
                <w:sz w:val="19"/>
                <w:szCs w:val="19"/>
                <w:color w:val="auto"/>
              </w:rPr>
            </w:pPr>
          </w:p>
        </w:tc>
      </w:tr>
      <w:tr>
        <w:trPr>
          <w:trHeight w:val="226"/>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Variable lease costs</w:t>
            </w:r>
          </w:p>
        </w:tc>
        <w:tc>
          <w:tcPr>
            <w:tcW w:w="8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3,497</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2,319</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2,110</w:t>
            </w:r>
          </w:p>
        </w:tc>
        <w:tc>
          <w:tcPr>
            <w:tcW w:w="80" w:type="dxa"/>
            <w:vAlign w:val="bottom"/>
          </w:tcPr>
          <w:p>
            <w:pPr>
              <w:spacing w:after="0"/>
              <w:rPr>
                <w:sz w:val="19"/>
                <w:szCs w:val="19"/>
                <w:color w:val="auto"/>
              </w:rPr>
            </w:pPr>
          </w:p>
        </w:tc>
      </w:tr>
      <w:tr>
        <w:trPr>
          <w:trHeight w:val="226"/>
        </w:trPr>
        <w:tc>
          <w:tcPr>
            <w:tcW w:w="46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Total lease costs</w:t>
            </w:r>
          </w:p>
        </w:tc>
        <w:tc>
          <w:tcPr>
            <w:tcW w:w="84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9,455</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14,709</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18,496</w:t>
            </w:r>
          </w:p>
        </w:tc>
        <w:tc>
          <w:tcPr>
            <w:tcW w:w="80" w:type="dxa"/>
            <w:vAlign w:val="bottom"/>
            <w:shd w:val="clear" w:color="auto" w:fill="CFF0FC"/>
          </w:tcPr>
          <w:p>
            <w:pPr>
              <w:spacing w:after="0"/>
              <w:rPr>
                <w:sz w:val="19"/>
                <w:szCs w:val="19"/>
                <w:color w:val="auto"/>
              </w:rPr>
            </w:pPr>
          </w:p>
        </w:tc>
      </w:tr>
    </w:tbl>
    <w:p>
      <w:pPr>
        <w:spacing w:after="0" w:line="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$3.1 million loss on lease termination is included in operating lease costs for the year ended December 31, 2022.</w:t>
      </w:r>
    </w:p>
    <w:p>
      <w:pPr>
        <w:spacing w:after="0" w:line="127" w:lineRule="exact"/>
        <w:rPr>
          <w:sz w:val="20"/>
          <w:szCs w:val="20"/>
          <w:color w:val="auto"/>
        </w:rPr>
      </w:pPr>
    </w:p>
    <w:tbl>
      <w:tblPr>
        <w:tblLayout w:type="fixed"/>
        <w:tblInd w:w="560" w:type="dxa"/>
        <w:tblCellMar>
          <w:top w:w="0" w:type="dxa"/>
          <w:left w:w="0" w:type="dxa"/>
          <w:bottom w:w="0" w:type="dxa"/>
          <w:right w:w="0" w:type="dxa"/>
        </w:tblCellMar>
      </w:tblPr>
      <w:tr>
        <w:trPr>
          <w:trHeight w:val="210"/>
        </w:trPr>
        <w:tc>
          <w:tcPr>
            <w:tcW w:w="67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The lease term and discount rate consisted of the following as of December 31, 2023, 2022 and 2021: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324"/>
        </w:trPr>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67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0"/>
        </w:trPr>
        <w:tc>
          <w:tcPr>
            <w:tcW w:w="58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Weighted-average remaining lease term (years)</w:t>
            </w:r>
          </w:p>
        </w:tc>
        <w:tc>
          <w:tcPr>
            <w:tcW w:w="7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12.9</w:t>
            </w:r>
          </w:p>
        </w:tc>
        <w:tc>
          <w:tcPr>
            <w:tcW w:w="10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8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8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10"/>
        </w:trPr>
        <w:tc>
          <w:tcPr>
            <w:tcW w:w="58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6.5 %</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6.4 %</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6.3 %</w:t>
            </w:r>
          </w:p>
        </w:tc>
      </w:tr>
    </w:tbl>
    <w:p>
      <w:pPr>
        <w:spacing w:after="0" w:line="1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Supplemental cash flow and other information related to leases for the years ended December 31, 2023, 2022 and 2021 were as follows (in thousands):</w:t>
      </w:r>
    </w:p>
    <w:p>
      <w:pPr>
        <w:spacing w:after="0" w:line="138" w:lineRule="exact"/>
        <w:rPr>
          <w:sz w:val="20"/>
          <w:szCs w:val="20"/>
          <w:color w:val="auto"/>
        </w:rPr>
      </w:pPr>
    </w:p>
    <w:tbl>
      <w:tblPr>
        <w:tblLayout w:type="fixed"/>
        <w:tblInd w:w="1140" w:type="dxa"/>
        <w:tblCellMar>
          <w:top w:w="0" w:type="dxa"/>
          <w:left w:w="0" w:type="dxa"/>
          <w:bottom w:w="0" w:type="dxa"/>
          <w:right w:w="0" w:type="dxa"/>
        </w:tblCellMar>
      </w:tblPr>
      <w:tr>
        <w:trPr>
          <w:trHeight w:val="212"/>
        </w:trPr>
        <w:tc>
          <w:tcPr>
            <w:tcW w:w="5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53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21"/>
                <w:szCs w:val="21"/>
                <w:color w:val="auto"/>
              </w:rPr>
            </w:pP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payments for operating leases</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5,706</w:t>
            </w:r>
          </w:p>
        </w:tc>
        <w:tc>
          <w:tcPr>
            <w:tcW w:w="100" w:type="dxa"/>
            <w:vAlign w:val="bottom"/>
            <w:shd w:val="clear" w:color="auto" w:fill="CFF0FC"/>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11,933</w:t>
            </w:r>
          </w:p>
        </w:tc>
        <w:tc>
          <w:tcPr>
            <w:tcW w:w="10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11,403</w:t>
            </w:r>
          </w:p>
        </w:tc>
        <w:tc>
          <w:tcPr>
            <w:tcW w:w="80" w:type="dxa"/>
            <w:vAlign w:val="bottom"/>
            <w:shd w:val="clear" w:color="auto" w:fill="CFF0FC"/>
          </w:tcPr>
          <w:p>
            <w:pPr>
              <w:spacing w:after="0"/>
              <w:rPr>
                <w:sz w:val="19"/>
                <w:szCs w:val="19"/>
                <w:color w:val="auto"/>
              </w:rPr>
            </w:pPr>
          </w:p>
        </w:tc>
      </w:tr>
      <w:tr>
        <w:trPr>
          <w:trHeight w:val="210"/>
        </w:trPr>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assets obtained in exchange for lease liabilities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2,876</w:t>
            </w:r>
          </w:p>
        </w:tc>
        <w:tc>
          <w:tcPr>
            <w:tcW w:w="80" w:type="dxa"/>
            <w:vAlign w:val="bottom"/>
          </w:tcPr>
          <w:p>
            <w:pPr>
              <w:spacing w:after="0"/>
              <w:rPr>
                <w:sz w:val="18"/>
                <w:szCs w:val="18"/>
                <w:color w:val="auto"/>
              </w:rPr>
            </w:pPr>
          </w:p>
        </w:tc>
      </w:tr>
    </w:tbl>
    <w:p>
      <w:pPr>
        <w:spacing w:after="0" w:line="1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$3.8 million lease termination fee is included in the cash payments for operating leases for the year ended December 31, 2022.</w:t>
      </w:r>
    </w:p>
    <w:p>
      <w:pPr>
        <w:spacing w:after="0" w:line="127" w:lineRule="exact"/>
        <w:rPr>
          <w:sz w:val="20"/>
          <w:szCs w:val="20"/>
          <w:color w:val="auto"/>
        </w:rPr>
      </w:pPr>
    </w:p>
    <w:p>
      <w:pPr>
        <w:ind w:left="560" w:right="60"/>
        <w:spacing w:after="0" w:line="298" w:lineRule="auto"/>
        <w:rPr>
          <w:sz w:val="20"/>
          <w:szCs w:val="20"/>
          <w:color w:val="auto"/>
        </w:rPr>
      </w:pPr>
      <w:r>
        <w:rPr>
          <w:rFonts w:ascii="Times New Roman" w:cs="Times New Roman" w:eastAsia="Times New Roman" w:hAnsi="Times New Roman"/>
          <w:sz w:val="16"/>
          <w:szCs w:val="16"/>
          <w:color w:val="auto"/>
        </w:rPr>
        <w:t>The table below reconciles the undiscounted future minimum lease payments (in thousands) under noncancelable operating leases with terms of more than one year to the total operating lease liabilities recognized on the consolidated balance sheet as of December 31, 2023.</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sectPr>
      </w:pPr>
    </w:p>
    <w:bookmarkStart w:id="79" w:name="page80"/>
    <w:bookmarkEnd w:id="79"/>
    <w:tbl>
      <w:tblPr>
        <w:tblLayout w:type="fixed"/>
        <w:tblInd w:w="1140" w:type="dxa"/>
        <w:tblCellMar>
          <w:top w:w="0" w:type="dxa"/>
          <w:left w:w="0" w:type="dxa"/>
          <w:bottom w:w="0" w:type="dxa"/>
          <w:right w:w="0" w:type="dxa"/>
        </w:tblCellMar>
      </w:tblPr>
      <w:tr>
        <w:trPr>
          <w:trHeight w:val="222"/>
        </w:trPr>
        <w:tc>
          <w:tcPr>
            <w:tcW w:w="6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Years Ending December 31:</w:t>
            </w:r>
          </w:p>
        </w:tc>
        <w:tc>
          <w:tcPr>
            <w:tcW w:w="7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9"/>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2024</w:t>
            </w:r>
          </w:p>
        </w:tc>
        <w:tc>
          <w:tcPr>
            <w:tcW w:w="7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7,016</w:t>
            </w:r>
          </w:p>
        </w:tc>
        <w:tc>
          <w:tcPr>
            <w:tcW w:w="80" w:type="dxa"/>
            <w:vAlign w:val="bottom"/>
            <w:shd w:val="clear" w:color="auto" w:fill="CFF0FC"/>
          </w:tcPr>
          <w:p>
            <w:pPr>
              <w:spacing w:after="0"/>
              <w:rPr>
                <w:sz w:val="20"/>
                <w:szCs w:val="20"/>
                <w:color w:val="auto"/>
              </w:rPr>
            </w:pPr>
          </w:p>
        </w:tc>
      </w:tr>
      <w:tr>
        <w:trPr>
          <w:trHeight w:val="220"/>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2025</w:t>
            </w:r>
          </w:p>
        </w:tc>
        <w:tc>
          <w:tcPr>
            <w:tcW w:w="7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7,178</w:t>
            </w:r>
          </w:p>
        </w:tc>
        <w:tc>
          <w:tcPr>
            <w:tcW w:w="80" w:type="dxa"/>
            <w:vAlign w:val="bottom"/>
          </w:tcPr>
          <w:p>
            <w:pPr>
              <w:spacing w:after="0"/>
              <w:rPr>
                <w:sz w:val="19"/>
                <w:szCs w:val="19"/>
                <w:color w:val="auto"/>
              </w:rPr>
            </w:pPr>
          </w:p>
        </w:tc>
      </w:tr>
      <w:tr>
        <w:trPr>
          <w:trHeight w:val="239"/>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2026</w:t>
            </w:r>
          </w:p>
        </w:tc>
        <w:tc>
          <w:tcPr>
            <w:tcW w:w="7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7,205</w:t>
            </w:r>
          </w:p>
        </w:tc>
        <w:tc>
          <w:tcPr>
            <w:tcW w:w="80" w:type="dxa"/>
            <w:vAlign w:val="bottom"/>
            <w:shd w:val="clear" w:color="auto" w:fill="CFF0FC"/>
          </w:tcPr>
          <w:p>
            <w:pPr>
              <w:spacing w:after="0"/>
              <w:rPr>
                <w:sz w:val="20"/>
                <w:szCs w:val="20"/>
                <w:color w:val="auto"/>
              </w:rPr>
            </w:pPr>
          </w:p>
        </w:tc>
      </w:tr>
      <w:tr>
        <w:trPr>
          <w:trHeight w:val="220"/>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7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5,403</w:t>
            </w:r>
          </w:p>
        </w:tc>
        <w:tc>
          <w:tcPr>
            <w:tcW w:w="80" w:type="dxa"/>
            <w:vAlign w:val="bottom"/>
          </w:tcPr>
          <w:p>
            <w:pPr>
              <w:spacing w:after="0"/>
              <w:rPr>
                <w:sz w:val="19"/>
                <w:szCs w:val="19"/>
                <w:color w:val="auto"/>
              </w:rPr>
            </w:pPr>
          </w:p>
        </w:tc>
      </w:tr>
      <w:tr>
        <w:trPr>
          <w:trHeight w:val="239"/>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2028</w:t>
            </w:r>
          </w:p>
        </w:tc>
        <w:tc>
          <w:tcPr>
            <w:tcW w:w="7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6,465</w:t>
            </w:r>
          </w:p>
        </w:tc>
        <w:tc>
          <w:tcPr>
            <w:tcW w:w="80" w:type="dxa"/>
            <w:vAlign w:val="bottom"/>
            <w:shd w:val="clear" w:color="auto" w:fill="CFF0FC"/>
          </w:tcPr>
          <w:p>
            <w:pPr>
              <w:spacing w:after="0"/>
              <w:rPr>
                <w:sz w:val="20"/>
                <w:szCs w:val="20"/>
                <w:color w:val="auto"/>
              </w:rPr>
            </w:pPr>
          </w:p>
        </w:tc>
      </w:tr>
      <w:tr>
        <w:trPr>
          <w:trHeight w:val="227"/>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7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51,027</w:t>
            </w:r>
          </w:p>
        </w:tc>
        <w:tc>
          <w:tcPr>
            <w:tcW w:w="80" w:type="dxa"/>
            <w:vAlign w:val="bottom"/>
          </w:tcPr>
          <w:p>
            <w:pPr>
              <w:spacing w:after="0"/>
              <w:rPr>
                <w:sz w:val="19"/>
                <w:szCs w:val="19"/>
                <w:color w:val="auto"/>
              </w:rPr>
            </w:pPr>
          </w:p>
        </w:tc>
      </w:tr>
      <w:tr>
        <w:trPr>
          <w:trHeight w:val="226"/>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lease payments</w:t>
            </w:r>
          </w:p>
        </w:tc>
        <w:tc>
          <w:tcPr>
            <w:tcW w:w="7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84,294</w:t>
            </w:r>
          </w:p>
        </w:tc>
        <w:tc>
          <w:tcPr>
            <w:tcW w:w="80" w:type="dxa"/>
            <w:vAlign w:val="bottom"/>
            <w:shd w:val="clear" w:color="auto" w:fill="CFF0FC"/>
          </w:tcPr>
          <w:p>
            <w:pPr>
              <w:spacing w:after="0"/>
              <w:rPr>
                <w:sz w:val="19"/>
                <w:szCs w:val="19"/>
                <w:color w:val="auto"/>
              </w:rPr>
            </w:pPr>
          </w:p>
        </w:tc>
      </w:tr>
      <w:tr>
        <w:trPr>
          <w:trHeight w:val="227"/>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Less: Interest</w:t>
            </w:r>
          </w:p>
        </w:tc>
        <w:tc>
          <w:tcPr>
            <w:tcW w:w="74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(26,710 )</w:t>
            </w:r>
          </w:p>
        </w:tc>
      </w:tr>
      <w:tr>
        <w:trPr>
          <w:trHeight w:val="266"/>
        </w:trPr>
        <w:tc>
          <w:tcPr>
            <w:tcW w:w="6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740" w:type="dxa"/>
            <w:vAlign w:val="bottom"/>
            <w:tcBorders>
              <w:top w:val="single" w:sz="8" w:color="auto"/>
              <w:bottom w:val="single" w:sz="8" w:color="auto"/>
            </w:tcBorders>
            <w:shd w:val="clear" w:color="auto" w:fill="CFF0FC"/>
          </w:tcPr>
          <w:p>
            <w:pPr>
              <w:jc w:val="right"/>
              <w:ind w:right="57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57,584</w:t>
            </w:r>
          </w:p>
        </w:tc>
        <w:tc>
          <w:tcPr>
            <w:tcW w:w="8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7" w:lineRule="exact"/>
        <w:rPr>
          <w:sz w:val="20"/>
          <w:szCs w:val="20"/>
          <w:color w:val="auto"/>
        </w:rPr>
      </w:pPr>
    </w:p>
    <w:p>
      <w:pPr>
        <w:ind w:left="560" w:hanging="552"/>
        <w:spacing w:after="0"/>
        <w:tabs>
          <w:tab w:leader="none" w:pos="560" w:val="left"/>
        </w:tabs>
        <w:numPr>
          <w:ilvl w:val="0"/>
          <w:numId w:val="5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GOODWILL AND INTANGIBLE ASSETS</w:t>
      </w:r>
    </w:p>
    <w:p>
      <w:pPr>
        <w:spacing w:after="0" w:line="128" w:lineRule="exact"/>
        <w:rPr>
          <w:rFonts w:ascii="Times New Roman" w:cs="Times New Roman" w:eastAsia="Times New Roman" w:hAnsi="Times New Roman"/>
          <w:sz w:val="16"/>
          <w:szCs w:val="16"/>
          <w:b w:val="1"/>
          <w:bCs w:val="1"/>
          <w:color w:val="auto"/>
        </w:rPr>
      </w:pPr>
    </w:p>
    <w:p>
      <w:pPr>
        <w:ind w:left="5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Goodwill and intangible assets are primarily the result of business acquisitions.</w:t>
      </w:r>
    </w:p>
    <w:p>
      <w:pPr>
        <w:spacing w:after="0" w:line="126" w:lineRule="exact"/>
        <w:rPr>
          <w:rFonts w:ascii="Times New Roman" w:cs="Times New Roman" w:eastAsia="Times New Roman" w:hAnsi="Times New Roman"/>
          <w:sz w:val="16"/>
          <w:szCs w:val="16"/>
          <w:b w:val="1"/>
          <w:bCs w:val="1"/>
          <w:color w:val="auto"/>
        </w:rPr>
      </w:pPr>
    </w:p>
    <w:p>
      <w:pPr>
        <w:ind w:left="5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performs its annual impairment assessment of goodwill and indefinite life intangible assets as of November 30 of each year.</w:t>
      </w:r>
    </w:p>
    <w:p>
      <w:pPr>
        <w:spacing w:after="0" w:line="126" w:lineRule="exact"/>
        <w:rPr>
          <w:rFonts w:ascii="Times New Roman" w:cs="Times New Roman" w:eastAsia="Times New Roman" w:hAnsi="Times New Roman"/>
          <w:sz w:val="16"/>
          <w:szCs w:val="16"/>
          <w:b w:val="1"/>
          <w:bCs w:val="1"/>
          <w:color w:val="auto"/>
        </w:rPr>
      </w:pPr>
    </w:p>
    <w:p>
      <w:pPr>
        <w:ind w:left="560" w:right="540"/>
        <w:spacing w:after="0" w:line="29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During the year ended December 31, 2023, the Company's China reporting unit experienced adverse impacts as a result of changes in market conditions and increases in interest rates which contributed to reduced forecasted revenues and reduced projected future cash flows.</w:t>
      </w:r>
    </w:p>
    <w:p>
      <w:pPr>
        <w:spacing w:after="0" w:line="56" w:lineRule="exact"/>
        <w:rPr>
          <w:rFonts w:ascii="Times New Roman" w:cs="Times New Roman" w:eastAsia="Times New Roman" w:hAnsi="Times New Roman"/>
          <w:sz w:val="16"/>
          <w:szCs w:val="16"/>
          <w:b w:val="1"/>
          <w:bCs w:val="1"/>
          <w:color w:val="auto"/>
        </w:rPr>
      </w:pPr>
    </w:p>
    <w:p>
      <w:pPr>
        <w:ind w:left="560" w:right="160"/>
        <w:spacing w:after="0" w:line="27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a result of these adverse impacts, the Company performed an interim quantitative assessment of goodwill impairment by comparing the fair value of its China reporting unit to its carrying value, including goodwill. When performing the assessment, the Company determined the fair value of its China reporting unit based on forecasted future cash flows. Based on the Company's forecast of the future cash flows of its China reporting unit, it was determined the carrying value of goodwill for its China reporting unit was impaired and the Company recorded a goodwill impairment charge of $77.4 million during the three months ended June 30, 2023.</w:t>
      </w:r>
    </w:p>
    <w:p>
      <w:pPr>
        <w:spacing w:after="0" w:line="77" w:lineRule="exact"/>
        <w:rPr>
          <w:rFonts w:ascii="Times New Roman" w:cs="Times New Roman" w:eastAsia="Times New Roman" w:hAnsi="Times New Roman"/>
          <w:sz w:val="16"/>
          <w:szCs w:val="16"/>
          <w:b w:val="1"/>
          <w:bCs w:val="1"/>
          <w:color w:val="auto"/>
        </w:rPr>
      </w:pPr>
    </w:p>
    <w:p>
      <w:pPr>
        <w:ind w:left="560" w:right="20"/>
        <w:spacing w:after="0" w:line="27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used a quantitative approach to measure the fair value of its China reporting unit using a discounted cash flow approach, which is a Level 3 measurement. The discounted cash flow analysis requires significant judgments, including estimates of future cash flows, which are dependent on internal forecasts and determination of the Company’s weighted average cost of capital, which is risk-adjusted to reflect the specific risk profile of the reporting unit being tested. The weighted average cost of capital used for the China reporting unit in the Company’s analysis was 12.5%.</w:t>
      </w:r>
    </w:p>
    <w:p>
      <w:pPr>
        <w:spacing w:after="0" w:line="74" w:lineRule="exact"/>
        <w:rPr>
          <w:rFonts w:ascii="Times New Roman" w:cs="Times New Roman" w:eastAsia="Times New Roman" w:hAnsi="Times New Roman"/>
          <w:sz w:val="16"/>
          <w:szCs w:val="16"/>
          <w:b w:val="1"/>
          <w:bCs w:val="1"/>
          <w:color w:val="auto"/>
        </w:rPr>
      </w:pPr>
    </w:p>
    <w:p>
      <w:pPr>
        <w:ind w:left="560"/>
        <w:spacing w:after="0" w:line="269"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During the year ended December 31, 2023, the Company performed a qualitative assessment for its remaining reporting unit with goodwill and its trademark indefinite life intangible assets. For the qualitative analysis performed as of November 30, 2023, the Company assessed several events and circumstances that could affect the significant inputs used to determine the fair values of the reporting unit and trademarks, including the significance of the amount of excess fair value over carrying value, consistency of operating margins and cash flows, budgeted-to-actual performance from prior year, no significant changes to projected forecasts, overall change in economic climate, changes in the industry and competitive environment, key management turnover, and earnings quality and sustainability. There were no unanticipated changes or negative indicators in the above qualitative factors that would impact the fair values as of the annual impairment date. As such, the Company determined there were no indicators of impairment and that it is more likely than not that the fair value of the reporting unit and trademarks are greater than their carrying values and therefore performing the next step of the impairment test was unnecessary.</w:t>
      </w:r>
    </w:p>
    <w:p>
      <w:pPr>
        <w:spacing w:after="0" w:line="78" w:lineRule="exact"/>
        <w:rPr>
          <w:rFonts w:ascii="Times New Roman" w:cs="Times New Roman" w:eastAsia="Times New Roman" w:hAnsi="Times New Roman"/>
          <w:sz w:val="16"/>
          <w:szCs w:val="16"/>
          <w:b w:val="1"/>
          <w:bCs w:val="1"/>
          <w:color w:val="auto"/>
        </w:rPr>
      </w:pPr>
    </w:p>
    <w:p>
      <w:pPr>
        <w:ind w:left="560" w:right="160"/>
        <w:spacing w:after="0" w:line="29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For the years ended December 31, 2022 and 2021 the Company performed a quantitative impairment test which indicated no impairment and there was no change to the carrying amount of goodwill or trademarks due to impairment.</w:t>
      </w:r>
    </w:p>
    <w:p>
      <w:pPr>
        <w:spacing w:after="0" w:line="56" w:lineRule="exact"/>
        <w:rPr>
          <w:rFonts w:ascii="Times New Roman" w:cs="Times New Roman" w:eastAsia="Times New Roman" w:hAnsi="Times New Roman"/>
          <w:sz w:val="16"/>
          <w:szCs w:val="16"/>
          <w:b w:val="1"/>
          <w:bCs w:val="1"/>
          <w:color w:val="auto"/>
        </w:rPr>
      </w:pPr>
    </w:p>
    <w:p>
      <w:pPr>
        <w:ind w:left="560" w:right="720"/>
        <w:spacing w:after="0" w:line="29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following table presents the gross amount, accumulated impairment loss, and net carrying amount of goodwill as of December 31, 2023 and 2022 (in thousands):</w:t>
      </w:r>
    </w:p>
    <w:p>
      <w:pPr>
        <w:spacing w:after="0" w:line="68" w:lineRule="exact"/>
        <w:rPr>
          <w:sz w:val="20"/>
          <w:szCs w:val="20"/>
          <w:color w:val="auto"/>
        </w:rPr>
      </w:pPr>
    </w:p>
    <w:tbl>
      <w:tblPr>
        <w:tblLayout w:type="fixed"/>
        <w:tblInd w:w="56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800"/>
              <w:spacing w:after="0"/>
              <w:rPr>
                <w:sz w:val="20"/>
                <w:szCs w:val="20"/>
                <w:color w:val="auto"/>
              </w:rPr>
            </w:pPr>
            <w:r>
              <w:rPr>
                <w:rFonts w:ascii="Times New Roman" w:cs="Times New Roman" w:eastAsia="Times New Roman" w:hAnsi="Times New Roman"/>
                <w:sz w:val="16"/>
                <w:szCs w:val="16"/>
                <w:b w:val="1"/>
                <w:bCs w:val="1"/>
                <w:color w:val="auto"/>
              </w:rPr>
              <w:t>Net</w:t>
            </w:r>
          </w:p>
        </w:tc>
      </w:tr>
      <w:tr>
        <w:trPr>
          <w:trHeight w:val="243"/>
        </w:trPr>
        <w:tc>
          <w:tcPr>
            <w:tcW w:w="20" w:type="dxa"/>
            <w:vAlign w:val="bottom"/>
          </w:tcPr>
          <w:p>
            <w:pPr>
              <w:spacing w:after="0"/>
              <w:rPr>
                <w:sz w:val="21"/>
                <w:szCs w:val="21"/>
                <w:color w:val="auto"/>
              </w:rPr>
            </w:pPr>
          </w:p>
        </w:tc>
        <w:tc>
          <w:tcPr>
            <w:tcW w:w="48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Gross Amount</w:t>
            </w:r>
          </w:p>
        </w:tc>
        <w:tc>
          <w:tcPr>
            <w:tcW w:w="3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Impairment Loss</w:t>
            </w: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100" w:type="dxa"/>
            <w:vAlign w:val="bottom"/>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8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Balance as of December 31, 2023</w:t>
            </w: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1,520,926</w:t>
            </w: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(103,202 )</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1,417,724</w:t>
            </w:r>
          </w:p>
        </w:tc>
        <w:tc>
          <w:tcPr>
            <w:tcW w:w="100" w:type="dxa"/>
            <w:vAlign w:val="bottom"/>
            <w:shd w:val="clear" w:color="auto" w:fill="CFF0FC"/>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Balance as of December 31, 2022</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1,520,926</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(25,797 )</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1,495,129</w:t>
            </w:r>
          </w:p>
        </w:tc>
        <w:tc>
          <w:tcPr>
            <w:tcW w:w="100" w:type="dxa"/>
            <w:vAlign w:val="bottom"/>
          </w:tcPr>
          <w:p>
            <w:pPr>
              <w:spacing w:after="0"/>
              <w:rPr>
                <w:sz w:val="18"/>
                <w:szCs w:val="18"/>
                <w:color w:val="auto"/>
              </w:rPr>
            </w:pPr>
          </w:p>
        </w:tc>
      </w:tr>
      <w:tr>
        <w:trPr>
          <w:trHeight w:val="324"/>
        </w:trPr>
        <w:tc>
          <w:tcPr>
            <w:tcW w:w="888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The accumulated impairment loss as of December 31, 2022 was recognized during the year ended December 31, 2019.</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0"/>
        </w:trPr>
        <w:tc>
          <w:tcPr>
            <w:tcW w:w="888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Changes in the net carrying amount of goodwill were as follows during the year ended December 31, 2022 (in thousands):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Net Carrying</w:t>
            </w:r>
          </w:p>
        </w:tc>
      </w:tr>
      <w:tr>
        <w:trPr>
          <w:trHeight w:val="243"/>
        </w:trPr>
        <w:tc>
          <w:tcPr>
            <w:tcW w:w="20" w:type="dxa"/>
            <w:vAlign w:val="bottom"/>
          </w:tcPr>
          <w:p>
            <w:pPr>
              <w:spacing w:after="0"/>
              <w:rPr>
                <w:sz w:val="21"/>
                <w:szCs w:val="21"/>
                <w:color w:val="auto"/>
              </w:rPr>
            </w:pPr>
          </w:p>
        </w:tc>
        <w:tc>
          <w:tcPr>
            <w:tcW w:w="4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29"/>
        </w:trPr>
        <w:tc>
          <w:tcPr>
            <w:tcW w:w="20" w:type="dxa"/>
            <w:vAlign w:val="bottom"/>
          </w:tcPr>
          <w:p>
            <w:pPr>
              <w:spacing w:after="0"/>
              <w:rPr>
                <w:sz w:val="19"/>
                <w:szCs w:val="19"/>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as of December 31, 2021</w:t>
            </w: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tcBorders>
              <w:top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1,466,884</w:t>
            </w:r>
          </w:p>
        </w:tc>
        <w:tc>
          <w:tcPr>
            <w:tcW w:w="10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Acquisition of Safekeep, Inc.</w:t>
            </w: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28,245</w:t>
            </w:r>
          </w:p>
        </w:tc>
        <w:tc>
          <w:tcPr>
            <w:tcW w:w="1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as of December 31, 2022</w:t>
            </w: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1,495,129</w:t>
            </w:r>
          </w:p>
        </w:tc>
        <w:tc>
          <w:tcPr>
            <w:tcW w:w="10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Impairment</w:t>
            </w: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(77,405 )</w:t>
            </w:r>
          </w:p>
        </w:tc>
      </w:tr>
      <w:tr>
        <w:trPr>
          <w:trHeight w:val="263"/>
        </w:trPr>
        <w:tc>
          <w:tcPr>
            <w:tcW w:w="20" w:type="dxa"/>
            <w:vAlign w:val="bottom"/>
          </w:tcPr>
          <w:p>
            <w:pPr>
              <w:spacing w:after="0"/>
              <w:rPr>
                <w:sz w:val="22"/>
                <w:szCs w:val="22"/>
                <w:color w:val="auto"/>
              </w:rPr>
            </w:pPr>
          </w:p>
        </w:tc>
        <w:tc>
          <w:tcPr>
            <w:tcW w:w="4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as of December 31, 2023</w:t>
            </w:r>
          </w:p>
        </w:tc>
        <w:tc>
          <w:tcPr>
            <w:tcW w:w="200" w:type="dxa"/>
            <w:vAlign w:val="bottom"/>
            <w:tcBorders>
              <w:bottom w:val="single" w:sz="8" w:color="CFF0FC"/>
            </w:tcBorders>
            <w:shd w:val="clear" w:color="auto" w:fill="CFF0FC"/>
          </w:tcPr>
          <w:p>
            <w:pPr>
              <w:spacing w:after="0"/>
              <w:rPr>
                <w:sz w:val="22"/>
                <w:szCs w:val="22"/>
                <w:color w:val="auto"/>
              </w:rPr>
            </w:pPr>
          </w:p>
        </w:tc>
        <w:tc>
          <w:tcPr>
            <w:tcW w:w="146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15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top w:val="single" w:sz="8" w:color="auto"/>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1,417,724</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intangible assets balance as of December 31, 2023, is reflected below (in thousands):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1" w:right="339" w:bottom="1440" w:gutter="0" w:footer="0" w:header="0"/>
        </w:sectPr>
      </w:pPr>
    </w:p>
    <w:bookmarkStart w:id="80" w:name="page81"/>
    <w:bookmarkEnd w:id="80"/>
    <w:tbl>
      <w:tblPr>
        <w:tblLayout w:type="fixed"/>
        <w:tblInd w:w="580" w:type="dxa"/>
        <w:tblCellMar>
          <w:top w:w="0" w:type="dxa"/>
          <w:left w:w="0" w:type="dxa"/>
          <w:bottom w:w="0" w:type="dxa"/>
          <w:right w:w="0" w:type="dxa"/>
        </w:tblCellMar>
      </w:tblPr>
      <w:tr>
        <w:trPr>
          <w:trHeight w:val="212"/>
        </w:trPr>
        <w:tc>
          <w:tcPr>
            <w:tcW w:w="2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26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262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Net</w:t>
            </w:r>
          </w:p>
        </w:tc>
      </w:tr>
      <w:tr>
        <w:trPr>
          <w:trHeight w:val="230"/>
        </w:trPr>
        <w:tc>
          <w:tcPr>
            <w:tcW w:w="262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Useful Life</w:t>
            </w: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Useful Life</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60" w:type="dxa"/>
            <w:vAlign w:val="bottom"/>
          </w:tcPr>
          <w:p>
            <w:pPr>
              <w:spacing w:after="0"/>
              <w:rPr>
                <w:sz w:val="19"/>
                <w:szCs w:val="19"/>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Carrying</w:t>
            </w:r>
          </w:p>
        </w:tc>
      </w:tr>
      <w:tr>
        <w:trPr>
          <w:trHeight w:val="242"/>
        </w:trPr>
        <w:tc>
          <w:tcPr>
            <w:tcW w:w="26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60" w:type="dxa"/>
            <w:vAlign w:val="bottom"/>
          </w:tcPr>
          <w:p>
            <w:pPr>
              <w:spacing w:after="0"/>
              <w:rPr>
                <w:sz w:val="21"/>
                <w:szCs w:val="21"/>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30"/>
        </w:trPr>
        <w:tc>
          <w:tcPr>
            <w:tcW w:w="262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2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Customer relationships</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16–18</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1,291,830</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(479,054 )</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812,776</w:t>
            </w:r>
          </w:p>
        </w:tc>
        <w:tc>
          <w:tcPr>
            <w:tcW w:w="100" w:type="dxa"/>
            <w:vAlign w:val="bottom"/>
          </w:tcPr>
          <w:p>
            <w:pPr>
              <w:spacing w:after="0"/>
              <w:rPr>
                <w:sz w:val="19"/>
                <w:szCs w:val="19"/>
                <w:color w:val="auto"/>
              </w:rPr>
            </w:pPr>
          </w:p>
        </w:tc>
      </w:tr>
      <w:tr>
        <w:trPr>
          <w:trHeight w:val="236"/>
        </w:trPr>
        <w:tc>
          <w:tcPr>
            <w:tcW w:w="2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Acquired technologies</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3–7</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184,640</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(172,840 )</w:t>
            </w:r>
          </w:p>
        </w:tc>
        <w:tc>
          <w:tcPr>
            <w:tcW w:w="26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11,800</w:t>
            </w:r>
          </w:p>
        </w:tc>
        <w:tc>
          <w:tcPr>
            <w:tcW w:w="100" w:type="dxa"/>
            <w:vAlign w:val="bottom"/>
            <w:shd w:val="clear" w:color="auto" w:fill="CFF0FC"/>
          </w:tcPr>
          <w:p>
            <w:pPr>
              <w:spacing w:after="0"/>
              <w:rPr>
                <w:sz w:val="20"/>
                <w:szCs w:val="20"/>
                <w:color w:val="auto"/>
              </w:rPr>
            </w:pPr>
          </w:p>
        </w:tc>
      </w:tr>
      <w:tr>
        <w:trPr>
          <w:trHeight w:val="20"/>
        </w:trPr>
        <w:tc>
          <w:tcPr>
            <w:tcW w:w="2620" w:type="dxa"/>
            <w:vAlign w:val="bottom"/>
            <w:shd w:val="clear" w:color="auto" w:fill="CFF0FC"/>
          </w:tcPr>
          <w:p>
            <w:pPr>
              <w:spacing w:after="0" w:line="20" w:lineRule="exact"/>
              <w:rPr>
                <w:sz w:val="1"/>
                <w:szCs w:val="1"/>
                <w:color w:val="auto"/>
              </w:rPr>
            </w:pPr>
          </w:p>
        </w:tc>
        <w:tc>
          <w:tcPr>
            <w:tcW w:w="12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3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6"/>
        </w:trPr>
        <w:tc>
          <w:tcPr>
            <w:tcW w:w="26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Subtotal</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1,476,470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(651,894 )</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824,576</w:t>
            </w:r>
          </w:p>
        </w:tc>
        <w:tc>
          <w:tcPr>
            <w:tcW w:w="100" w:type="dxa"/>
            <w:vAlign w:val="bottom"/>
          </w:tcPr>
          <w:p>
            <w:pPr>
              <w:spacing w:after="0"/>
              <w:rPr>
                <w:sz w:val="18"/>
                <w:szCs w:val="18"/>
                <w:color w:val="auto"/>
              </w:rPr>
            </w:pPr>
          </w:p>
        </w:tc>
      </w:tr>
      <w:tr>
        <w:trPr>
          <w:trHeight w:val="236"/>
        </w:trPr>
        <w:tc>
          <w:tcPr>
            <w:tcW w:w="26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Trademarks—indefinite life</w:t>
            </w:r>
          </w:p>
        </w:tc>
        <w:tc>
          <w:tcPr>
            <w:tcW w:w="12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190,470</w:t>
            </w: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190,470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2620" w:type="dxa"/>
            <w:vAlign w:val="bottom"/>
          </w:tcPr>
          <w:p>
            <w:pPr>
              <w:spacing w:after="0"/>
              <w:rPr>
                <w:sz w:val="20"/>
                <w:szCs w:val="20"/>
                <w:color w:val="auto"/>
              </w:rPr>
            </w:pPr>
            <w:r>
              <w:rPr>
                <w:rFonts w:ascii="Times New Roman" w:cs="Times New Roman" w:eastAsia="Times New Roman" w:hAnsi="Times New Roman"/>
                <w:sz w:val="16"/>
                <w:szCs w:val="16"/>
                <w:color w:val="auto"/>
              </w:rPr>
              <w:t>Total intangible assets</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1,666,940</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(651,894 )</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1,015,046</w:t>
            </w:r>
          </w:p>
        </w:tc>
        <w:tc>
          <w:tcPr>
            <w:tcW w:w="100" w:type="dxa"/>
            <w:vAlign w:val="bottom"/>
          </w:tcPr>
          <w:p>
            <w:pPr>
              <w:spacing w:after="0"/>
              <w:rPr>
                <w:sz w:val="19"/>
                <w:szCs w:val="19"/>
                <w:color w:val="auto"/>
              </w:rPr>
            </w:pPr>
          </w:p>
        </w:tc>
      </w:tr>
      <w:tr>
        <w:trPr>
          <w:trHeight w:val="20"/>
        </w:trPr>
        <w:tc>
          <w:tcPr>
            <w:tcW w:w="2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-479425</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-479425</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-479425</wp:posOffset>
            </wp:positionV>
            <wp:extent cx="5969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-179070</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-179070</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-179070</wp:posOffset>
            </wp:positionV>
            <wp:extent cx="5969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intangible assets balance as of December 31, 2022, is reflected below (in thousands):</w:t>
      </w:r>
    </w:p>
    <w:p>
      <w:pPr>
        <w:spacing w:after="0" w:line="138" w:lineRule="exact"/>
        <w:rPr>
          <w:sz w:val="20"/>
          <w:szCs w:val="20"/>
          <w:color w:val="auto"/>
        </w:rPr>
      </w:pPr>
    </w:p>
    <w:tbl>
      <w:tblPr>
        <w:tblLayout w:type="fixed"/>
        <w:tblInd w:w="580" w:type="dxa"/>
        <w:tblCellMar>
          <w:top w:w="0" w:type="dxa"/>
          <w:left w:w="0" w:type="dxa"/>
          <w:bottom w:w="0" w:type="dxa"/>
          <w:right w:w="0" w:type="dxa"/>
        </w:tblCellMar>
      </w:tblPr>
      <w:tr>
        <w:trPr>
          <w:trHeight w:val="212"/>
        </w:trPr>
        <w:tc>
          <w:tcPr>
            <w:tcW w:w="2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26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266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Net</w:t>
            </w:r>
          </w:p>
        </w:tc>
      </w:tr>
      <w:tr>
        <w:trPr>
          <w:trHeight w:val="230"/>
        </w:trPr>
        <w:tc>
          <w:tcPr>
            <w:tcW w:w="266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Useful Life</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Useful Life</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60" w:type="dxa"/>
            <w:vAlign w:val="bottom"/>
          </w:tcPr>
          <w:p>
            <w:pPr>
              <w:spacing w:after="0"/>
              <w:rPr>
                <w:sz w:val="19"/>
                <w:szCs w:val="19"/>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Carrying</w:t>
            </w:r>
          </w:p>
        </w:tc>
      </w:tr>
      <w:tr>
        <w:trPr>
          <w:trHeight w:val="242"/>
        </w:trPr>
        <w:tc>
          <w:tcPr>
            <w:tcW w:w="266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1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gridSpan w:val="2"/>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60" w:type="dxa"/>
            <w:vAlign w:val="bottom"/>
          </w:tcPr>
          <w:p>
            <w:pPr>
              <w:spacing w:after="0"/>
              <w:rPr>
                <w:sz w:val="21"/>
                <w:szCs w:val="21"/>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Amount</w:t>
            </w:r>
          </w:p>
        </w:tc>
      </w:tr>
      <w:tr>
        <w:trPr>
          <w:trHeight w:val="230"/>
        </w:trPr>
        <w:tc>
          <w:tcPr>
            <w:tcW w:w="266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26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Customer relationships</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16–18</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1,299,750</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(410,095 )</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889,655</w:t>
            </w:r>
          </w:p>
        </w:tc>
        <w:tc>
          <w:tcPr>
            <w:tcW w:w="100" w:type="dxa"/>
            <w:vAlign w:val="bottom"/>
          </w:tcPr>
          <w:p>
            <w:pPr>
              <w:spacing w:after="0"/>
              <w:rPr>
                <w:sz w:val="19"/>
                <w:szCs w:val="19"/>
                <w:color w:val="auto"/>
              </w:rPr>
            </w:pPr>
          </w:p>
        </w:tc>
      </w:tr>
      <w:tr>
        <w:trPr>
          <w:trHeight w:val="239"/>
        </w:trPr>
        <w:tc>
          <w:tcPr>
            <w:tcW w:w="26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Acquired technologies</w:t>
            </w: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3–7</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187,950</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(149,256 )</w:t>
            </w:r>
          </w:p>
        </w:tc>
        <w:tc>
          <w:tcPr>
            <w:tcW w:w="2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38,694</w:t>
            </w:r>
          </w:p>
        </w:tc>
        <w:tc>
          <w:tcPr>
            <w:tcW w:w="100" w:type="dxa"/>
            <w:vAlign w:val="bottom"/>
            <w:shd w:val="clear" w:color="auto" w:fill="CFF0FC"/>
          </w:tcPr>
          <w:p>
            <w:pPr>
              <w:spacing w:after="0"/>
              <w:rPr>
                <w:sz w:val="20"/>
                <w:szCs w:val="20"/>
                <w:color w:val="auto"/>
              </w:rPr>
            </w:pPr>
          </w:p>
        </w:tc>
      </w:tr>
      <w:tr>
        <w:trPr>
          <w:trHeight w:val="213"/>
        </w:trPr>
        <w:tc>
          <w:tcPr>
            <w:tcW w:w="26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Subtotal</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1,487,700</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(559,351</w:t>
            </w:r>
          </w:p>
        </w:tc>
        <w:tc>
          <w:tcPr>
            <w:tcW w:w="2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928,349</w:t>
            </w:r>
          </w:p>
        </w:tc>
        <w:tc>
          <w:tcPr>
            <w:tcW w:w="100" w:type="dxa"/>
            <w:vAlign w:val="bottom"/>
          </w:tcPr>
          <w:p>
            <w:pPr>
              <w:spacing w:after="0"/>
              <w:rPr>
                <w:sz w:val="18"/>
                <w:szCs w:val="18"/>
                <w:color w:val="auto"/>
              </w:rPr>
            </w:pPr>
          </w:p>
        </w:tc>
      </w:tr>
      <w:tr>
        <w:trPr>
          <w:trHeight w:val="236"/>
        </w:trPr>
        <w:tc>
          <w:tcPr>
            <w:tcW w:w="266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Trademarks—indefinite life</w:t>
            </w:r>
          </w:p>
        </w:tc>
        <w:tc>
          <w:tcPr>
            <w:tcW w:w="13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190,470</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190,470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2660" w:type="dxa"/>
            <w:vAlign w:val="bottom"/>
          </w:tcPr>
          <w:p>
            <w:pPr>
              <w:spacing w:after="0"/>
              <w:rPr>
                <w:sz w:val="20"/>
                <w:szCs w:val="20"/>
                <w:color w:val="auto"/>
              </w:rPr>
            </w:pPr>
            <w:r>
              <w:rPr>
                <w:rFonts w:ascii="Times New Roman" w:cs="Times New Roman" w:eastAsia="Times New Roman" w:hAnsi="Times New Roman"/>
                <w:sz w:val="16"/>
                <w:szCs w:val="16"/>
                <w:color w:val="auto"/>
              </w:rPr>
              <w:t>Total intangible assets</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1,678,170</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(559,351 )</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1,118,819</w:t>
            </w:r>
          </w:p>
        </w:tc>
        <w:tc>
          <w:tcPr>
            <w:tcW w:w="100" w:type="dxa"/>
            <w:vAlign w:val="bottom"/>
          </w:tcPr>
          <w:p>
            <w:pPr>
              <w:spacing w:after="0"/>
              <w:rPr>
                <w:sz w:val="19"/>
                <w:szCs w:val="19"/>
                <w:color w:val="auto"/>
              </w:rPr>
            </w:pPr>
          </w:p>
        </w:tc>
      </w:tr>
      <w:tr>
        <w:trPr>
          <w:trHeight w:val="20"/>
        </w:trPr>
        <w:tc>
          <w:tcPr>
            <w:tcW w:w="2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-179705</wp:posOffset>
            </wp:positionV>
            <wp:extent cx="6858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-179705</wp:posOffset>
            </wp:positionV>
            <wp:extent cx="6858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-179705</wp:posOffset>
            </wp:positionV>
            <wp:extent cx="5969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74" w:lineRule="exact"/>
        <w:rPr>
          <w:sz w:val="20"/>
          <w:szCs w:val="20"/>
          <w:color w:val="auto"/>
        </w:rPr>
      </w:pPr>
    </w:p>
    <w:p>
      <w:pPr>
        <w:ind w:left="560" w:right="340"/>
        <w:spacing w:after="0" w:line="281" w:lineRule="auto"/>
        <w:rPr>
          <w:sz w:val="20"/>
          <w:szCs w:val="20"/>
          <w:color w:val="auto"/>
        </w:rPr>
      </w:pPr>
      <w:r>
        <w:rPr>
          <w:rFonts w:ascii="Times New Roman" w:cs="Times New Roman" w:eastAsia="Times New Roman" w:hAnsi="Times New Roman"/>
          <w:sz w:val="16"/>
          <w:szCs w:val="16"/>
          <w:color w:val="auto"/>
        </w:rPr>
        <w:t>During the year ended December 31, 2023, the Company recorded an impairment charge to its China reporting unit's customer relationships and acquired technologies intangible assets. The Company's forecast of the China reporting unit's expected cash flows indicated the carrying amounts of the intangible assets were not recoverable and therefore the Company recorded an impairment charge of $5.3 million.</w:t>
      </w:r>
    </w:p>
    <w:p>
      <w:pPr>
        <w:spacing w:after="0" w:line="69" w:lineRule="exact"/>
        <w:rPr>
          <w:sz w:val="20"/>
          <w:szCs w:val="20"/>
          <w:color w:val="auto"/>
        </w:rPr>
      </w:pPr>
    </w:p>
    <w:p>
      <w:pPr>
        <w:ind w:left="560" w:right="340"/>
        <w:spacing w:after="0" w:line="298" w:lineRule="auto"/>
        <w:rPr>
          <w:sz w:val="20"/>
          <w:szCs w:val="20"/>
          <w:color w:val="auto"/>
        </w:rPr>
      </w:pPr>
      <w:r>
        <w:rPr>
          <w:rFonts w:ascii="Times New Roman" w:cs="Times New Roman" w:eastAsia="Times New Roman" w:hAnsi="Times New Roman"/>
          <w:sz w:val="16"/>
          <w:szCs w:val="16"/>
          <w:color w:val="auto"/>
        </w:rPr>
        <w:t>As a result of the impairment charge, the Company recorded a write off of the gross carrying amount and accumulated amortization of the associated intangible assets during the year ended December 31, 2023.</w:t>
      </w:r>
    </w:p>
    <w:p>
      <w:pPr>
        <w:spacing w:after="0" w:line="5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No intangible asset impairments were recorded during the years ended December 31, 2022 and 2021.</w:t>
      </w:r>
    </w:p>
    <w:p>
      <w:pPr>
        <w:spacing w:after="0" w:line="1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During February 2022, the Company recorded $4.8 million of acquired technology intangible assets as a result of the acquisition of Safekeep (see Note 4).</w:t>
      </w:r>
    </w:p>
    <w:p>
      <w:pPr>
        <w:spacing w:after="0" w:line="1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Amortization expense for intangible assets was $98.4 million, $99.2 million and $98.7 million for the years ended December 31, 2023, 2022 and 2021, respectively.</w:t>
      </w:r>
    </w:p>
    <w:p>
      <w:pPr>
        <w:spacing w:after="0" w:line="1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Future amortization expense for each of the next five years and thereafter for intangible assets as of December 31, 2023, is as follows (in thousands):</w:t>
      </w:r>
    </w:p>
    <w:p>
      <w:pPr>
        <w:spacing w:after="0" w:line="273" w:lineRule="exact"/>
        <w:rPr>
          <w:sz w:val="20"/>
          <w:szCs w:val="20"/>
          <w:color w:val="auto"/>
        </w:rPr>
      </w:pPr>
    </w:p>
    <w:tbl>
      <w:tblPr>
        <w:tblLayout w:type="fixed"/>
        <w:tblInd w:w="2260" w:type="dxa"/>
        <w:tblCellMar>
          <w:top w:w="0" w:type="dxa"/>
          <w:left w:w="0" w:type="dxa"/>
          <w:bottom w:w="0" w:type="dxa"/>
          <w:right w:w="0" w:type="dxa"/>
        </w:tblCellMar>
      </w:tblPr>
      <w:tr>
        <w:trPr>
          <w:trHeight w:val="222"/>
        </w:trPr>
        <w:tc>
          <w:tcPr>
            <w:tcW w:w="5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Years Ending December 31:</w:t>
            </w: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9"/>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2024</w:t>
            </w: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80,768</w:t>
            </w:r>
          </w:p>
        </w:tc>
        <w:tc>
          <w:tcPr>
            <w:tcW w:w="60" w:type="dxa"/>
            <w:vAlign w:val="bottom"/>
            <w:shd w:val="clear" w:color="auto" w:fill="CFF0FC"/>
          </w:tcPr>
          <w:p>
            <w:pPr>
              <w:spacing w:after="0"/>
              <w:rPr>
                <w:sz w:val="20"/>
                <w:szCs w:val="20"/>
                <w:color w:val="auto"/>
              </w:rPr>
            </w:pPr>
          </w:p>
        </w:tc>
      </w:tr>
      <w:tr>
        <w:trPr>
          <w:trHeight w:val="220"/>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2025</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72,454</w:t>
            </w:r>
          </w:p>
        </w:tc>
        <w:tc>
          <w:tcPr>
            <w:tcW w:w="60" w:type="dxa"/>
            <w:vAlign w:val="bottom"/>
          </w:tcPr>
          <w:p>
            <w:pPr>
              <w:spacing w:after="0"/>
              <w:rPr>
                <w:sz w:val="19"/>
                <w:szCs w:val="19"/>
                <w:color w:val="auto"/>
              </w:rPr>
            </w:pPr>
          </w:p>
        </w:tc>
      </w:tr>
      <w:tr>
        <w:trPr>
          <w:trHeight w:val="239"/>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2026</w:t>
            </w:r>
          </w:p>
        </w:tc>
        <w:tc>
          <w:tcPr>
            <w:tcW w:w="3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72,454</w:t>
            </w:r>
          </w:p>
        </w:tc>
        <w:tc>
          <w:tcPr>
            <w:tcW w:w="60" w:type="dxa"/>
            <w:vAlign w:val="bottom"/>
            <w:shd w:val="clear" w:color="auto" w:fill="CFF0FC"/>
          </w:tcPr>
          <w:p>
            <w:pPr>
              <w:spacing w:after="0"/>
              <w:rPr>
                <w:sz w:val="20"/>
                <w:szCs w:val="20"/>
                <w:color w:val="auto"/>
              </w:rPr>
            </w:pPr>
          </w:p>
        </w:tc>
      </w:tr>
      <w:tr>
        <w:trPr>
          <w:trHeight w:val="220"/>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72,454</w:t>
            </w:r>
          </w:p>
        </w:tc>
        <w:tc>
          <w:tcPr>
            <w:tcW w:w="60" w:type="dxa"/>
            <w:vAlign w:val="bottom"/>
          </w:tcPr>
          <w:p>
            <w:pPr>
              <w:spacing w:after="0"/>
              <w:rPr>
                <w:sz w:val="19"/>
                <w:szCs w:val="19"/>
                <w:color w:val="auto"/>
              </w:rPr>
            </w:pPr>
          </w:p>
        </w:tc>
      </w:tr>
      <w:tr>
        <w:trPr>
          <w:trHeight w:val="239"/>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2028</w:t>
            </w:r>
          </w:p>
        </w:tc>
        <w:tc>
          <w:tcPr>
            <w:tcW w:w="3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72,454</w:t>
            </w:r>
          </w:p>
        </w:tc>
        <w:tc>
          <w:tcPr>
            <w:tcW w:w="60" w:type="dxa"/>
            <w:vAlign w:val="bottom"/>
            <w:shd w:val="clear" w:color="auto" w:fill="CFF0FC"/>
          </w:tcPr>
          <w:p>
            <w:pPr>
              <w:spacing w:after="0"/>
              <w:rPr>
                <w:sz w:val="20"/>
                <w:szCs w:val="20"/>
                <w:color w:val="auto"/>
              </w:rPr>
            </w:pPr>
          </w:p>
        </w:tc>
      </w:tr>
      <w:tr>
        <w:trPr>
          <w:trHeight w:val="227"/>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453,992</w:t>
            </w:r>
          </w:p>
        </w:tc>
        <w:tc>
          <w:tcPr>
            <w:tcW w:w="60" w:type="dxa"/>
            <w:vAlign w:val="bottom"/>
          </w:tcPr>
          <w:p>
            <w:pPr>
              <w:spacing w:after="0"/>
              <w:rPr>
                <w:sz w:val="19"/>
                <w:szCs w:val="19"/>
                <w:color w:val="auto"/>
              </w:rPr>
            </w:pPr>
          </w:p>
        </w:tc>
      </w:tr>
      <w:tr>
        <w:trPr>
          <w:trHeight w:val="266"/>
        </w:trPr>
        <w:tc>
          <w:tcPr>
            <w:tcW w:w="5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32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824,576</w:t>
            </w:r>
          </w:p>
        </w:tc>
        <w:tc>
          <w:tcPr>
            <w:tcW w:w="6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-24765</wp:posOffset>
            </wp:positionV>
            <wp:extent cx="3429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3429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88" w:lineRule="exact"/>
        <w:rPr>
          <w:sz w:val="20"/>
          <w:szCs w:val="20"/>
          <w:color w:val="auto"/>
        </w:rPr>
      </w:pPr>
    </w:p>
    <w:p>
      <w:pPr>
        <w:ind w:left="560" w:hanging="552"/>
        <w:spacing w:after="0"/>
        <w:tabs>
          <w:tab w:leader="none" w:pos="560" w:val="left"/>
        </w:tabs>
        <w:numPr>
          <w:ilvl w:val="0"/>
          <w:numId w:val="5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EQUITY METHOD INVESTMENT</w:t>
      </w:r>
    </w:p>
    <w:p>
      <w:pPr>
        <w:spacing w:after="0" w:line="128" w:lineRule="exact"/>
        <w:rPr>
          <w:rFonts w:ascii="Times New Roman" w:cs="Times New Roman" w:eastAsia="Times New Roman" w:hAnsi="Times New Roman"/>
          <w:sz w:val="16"/>
          <w:szCs w:val="16"/>
          <w:b w:val="1"/>
          <w:bCs w:val="1"/>
          <w:color w:val="auto"/>
        </w:rPr>
      </w:pPr>
    </w:p>
    <w:p>
      <w:pPr>
        <w:ind w:left="560" w:right="580"/>
        <w:spacing w:after="0" w:line="29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maintains an investment in a limited partnership (the “Investee”), which is affiliated with one of the Company’s principal equity owners. The Company invested $10.2 million, including related fees and expenses, for an approximate 7% interest of the Investee.</w:t>
      </w:r>
    </w:p>
    <w:p>
      <w:pPr>
        <w:spacing w:after="0" w:line="56" w:lineRule="exact"/>
        <w:rPr>
          <w:rFonts w:ascii="Times New Roman" w:cs="Times New Roman" w:eastAsia="Times New Roman" w:hAnsi="Times New Roman"/>
          <w:sz w:val="16"/>
          <w:szCs w:val="16"/>
          <w:b w:val="1"/>
          <w:bCs w:val="1"/>
          <w:color w:val="auto"/>
        </w:rPr>
      </w:pPr>
    </w:p>
    <w:p>
      <w:pPr>
        <w:ind w:left="560" w:right="360"/>
        <w:spacing w:after="0" w:line="29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Since the Company's investment in June 2021, the Investee has not recognized any income or loss, thus there have been no changes to the carrying value of the Company's equity method investment and the investment is recorded at $10.2 million as of December 31, 2023 and 2022 on the consolidated balance sheets.</w:t>
      </w:r>
    </w:p>
    <w:p>
      <w:pPr>
        <w:spacing w:after="0" w:line="162" w:lineRule="exact"/>
        <w:rPr>
          <w:rFonts w:ascii="Times New Roman" w:cs="Times New Roman" w:eastAsia="Times New Roman" w:hAnsi="Times New Roman"/>
          <w:sz w:val="16"/>
          <w:szCs w:val="16"/>
          <w:b w:val="1"/>
          <w:bCs w:val="1"/>
          <w:color w:val="auto"/>
        </w:rPr>
      </w:pPr>
    </w:p>
    <w:p>
      <w:pPr>
        <w:ind w:left="560" w:hanging="552"/>
        <w:spacing w:after="0"/>
        <w:tabs>
          <w:tab w:leader="none" w:pos="560" w:val="left"/>
        </w:tabs>
        <w:numPr>
          <w:ilvl w:val="0"/>
          <w:numId w:val="5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ACCRUED EXPENSES</w:t>
      </w:r>
    </w:p>
    <w:p>
      <w:pPr>
        <w:spacing w:after="0" w:line="128" w:lineRule="exact"/>
        <w:rPr>
          <w:rFonts w:ascii="Times New Roman" w:cs="Times New Roman" w:eastAsia="Times New Roman" w:hAnsi="Times New Roman"/>
          <w:sz w:val="16"/>
          <w:szCs w:val="16"/>
          <w:b w:val="1"/>
          <w:bCs w:val="1"/>
          <w:color w:val="auto"/>
        </w:rPr>
      </w:pPr>
    </w:p>
    <w:p>
      <w:pPr>
        <w:ind w:left="5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Accrued expenses as of December 31, 2023 and 2022, consist of the following (in thousands):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1" w:right="339" w:bottom="1440" w:gutter="0" w:footer="0" w:header="0"/>
        </w:sectPr>
      </w:pPr>
    </w:p>
    <w:bookmarkStart w:id="81" w:name="page82"/>
    <w:bookmarkEnd w:id="81"/>
    <w:tbl>
      <w:tblPr>
        <w:tblLayout w:type="fixed"/>
        <w:tblInd w:w="580" w:type="dxa"/>
        <w:tblCellMar>
          <w:top w:w="0" w:type="dxa"/>
          <w:left w:w="0" w:type="dxa"/>
          <w:bottom w:w="0" w:type="dxa"/>
          <w:right w:w="0" w:type="dxa"/>
        </w:tblCellMar>
      </w:tblPr>
      <w:tr>
        <w:trPr>
          <w:trHeight w:val="225"/>
        </w:trPr>
        <w:tc>
          <w:tcPr>
            <w:tcW w:w="682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820" w:type="dxa"/>
            <w:vAlign w:val="bottom"/>
          </w:tcPr>
          <w:p>
            <w:pPr>
              <w:spacing w:after="0"/>
              <w:rPr>
                <w:sz w:val="19"/>
                <w:szCs w:val="19"/>
                <w:color w:val="auto"/>
              </w:rPr>
            </w:pP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56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r>
      <w:tr>
        <w:trPr>
          <w:trHeight w:val="230"/>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Compensation</w:t>
            </w:r>
          </w:p>
        </w:tc>
        <w:tc>
          <w:tcPr>
            <w:tcW w:w="110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54,593</w:t>
            </w:r>
          </w:p>
        </w:tc>
        <w:tc>
          <w:tcPr>
            <w:tcW w:w="8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53,530</w:t>
            </w:r>
          </w:p>
        </w:tc>
        <w:tc>
          <w:tcPr>
            <w:tcW w:w="100" w:type="dxa"/>
            <w:vAlign w:val="bottom"/>
            <w:shd w:val="clear" w:color="auto" w:fill="CFF0FC"/>
          </w:tcPr>
          <w:p>
            <w:pPr>
              <w:spacing w:after="0"/>
              <w:rPr>
                <w:sz w:val="19"/>
                <w:szCs w:val="19"/>
                <w:color w:val="auto"/>
              </w:rPr>
            </w:pPr>
          </w:p>
        </w:tc>
      </w:tr>
      <w:tr>
        <w:trPr>
          <w:trHeight w:val="220"/>
        </w:trPr>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Royalties and licenses</w:t>
            </w:r>
          </w:p>
        </w:tc>
        <w:tc>
          <w:tcPr>
            <w:tcW w:w="1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4,381</w:t>
            </w: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3,832</w:t>
            </w:r>
          </w:p>
        </w:tc>
        <w:tc>
          <w:tcPr>
            <w:tcW w:w="100" w:type="dxa"/>
            <w:vAlign w:val="bottom"/>
          </w:tcPr>
          <w:p>
            <w:pPr>
              <w:spacing w:after="0"/>
              <w:rPr>
                <w:sz w:val="19"/>
                <w:szCs w:val="19"/>
                <w:color w:val="auto"/>
              </w:rPr>
            </w:pPr>
          </w:p>
        </w:tc>
      </w:tr>
      <w:tr>
        <w:trPr>
          <w:trHeight w:val="239"/>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Sales tax</w:t>
            </w:r>
          </w:p>
        </w:tc>
        <w:tc>
          <w:tcPr>
            <w:tcW w:w="110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2,968</w:t>
            </w:r>
          </w:p>
        </w:tc>
        <w:tc>
          <w:tcPr>
            <w:tcW w:w="4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2,615</w:t>
            </w:r>
          </w:p>
        </w:tc>
        <w:tc>
          <w:tcPr>
            <w:tcW w:w="100" w:type="dxa"/>
            <w:vAlign w:val="bottom"/>
            <w:shd w:val="clear" w:color="auto" w:fill="CFF0FC"/>
          </w:tcPr>
          <w:p>
            <w:pPr>
              <w:spacing w:after="0"/>
              <w:rPr>
                <w:sz w:val="20"/>
                <w:szCs w:val="20"/>
                <w:color w:val="auto"/>
              </w:rPr>
            </w:pPr>
          </w:p>
        </w:tc>
      </w:tr>
      <w:tr>
        <w:trPr>
          <w:trHeight w:val="220"/>
        </w:trPr>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Employee insurance benefits</w:t>
            </w:r>
          </w:p>
        </w:tc>
        <w:tc>
          <w:tcPr>
            <w:tcW w:w="1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2,572</w:t>
            </w: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2,749</w:t>
            </w:r>
          </w:p>
        </w:tc>
        <w:tc>
          <w:tcPr>
            <w:tcW w:w="100" w:type="dxa"/>
            <w:vAlign w:val="bottom"/>
          </w:tcPr>
          <w:p>
            <w:pPr>
              <w:spacing w:after="0"/>
              <w:rPr>
                <w:sz w:val="19"/>
                <w:szCs w:val="19"/>
                <w:color w:val="auto"/>
              </w:rPr>
            </w:pPr>
          </w:p>
        </w:tc>
      </w:tr>
      <w:tr>
        <w:trPr>
          <w:trHeight w:val="239"/>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Software license agreements</w:t>
            </w:r>
          </w:p>
        </w:tc>
        <w:tc>
          <w:tcPr>
            <w:tcW w:w="110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2,233</w:t>
            </w:r>
          </w:p>
        </w:tc>
        <w:tc>
          <w:tcPr>
            <w:tcW w:w="4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3,243</w:t>
            </w:r>
          </w:p>
        </w:tc>
        <w:tc>
          <w:tcPr>
            <w:tcW w:w="100" w:type="dxa"/>
            <w:vAlign w:val="bottom"/>
            <w:shd w:val="clear" w:color="auto" w:fill="CFF0FC"/>
          </w:tcPr>
          <w:p>
            <w:pPr>
              <w:spacing w:after="0"/>
              <w:rPr>
                <w:sz w:val="20"/>
                <w:szCs w:val="20"/>
                <w:color w:val="auto"/>
              </w:rPr>
            </w:pPr>
          </w:p>
        </w:tc>
      </w:tr>
      <w:tr>
        <w:trPr>
          <w:trHeight w:val="220"/>
        </w:trPr>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Professional services</w:t>
            </w:r>
          </w:p>
        </w:tc>
        <w:tc>
          <w:tcPr>
            <w:tcW w:w="1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2,183</w:t>
            </w: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1,877</w:t>
            </w:r>
          </w:p>
        </w:tc>
        <w:tc>
          <w:tcPr>
            <w:tcW w:w="100" w:type="dxa"/>
            <w:vAlign w:val="bottom"/>
          </w:tcPr>
          <w:p>
            <w:pPr>
              <w:spacing w:after="0"/>
              <w:rPr>
                <w:sz w:val="19"/>
                <w:szCs w:val="19"/>
                <w:color w:val="auto"/>
              </w:rPr>
            </w:pPr>
          </w:p>
        </w:tc>
      </w:tr>
      <w:tr>
        <w:trPr>
          <w:trHeight w:val="236"/>
        </w:trPr>
        <w:tc>
          <w:tcPr>
            <w:tcW w:w="6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w:t>
            </w:r>
          </w:p>
        </w:tc>
        <w:tc>
          <w:tcPr>
            <w:tcW w:w="110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2,548</w:t>
            </w:r>
          </w:p>
        </w:tc>
        <w:tc>
          <w:tcPr>
            <w:tcW w:w="42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3,599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100" w:type="dxa"/>
            <w:vAlign w:val="bottom"/>
          </w:tcPr>
          <w:p>
            <w:pPr>
              <w:jc w:val="right"/>
              <w:ind w:right="93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71,478</w:t>
            </w: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71,445</w:t>
            </w:r>
          </w:p>
        </w:tc>
        <w:tc>
          <w:tcPr>
            <w:tcW w:w="10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-179070</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-179070</wp:posOffset>
            </wp:positionV>
            <wp:extent cx="5969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88" w:lineRule="exact"/>
        <w:rPr>
          <w:sz w:val="20"/>
          <w:szCs w:val="20"/>
          <w:color w:val="auto"/>
        </w:rPr>
      </w:pPr>
    </w:p>
    <w:p>
      <w:pPr>
        <w:ind w:left="560" w:hanging="552"/>
        <w:spacing w:after="0"/>
        <w:tabs>
          <w:tab w:leader="none" w:pos="560" w:val="left"/>
        </w:tabs>
        <w:numPr>
          <w:ilvl w:val="0"/>
          <w:numId w:val="5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OTHER LIABILITIES</w:t>
      </w:r>
    </w:p>
    <w:p>
      <w:pPr>
        <w:spacing w:after="0" w:line="128" w:lineRule="exact"/>
        <w:rPr>
          <w:rFonts w:ascii="Times New Roman" w:cs="Times New Roman" w:eastAsia="Times New Roman" w:hAnsi="Times New Roman"/>
          <w:sz w:val="16"/>
          <w:szCs w:val="16"/>
          <w:b w:val="1"/>
          <w:bCs w:val="1"/>
          <w:color w:val="auto"/>
        </w:rPr>
      </w:pPr>
    </w:p>
    <w:p>
      <w:pPr>
        <w:ind w:left="5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Other liabilities as of December 31, 2023 and 2022, consist of the following (in thousands):</w:t>
      </w:r>
    </w:p>
    <w:p>
      <w:pPr>
        <w:spacing w:after="0" w:line="273" w:lineRule="exact"/>
        <w:rPr>
          <w:sz w:val="20"/>
          <w:szCs w:val="20"/>
          <w:color w:val="auto"/>
        </w:rPr>
      </w:pPr>
    </w:p>
    <w:tbl>
      <w:tblPr>
        <w:tblLayout w:type="fixed"/>
        <w:tblInd w:w="580" w:type="dxa"/>
        <w:tblCellMar>
          <w:top w:w="0" w:type="dxa"/>
          <w:left w:w="0" w:type="dxa"/>
          <w:bottom w:w="0" w:type="dxa"/>
          <w:right w:w="0" w:type="dxa"/>
        </w:tblCellMar>
      </w:tblPr>
      <w:tr>
        <w:trPr>
          <w:trHeight w:val="225"/>
        </w:trPr>
        <w:tc>
          <w:tcPr>
            <w:tcW w:w="690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900" w:type="dxa"/>
            <w:vAlign w:val="bottom"/>
          </w:tcPr>
          <w:p>
            <w:pPr>
              <w:spacing w:after="0"/>
              <w:rPr>
                <w:sz w:val="19"/>
                <w:szCs w:val="19"/>
                <w:color w:val="auto"/>
              </w:rPr>
            </w:pPr>
          </w:p>
        </w:tc>
        <w:tc>
          <w:tcPr>
            <w:tcW w:w="11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r>
      <w:tr>
        <w:trPr>
          <w:trHeight w:val="220"/>
        </w:trPr>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Income taxes payable—non-current</w:t>
            </w:r>
          </w:p>
        </w:tc>
        <w:tc>
          <w:tcPr>
            <w:tcW w:w="1120" w:type="dxa"/>
            <w:vAlign w:val="bottom"/>
          </w:tcPr>
          <w:p>
            <w:pPr>
              <w:jc w:val="right"/>
              <w:ind w:right="959"/>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3,937</w:t>
            </w:r>
          </w:p>
        </w:tc>
        <w:tc>
          <w:tcPr>
            <w:tcW w:w="420" w:type="dxa"/>
            <w:vAlign w:val="bottom"/>
          </w:tcPr>
          <w:p>
            <w:pPr>
              <w:spacing w:after="0"/>
              <w:rPr>
                <w:sz w:val="19"/>
                <w:szCs w:val="19"/>
                <w:color w:val="auto"/>
              </w:rPr>
            </w:pPr>
          </w:p>
        </w:tc>
        <w:tc>
          <w:tcPr>
            <w:tcW w:w="46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Software license agreements</w:t>
            </w:r>
          </w:p>
        </w:tc>
        <w:tc>
          <w:tcPr>
            <w:tcW w:w="112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4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1,208</w:t>
            </w:r>
          </w:p>
        </w:tc>
        <w:tc>
          <w:tcPr>
            <w:tcW w:w="100" w:type="dxa"/>
            <w:vAlign w:val="bottom"/>
            <w:shd w:val="clear" w:color="auto" w:fill="CFF0FC"/>
          </w:tcPr>
          <w:p>
            <w:pPr>
              <w:spacing w:after="0"/>
              <w:rPr>
                <w:sz w:val="20"/>
                <w:szCs w:val="20"/>
                <w:color w:val="auto"/>
              </w:rPr>
            </w:pPr>
          </w:p>
        </w:tc>
      </w:tr>
      <w:tr>
        <w:trPr>
          <w:trHeight w:val="220"/>
        </w:trPr>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Deferred revenue—non-current</w:t>
            </w:r>
          </w:p>
        </w:tc>
        <w:tc>
          <w:tcPr>
            <w:tcW w:w="1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1,373</w:t>
            </w: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100" w:type="dxa"/>
            <w:vAlign w:val="bottom"/>
          </w:tcPr>
          <w:p>
            <w:pPr>
              <w:spacing w:after="0"/>
              <w:rPr>
                <w:sz w:val="19"/>
                <w:szCs w:val="19"/>
                <w:color w:val="auto"/>
              </w:rPr>
            </w:pPr>
          </w:p>
        </w:tc>
      </w:tr>
      <w:tr>
        <w:trPr>
          <w:trHeight w:val="239"/>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Contingent consideration</w:t>
            </w:r>
          </w:p>
        </w:tc>
        <w:tc>
          <w:tcPr>
            <w:tcW w:w="112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4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FF0FC"/>
          </w:tcPr>
          <w:p>
            <w:pPr>
              <w:spacing w:after="0"/>
              <w:rPr>
                <w:sz w:val="20"/>
                <w:szCs w:val="20"/>
                <w:color w:val="auto"/>
              </w:rPr>
            </w:pPr>
          </w:p>
        </w:tc>
      </w:tr>
      <w:tr>
        <w:trPr>
          <w:trHeight w:val="227"/>
        </w:trPr>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19"/>
                <w:szCs w:val="19"/>
                <w:color w:val="auto"/>
              </w:rPr>
            </w:pPr>
          </w:p>
        </w:tc>
      </w:tr>
      <w:tr>
        <w:trPr>
          <w:trHeight w:val="266"/>
        </w:trPr>
        <w:tc>
          <w:tcPr>
            <w:tcW w:w="6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1120" w:type="dxa"/>
            <w:vAlign w:val="bottom"/>
            <w:tcBorders>
              <w:bottom w:val="single" w:sz="8" w:color="auto"/>
            </w:tcBorders>
            <w:shd w:val="clear" w:color="auto" w:fill="CFF0FC"/>
          </w:tcPr>
          <w:p>
            <w:pPr>
              <w:jc w:val="right"/>
              <w:ind w:right="959"/>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6,414</w:t>
            </w:r>
          </w:p>
        </w:tc>
        <w:tc>
          <w:tcPr>
            <w:tcW w:w="420" w:type="dxa"/>
            <w:vAlign w:val="bottom"/>
            <w:tcBorders>
              <w:bottom w:val="single" w:sz="8" w:color="CFF0FC"/>
            </w:tcBorders>
            <w:shd w:val="clear" w:color="auto" w:fill="CFF0FC"/>
          </w:tcPr>
          <w:p>
            <w:pPr>
              <w:spacing w:after="0"/>
              <w:rPr>
                <w:sz w:val="23"/>
                <w:szCs w:val="23"/>
                <w:color w:val="auto"/>
              </w:rPr>
            </w:pPr>
          </w:p>
        </w:tc>
        <w:tc>
          <w:tcPr>
            <w:tcW w:w="460" w:type="dxa"/>
            <w:vAlign w:val="bottom"/>
            <w:tcBorders>
              <w:bottom w:val="single" w:sz="8" w:color="auto"/>
            </w:tcBorders>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2,658</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-24765</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88" w:lineRule="exact"/>
        <w:rPr>
          <w:sz w:val="20"/>
          <w:szCs w:val="20"/>
          <w:color w:val="auto"/>
        </w:rPr>
      </w:pPr>
    </w:p>
    <w:p>
      <w:pPr>
        <w:ind w:left="560" w:hanging="552"/>
        <w:spacing w:after="0"/>
        <w:tabs>
          <w:tab w:leader="none" w:pos="560" w:val="left"/>
        </w:tabs>
        <w:numPr>
          <w:ilvl w:val="0"/>
          <w:numId w:val="5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LONG-TERM DEBT</w:t>
      </w:r>
    </w:p>
    <w:p>
      <w:pPr>
        <w:spacing w:after="0" w:line="128" w:lineRule="exact"/>
        <w:rPr>
          <w:rFonts w:ascii="Times New Roman" w:cs="Times New Roman" w:eastAsia="Times New Roman" w:hAnsi="Times New Roman"/>
          <w:sz w:val="16"/>
          <w:szCs w:val="16"/>
          <w:b w:val="1"/>
          <w:bCs w:val="1"/>
          <w:color w:val="auto"/>
        </w:rPr>
      </w:pPr>
    </w:p>
    <w:p>
      <w:pPr>
        <w:ind w:left="560" w:right="160"/>
        <w:spacing w:after="0" w:line="29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On September 21, 2021, CCC Intelligent Solutions Inc., an indirect wholly owned subsidiary of the Company, together with certain of the Company’s subsidiaries acting as guarantors entered into a credit agreement (the “2021 Credit Agreement”).</w:t>
      </w:r>
    </w:p>
    <w:p>
      <w:pPr>
        <w:spacing w:after="0" w:line="56" w:lineRule="exact"/>
        <w:rPr>
          <w:rFonts w:ascii="Times New Roman" w:cs="Times New Roman" w:eastAsia="Times New Roman" w:hAnsi="Times New Roman"/>
          <w:sz w:val="16"/>
          <w:szCs w:val="16"/>
          <w:b w:val="1"/>
          <w:bCs w:val="1"/>
          <w:color w:val="auto"/>
        </w:rPr>
      </w:pPr>
    </w:p>
    <w:p>
      <w:pPr>
        <w:ind w:left="560" w:right="20"/>
        <w:spacing w:after="0" w:line="29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2021 Credit Agreement replaced the Company’s 2017 First Lien Credit Agreement (the “First Lien Credit Agreement”), dated as of April 27, 2017, as amended as of February 14, 2020.</w:t>
      </w:r>
    </w:p>
    <w:p>
      <w:pPr>
        <w:spacing w:after="0" w:line="56" w:lineRule="exact"/>
        <w:rPr>
          <w:rFonts w:ascii="Times New Roman" w:cs="Times New Roman" w:eastAsia="Times New Roman" w:hAnsi="Times New Roman"/>
          <w:sz w:val="16"/>
          <w:szCs w:val="16"/>
          <w:b w:val="1"/>
          <w:bCs w:val="1"/>
          <w:color w:val="auto"/>
        </w:rPr>
      </w:pPr>
    </w:p>
    <w:p>
      <w:pPr>
        <w:ind w:left="5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proceeds of the 2021 Credit Agreement and cash on hand were used to repay all outstanding borrowings under the First Lien Credit Agreement.</w:t>
      </w:r>
    </w:p>
    <w:p>
      <w:pPr>
        <w:spacing w:after="0" w:line="124" w:lineRule="exact"/>
        <w:rPr>
          <w:rFonts w:ascii="Times New Roman" w:cs="Times New Roman" w:eastAsia="Times New Roman" w:hAnsi="Times New Roman"/>
          <w:sz w:val="16"/>
          <w:szCs w:val="16"/>
          <w:b w:val="1"/>
          <w:bCs w:val="1"/>
          <w:color w:val="auto"/>
        </w:rPr>
      </w:pPr>
    </w:p>
    <w:p>
      <w:pPr>
        <w:ind w:left="560" w:right="20"/>
        <w:spacing w:after="0" w:line="27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i w:val="1"/>
          <w:iCs w:val="1"/>
          <w:color w:val="auto"/>
        </w:rPr>
        <w:t>2021 Credit Agreement</w:t>
      </w:r>
      <w:r>
        <w:rPr>
          <w:rFonts w:ascii="Times New Roman" w:cs="Times New Roman" w:eastAsia="Times New Roman" w:hAnsi="Times New Roman"/>
          <w:sz w:val="16"/>
          <w:szCs w:val="16"/>
          <w:color w:val="auto"/>
        </w:rPr>
        <w:t>—The 2021 Credit Agreement consists of an $800.0 million term loan (the “Term B Loan”) and a revolving credit facility for an aggregate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principal amount of $250.0 million (the “2021 Revolving Credit Facility” and together with the Term B Loan, the "2021 Credit Facilities"). The 2021 Revolving Credit Facility has a sublimit of $75.0 million for letters of credit. The Company received proceeds of $798.0 million, net of debt discount of $2.0 million, related to the Term B Loan.</w:t>
      </w:r>
    </w:p>
    <w:p>
      <w:pPr>
        <w:spacing w:after="0" w:line="73" w:lineRule="exact"/>
        <w:rPr>
          <w:rFonts w:ascii="Times New Roman" w:cs="Times New Roman" w:eastAsia="Times New Roman" w:hAnsi="Times New Roman"/>
          <w:sz w:val="16"/>
          <w:szCs w:val="16"/>
          <w:b w:val="1"/>
          <w:bCs w:val="1"/>
          <w:color w:val="auto"/>
        </w:rPr>
      </w:pPr>
    </w:p>
    <w:p>
      <w:pPr>
        <w:ind w:left="560" w:right="160"/>
        <w:spacing w:after="0" w:line="28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incurred $9.8 million in financing costs related to the Term B Loan, recorded to a contra debt account. The Company incurred $3.1 million in financing costs related to the 2021 Revolving Credit Facility, recorded as deferred financing fees. The financing costs are being amortized to interest expense over the terms of the Term B Loan and 2021 Revolving Credit Facility using the effective interest method.</w:t>
      </w:r>
    </w:p>
    <w:p>
      <w:pPr>
        <w:spacing w:after="0" w:line="69" w:lineRule="exact"/>
        <w:rPr>
          <w:rFonts w:ascii="Times New Roman" w:cs="Times New Roman" w:eastAsia="Times New Roman" w:hAnsi="Times New Roman"/>
          <w:sz w:val="16"/>
          <w:szCs w:val="16"/>
          <w:b w:val="1"/>
          <w:bCs w:val="1"/>
          <w:color w:val="auto"/>
        </w:rPr>
      </w:pPr>
    </w:p>
    <w:p>
      <w:pPr>
        <w:ind w:left="560" w:right="60"/>
        <w:spacing w:after="0" w:line="269"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Term B Loan requires quarterly principal payments of $2.0 million until June 30, 2028, with the remaining outstanding principal amount required to be paid on the maturity date, September 21, 2028. Beginning with the fiscal year ended December 31, 2022, if the Company's leverage ratio, as defined in the 2021 Credit Agreement is greater than 3.5, the Term B Loan requires a prepayment of principal, subject to certain exceptions, in connection with the receipt of proceeds from certain asset sales, casualty events, and debt issuances by the Company, and up to 50% of annual excess cash flow, as defined in and as further set forth in the 2021 Credit Agreement. When a principal prepayment is required, the prepayment offsets the future quarterly principal payments of the same amount. As of December 31, 2023 and 2022, the Company's leverage ratio did not exceed the 3.5 threshold and the Company was not subject to the annual excess cash flow calculation, and as such, not required to make a prepayment of principal.</w:t>
      </w:r>
    </w:p>
    <w:p>
      <w:pPr>
        <w:spacing w:after="0" w:line="81" w:lineRule="exact"/>
        <w:rPr>
          <w:rFonts w:ascii="Times New Roman" w:cs="Times New Roman" w:eastAsia="Times New Roman" w:hAnsi="Times New Roman"/>
          <w:sz w:val="16"/>
          <w:szCs w:val="16"/>
          <w:b w:val="1"/>
          <w:bCs w:val="1"/>
          <w:color w:val="auto"/>
        </w:rPr>
      </w:pPr>
    </w:p>
    <w:p>
      <w:pPr>
        <w:ind w:left="560" w:right="520"/>
        <w:spacing w:after="0" w:line="29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of December 31, 2023 and 2022, the amount outstanding on the Term B Loan is $784.0 million and $792.0 million, respectively, of which $8.0 million is classified as current in the accompanying consolidated balance sheets.</w:t>
      </w:r>
    </w:p>
    <w:p>
      <w:pPr>
        <w:spacing w:after="0" w:line="56" w:lineRule="exact"/>
        <w:rPr>
          <w:rFonts w:ascii="Times New Roman" w:cs="Times New Roman" w:eastAsia="Times New Roman" w:hAnsi="Times New Roman"/>
          <w:sz w:val="16"/>
          <w:szCs w:val="16"/>
          <w:b w:val="1"/>
          <w:bCs w:val="1"/>
          <w:color w:val="auto"/>
        </w:rPr>
      </w:pPr>
    </w:p>
    <w:p>
      <w:pPr>
        <w:ind w:left="560" w:right="260"/>
        <w:spacing w:after="0" w:line="29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Borrowings under the 2021 Credit Facilities bear interest at rates based on the ratio of CCC Intelligent Solutions Inc. and certain of its subsidiaries’ consolidated first lien net indebtedness to consolidated EBITDA for applicable periods specified in the 2021 Credit Agreement.</w:t>
      </w:r>
    </w:p>
    <w:p>
      <w:pPr>
        <w:spacing w:after="0" w:line="56" w:lineRule="exact"/>
        <w:rPr>
          <w:rFonts w:ascii="Times New Roman" w:cs="Times New Roman" w:eastAsia="Times New Roman" w:hAnsi="Times New Roman"/>
          <w:sz w:val="16"/>
          <w:szCs w:val="16"/>
          <w:b w:val="1"/>
          <w:bCs w:val="1"/>
          <w:color w:val="auto"/>
        </w:rPr>
      </w:pPr>
    </w:p>
    <w:p>
      <w:pPr>
        <w:ind w:left="560" w:right="140"/>
        <w:spacing w:after="0" w:line="28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On May 19, 2023, the Company entered into Amendment No. 1 to the 2021 Credit Agreement (the “Amendment”) to establish SOFR as the benchmark rate for determining the applicable interest rate, replacing LIBOR. No other terms, including the amount of borrowings, required payments or maturity date, were changed as a result of the Amendment. The Company did not incur any significant costs associated with the Amendment.</w:t>
      </w:r>
    </w:p>
    <w:p>
      <w:pPr>
        <w:spacing w:after="0" w:line="69" w:lineRule="exact"/>
        <w:rPr>
          <w:sz w:val="20"/>
          <w:szCs w:val="20"/>
          <w:color w:val="auto"/>
        </w:rPr>
      </w:pPr>
    </w:p>
    <w:p>
      <w:pPr>
        <w:ind w:left="560" w:right="180"/>
        <w:spacing w:after="0" w:line="266" w:lineRule="auto"/>
        <w:rPr>
          <w:sz w:val="20"/>
          <w:szCs w:val="20"/>
          <w:color w:val="auto"/>
        </w:rPr>
      </w:pPr>
      <w:r>
        <w:rPr>
          <w:rFonts w:ascii="Times New Roman" w:cs="Times New Roman" w:eastAsia="Times New Roman" w:hAnsi="Times New Roman"/>
          <w:sz w:val="16"/>
          <w:szCs w:val="16"/>
          <w:color w:val="auto"/>
        </w:rPr>
        <w:t>Subsequent to the execution of the Amendment, the interest rate per annum applicable to the loans is based on a fluctuating rate of interest equal to the sum of an applicable rate and term SOFR (other than with respect to Euros, Euribor and with respect to British Pounds Sterling, SONIA) with a term as selected by the Company, of one, three or six months (subject to (x) in the case of term loans, a 0.50% per annum floor and (y) in the case of revolving loans, a 0.00% per annum floor.</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468630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1" w:right="339" w:bottom="1440" w:gutter="0" w:footer="0" w:header="0"/>
        </w:sectPr>
      </w:pPr>
    </w:p>
    <w:bookmarkStart w:id="82" w:name="page83"/>
    <w:bookmarkEnd w:id="82"/>
    <w:p>
      <w:pPr>
        <w:ind w:right="460"/>
        <w:spacing w:after="0" w:line="298" w:lineRule="auto"/>
        <w:rPr>
          <w:sz w:val="20"/>
          <w:szCs w:val="20"/>
          <w:color w:val="auto"/>
        </w:rPr>
      </w:pPr>
      <w:r>
        <w:rPr>
          <w:rFonts w:ascii="Times New Roman" w:cs="Times New Roman" w:eastAsia="Times New Roman" w:hAnsi="Times New Roman"/>
          <w:sz w:val="16"/>
          <w:szCs w:val="16"/>
          <w:color w:val="auto"/>
        </w:rPr>
        <w:t>Prior to the execution of the Amendment, the interest rate per annum applicable to the loans was based on a fluctuating rate of interest equal to the sum of an applicable rate and, at the Company’s election from time to time, either:</w:t>
      </w:r>
    </w:p>
    <w:p>
      <w:pPr>
        <w:spacing w:after="0" w:line="56" w:lineRule="exact"/>
        <w:rPr>
          <w:sz w:val="20"/>
          <w:szCs w:val="20"/>
          <w:color w:val="auto"/>
        </w:rPr>
      </w:pPr>
    </w:p>
    <w:p>
      <w:pPr>
        <w:jc w:val="both"/>
        <w:ind w:right="180" w:firstLine="2"/>
        <w:spacing w:after="0" w:line="298" w:lineRule="auto"/>
        <w:tabs>
          <w:tab w:leader="none" w:pos="324"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base rate determined by reference to the highest of (a) the rate last quoted by the Wall Street Journal as the “prime rate,” (b) the federal funds effective rate plus 0.50%, (c) one-month LIBOR plus 1.00% and (d) with respect to the Term B Loan, 1.50% and with respect to the 2021 Revolving Credit Facility, 1.00%, or</w:t>
      </w:r>
    </w:p>
    <w:p>
      <w:pPr>
        <w:spacing w:after="0" w:line="56" w:lineRule="exact"/>
        <w:rPr>
          <w:rFonts w:ascii="Times New Roman" w:cs="Times New Roman" w:eastAsia="Times New Roman" w:hAnsi="Times New Roman"/>
          <w:sz w:val="16"/>
          <w:szCs w:val="16"/>
          <w:color w:val="auto"/>
        </w:rPr>
      </w:pPr>
    </w:p>
    <w:p>
      <w:pPr>
        <w:ind w:right="100" w:firstLine="2"/>
        <w:spacing w:after="0" w:line="281" w:lineRule="auto"/>
        <w:tabs>
          <w:tab w:leader="none" w:pos="324"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Eurocurrency rate determined by reference to LIBOR (other than with respect to Euros, Euribor and with respect to British Pounds Sterling, SONIA) with a term as selected by the Company, of one, three or six months (subject to (x) in the case of term loans, a 0.50% per annum floor and (y) in the case of revolving loans, a 0.00% per annum floor).</w:t>
      </w:r>
    </w:p>
    <w:p>
      <w:pPr>
        <w:spacing w:after="0" w:line="69" w:lineRule="exact"/>
        <w:rPr>
          <w:sz w:val="20"/>
          <w:szCs w:val="20"/>
          <w:color w:val="auto"/>
        </w:rPr>
      </w:pPr>
    </w:p>
    <w:p>
      <w:pPr>
        <w:ind w:right="40"/>
        <w:spacing w:after="0" w:line="298" w:lineRule="auto"/>
        <w:rPr>
          <w:sz w:val="20"/>
          <w:szCs w:val="20"/>
          <w:color w:val="auto"/>
        </w:rPr>
      </w:pPr>
      <w:r>
        <w:rPr>
          <w:rFonts w:ascii="Times New Roman" w:cs="Times New Roman" w:eastAsia="Times New Roman" w:hAnsi="Times New Roman"/>
          <w:sz w:val="16"/>
          <w:szCs w:val="16"/>
          <w:color w:val="auto"/>
        </w:rPr>
        <w:t>A quarterly commitment fee of up to 0.50% is payable on the unused portion of the 2021 Revolving Credit Facility. The 2021 Revolving Credit Facility matures on September 21, 2026.</w:t>
      </w:r>
    </w:p>
    <w:p>
      <w:pPr>
        <w:spacing w:after="0" w:line="56"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6"/>
          <w:szCs w:val="16"/>
          <w:color w:val="auto"/>
        </w:rPr>
        <w:t>During the years ended December 31, 2023, 2022, and 2021, the weighted-average interest rate on the outstanding borrowings under the Term B Loan was 7.5%, 4.2%, and 3.0%, respectively. The Company made Term B Loan interest payments of $58.6 million, $33.5 million, and $6.7 million during the years ended December 31, 2023, 2022, and 2021 respectively.</w:t>
      </w:r>
    </w:p>
    <w:p>
      <w:pPr>
        <w:spacing w:after="0" w:line="69"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During the year ended December 31, 2021, the Company issued a standby letter of credit for $0.7 million which reduces the amount available to be borrowed under the 2021 Revolving Credit Facility and as of December 31, 2023 and 2022, $249.3 million was available to be borrowed.</w:t>
      </w:r>
    </w:p>
    <w:p>
      <w:pPr>
        <w:spacing w:after="0" w:line="56" w:lineRule="exact"/>
        <w:rPr>
          <w:sz w:val="20"/>
          <w:szCs w:val="20"/>
          <w:color w:val="auto"/>
        </w:rPr>
      </w:pPr>
    </w:p>
    <w:p>
      <w:pPr>
        <w:ind w:right="120"/>
        <w:spacing w:after="0" w:line="298" w:lineRule="auto"/>
        <w:rPr>
          <w:sz w:val="20"/>
          <w:szCs w:val="20"/>
          <w:color w:val="auto"/>
        </w:rPr>
      </w:pPr>
      <w:r>
        <w:rPr>
          <w:rFonts w:ascii="Times New Roman" w:cs="Times New Roman" w:eastAsia="Times New Roman" w:hAnsi="Times New Roman"/>
          <w:sz w:val="16"/>
          <w:szCs w:val="16"/>
          <w:color w:val="auto"/>
        </w:rPr>
        <w:t>Borrowings under the 2021 Credit Agreement are guaranteed by Cypress Holdings Intermediate Holdings II, Inc., and certain of its US subsidiaries by a perfected first priority lien on the stock of CCC Intelligent Solutions Inc., and substantially all of its assets, subject to various limitations and exceptions.</w:t>
      </w:r>
    </w:p>
    <w:p>
      <w:pPr>
        <w:spacing w:after="0" w:line="56"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6"/>
          <w:szCs w:val="16"/>
          <w:color w:val="auto"/>
        </w:rPr>
        <w:t>The 2021 Credit Agreement contains representations and warranties, and affirmative and negative covenants, that among other things, restrict, subject to certain exceptions, our ability to: incur additional indebtedness, incur liens, engage in mergers, consolidations, liquidations or dissolutions; pay dividends and distributions on, or redeem, repurchase or retire our capital stock; and make certain investments, acquisitions, loans, or advances.</w:t>
      </w:r>
    </w:p>
    <w:p>
      <w:pPr>
        <w:spacing w:after="0" w:line="69"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6"/>
          <w:szCs w:val="16"/>
          <w:color w:val="auto"/>
        </w:rPr>
        <w:t>The terms of the 2021 Credit Agreement include a financial covenant which requires that, at the end of each fiscal quarter, if the aggregate amount of borrowings under the 2021 Revolving Credit Facility exceeds 35% of the aggregate commitments, the Company’s leverage ratio cannot exceed 6.25 to 1.00. Borrowings under the 2021 Revolving Credit Facility did not exceed 35% of the aggregate commitments and the Company was not subject to the leverage test during the years ended December 31, 2023 and 2022.</w:t>
      </w:r>
    </w:p>
    <w:p>
      <w:pPr>
        <w:spacing w:after="0" w:line="73" w:lineRule="exact"/>
        <w:rPr>
          <w:sz w:val="20"/>
          <w:szCs w:val="20"/>
          <w:color w:val="auto"/>
        </w:rPr>
      </w:pPr>
    </w:p>
    <w:p>
      <w:pPr>
        <w:jc w:val="both"/>
        <w:ind w:right="200"/>
        <w:spacing w:after="0" w:line="276" w:lineRule="auto"/>
        <w:rPr>
          <w:sz w:val="20"/>
          <w:szCs w:val="20"/>
          <w:color w:val="auto"/>
        </w:rPr>
      </w:pPr>
      <w:r>
        <w:rPr>
          <w:rFonts w:ascii="Times New Roman" w:cs="Times New Roman" w:eastAsia="Times New Roman" w:hAnsi="Times New Roman"/>
          <w:sz w:val="16"/>
          <w:szCs w:val="16"/>
          <w:i w:val="1"/>
          <w:iCs w:val="1"/>
          <w:color w:val="auto"/>
        </w:rPr>
        <w:t>First Lien Credit Agreement</w:t>
      </w:r>
      <w:r>
        <w:rPr>
          <w:rFonts w:ascii="Times New Roman" w:cs="Times New Roman" w:eastAsia="Times New Roman" w:hAnsi="Times New Roman"/>
          <w:sz w:val="16"/>
          <w:szCs w:val="16"/>
          <w:color w:val="auto"/>
        </w:rPr>
        <w:t>—In April 2017, the Company entered into the First Lien Credit Agreement. The First Lien Credit Agreement initially consisted of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$1.0 billion term loan (“First Lien Term Loan”), a $65.0 million dollar revolving credit facility (“Dollar Revolver”), and a $35.0 million multicurrency revolving credit facility (“Multicurrency Revolver” and together with the Dollar Revolver, the “First Lien Revolvers”), with a sublimit of $30.0 million for letters of credit under the First Lien Revolvers. The Company received proceeds of $997.5 million, net of debt discount of $2.5 million, related to the First Lien Term Loan.</w:t>
      </w:r>
    </w:p>
    <w:p>
      <w:pPr>
        <w:spacing w:after="0" w:line="74"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6"/>
          <w:szCs w:val="16"/>
          <w:color w:val="auto"/>
        </w:rPr>
        <w:t>In February 2020, the Company refinanced its long-term debt (“2020 Refinancing”) and entered into the First Amendment to the First Lien Credit Agreement (“First Lien Amendment”). The First Lien Amendment provided an incremental term loan in the amount of $375.0 million. The Company received proceeds from the incremental term loan of $373.1 million, net of debt discount of $1.9 million. The proceeds of the incremental term loan were used to repay all outstanding borrowings under the Company's previous debt agreement.</w:t>
      </w:r>
    </w:p>
    <w:p>
      <w:pPr>
        <w:spacing w:after="0" w:line="75"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6"/>
          <w:szCs w:val="16"/>
          <w:color w:val="auto"/>
        </w:rPr>
        <w:t>The Company incurred $27.6 million and $3.4 million in financing costs related to the First Lien Credit Agreement and First Lien Amendment, respectively. These costs were recorded to a contra debt account and were being amortized to interest expense over the term of the First Lien Credit Agreement using the effective interest method.</w:t>
      </w:r>
    </w:p>
    <w:p>
      <w:pPr>
        <w:spacing w:after="0" w:line="69"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6"/>
          <w:szCs w:val="16"/>
          <w:color w:val="auto"/>
        </w:rPr>
        <w:t>Using a portion of the proceeds from the Business Combination, the Company made a principal prepayment of $525.0 million on July 30, 2021. Subsequently, in September 2021, using the proceeds from the Term B Loan provided in the 2021 Credit Agreement and cash on hand, the Company fully repaid the remaining $804.2 million of outstanding borrowings on the First Lien Term Loan.</w:t>
      </w:r>
    </w:p>
    <w:p>
      <w:pPr>
        <w:spacing w:after="0" w:line="6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The prepayments of outstanding borrowings under the First Lien Credit Agreement were determined to be debt extinguishments and the Company recognized a loss on early extinguishment of debt of $15.2 million in the consolidated statement of operations and comprehensive (loss) income during the year ended December 31, 2021.</w:t>
      </w:r>
    </w:p>
    <w:p>
      <w:pPr>
        <w:spacing w:after="0" w:line="69" w:lineRule="exact"/>
        <w:rPr>
          <w:sz w:val="20"/>
          <w:szCs w:val="20"/>
          <w:color w:val="auto"/>
        </w:rPr>
      </w:pPr>
    </w:p>
    <w:p>
      <w:pPr>
        <w:jc w:val="both"/>
        <w:ind w:right="360"/>
        <w:spacing w:after="0" w:line="281" w:lineRule="auto"/>
        <w:rPr>
          <w:sz w:val="20"/>
          <w:szCs w:val="20"/>
          <w:color w:val="auto"/>
        </w:rPr>
      </w:pPr>
      <w:r>
        <w:rPr>
          <w:rFonts w:ascii="Times New Roman" w:cs="Times New Roman" w:eastAsia="Times New Roman" w:hAnsi="Times New Roman"/>
          <w:sz w:val="16"/>
          <w:szCs w:val="16"/>
          <w:color w:val="auto"/>
        </w:rPr>
        <w:t>Amounts outstanding under the First Lien Credit Agreement bore interest at a variable rate of LIBOR, plus up to 3.00% per annum based upon the Company’s leverage ratio, as defined in the First Lien Credit Agreement. A quarterly commitment fee of up to 0.50% was payable on the unused portion of the First Lien Revolvers.</w:t>
      </w:r>
    </w:p>
    <w:p>
      <w:pPr>
        <w:spacing w:after="0" w:line="69" w:lineRule="exact"/>
        <w:rPr>
          <w:sz w:val="20"/>
          <w:szCs w:val="20"/>
          <w:color w:val="auto"/>
        </w:rPr>
      </w:pPr>
    </w:p>
    <w:p>
      <w:pPr>
        <w:ind w:right="280"/>
        <w:spacing w:after="0" w:line="298" w:lineRule="auto"/>
        <w:rPr>
          <w:sz w:val="20"/>
          <w:szCs w:val="20"/>
          <w:color w:val="auto"/>
        </w:rPr>
      </w:pPr>
      <w:r>
        <w:rPr>
          <w:rFonts w:ascii="Times New Roman" w:cs="Times New Roman" w:eastAsia="Times New Roman" w:hAnsi="Times New Roman"/>
          <w:sz w:val="16"/>
          <w:szCs w:val="16"/>
          <w:color w:val="auto"/>
        </w:rPr>
        <w:t>During the year December 31, 2021, the weighted-average interest rate on the outstanding borrowings under the First Lien Term Loan was 4.1%. The Company made interest payments of $36.1 million during the year ended December 31, 2021.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Long-term debt as December 31, 2023 and 2022, consists of the following (in thousands):</w:t>
      </w:r>
    </w:p>
    <w:p>
      <w:pPr>
        <w:spacing w:after="0" w:line="12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476250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880" w:top="1098" w:right="379" w:bottom="1440" w:gutter="0" w:footer="0" w:header="0"/>
        </w:sectPr>
      </w:pPr>
    </w:p>
    <w:bookmarkStart w:id="83" w:name="page84"/>
    <w:bookmarkEnd w:id="83"/>
    <w:tbl>
      <w:tblPr>
        <w:tblLayout w:type="fixed"/>
        <w:tblInd w:w="580" w:type="dxa"/>
        <w:tblCellMar>
          <w:top w:w="0" w:type="dxa"/>
          <w:left w:w="0" w:type="dxa"/>
          <w:bottom w:w="0" w:type="dxa"/>
          <w:right w:w="0" w:type="dxa"/>
        </w:tblCellMar>
      </w:tblPr>
      <w:tr>
        <w:trPr>
          <w:trHeight w:val="225"/>
        </w:trPr>
        <w:tc>
          <w:tcPr>
            <w:tcW w:w="676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76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r>
      <w:tr>
        <w:trPr>
          <w:trHeight w:val="229"/>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Term B Loan</w:t>
            </w:r>
          </w:p>
        </w:tc>
        <w:tc>
          <w:tcPr>
            <w:tcW w:w="1100" w:type="dxa"/>
            <w:vAlign w:val="bottom"/>
            <w:shd w:val="clear" w:color="auto" w:fill="CFF0FC"/>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784,000</w:t>
            </w:r>
          </w:p>
        </w:tc>
        <w:tc>
          <w:tcPr>
            <w:tcW w:w="38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792,000</w:t>
            </w:r>
          </w:p>
        </w:tc>
        <w:tc>
          <w:tcPr>
            <w:tcW w:w="100" w:type="dxa"/>
            <w:vAlign w:val="bottom"/>
            <w:shd w:val="clear" w:color="auto" w:fill="CFF0FC"/>
          </w:tcPr>
          <w:p>
            <w:pPr>
              <w:spacing w:after="0"/>
              <w:rPr>
                <w:sz w:val="19"/>
                <w:szCs w:val="19"/>
                <w:color w:val="auto"/>
              </w:rPr>
            </w:pPr>
          </w:p>
        </w:tc>
      </w:tr>
      <w:tr>
        <w:trPr>
          <w:trHeight w:val="220"/>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Term B Loan—discount</w:t>
            </w:r>
          </w:p>
        </w:tc>
        <w:tc>
          <w:tcPr>
            <w:tcW w:w="110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(1,436 )</w:t>
            </w:r>
          </w:p>
        </w:tc>
        <w:tc>
          <w:tcPr>
            <w:tcW w:w="48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(1,669 )</w:t>
            </w:r>
          </w:p>
        </w:tc>
      </w:tr>
      <w:tr>
        <w:trPr>
          <w:trHeight w:val="236"/>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Term B Loan—deferred financing fees</w:t>
            </w:r>
          </w:p>
        </w:tc>
        <w:tc>
          <w:tcPr>
            <w:tcW w:w="1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(7,060 )</w:t>
            </w:r>
          </w:p>
        </w:tc>
        <w:tc>
          <w:tcPr>
            <w:tcW w:w="48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(8,199 )</w:t>
            </w:r>
          </w:p>
        </w:tc>
      </w:tr>
      <w:tr>
        <w:trPr>
          <w:trHeight w:val="223"/>
        </w:trPr>
        <w:tc>
          <w:tcPr>
            <w:tcW w:w="6760" w:type="dxa"/>
            <w:vAlign w:val="bottom"/>
            <w:tcBorders>
              <w:top w:val="single" w:sz="8" w:color="CFF0FC"/>
            </w:tcBorders>
          </w:tcPr>
          <w:p>
            <w:pPr>
              <w:ind w:left="460"/>
              <w:spacing w:after="0"/>
              <w:rPr>
                <w:sz w:val="20"/>
                <w:szCs w:val="20"/>
                <w:color w:val="auto"/>
              </w:rPr>
            </w:pPr>
            <w:r>
              <w:rPr>
                <w:rFonts w:ascii="Times New Roman" w:cs="Times New Roman" w:eastAsia="Times New Roman" w:hAnsi="Times New Roman"/>
                <w:sz w:val="16"/>
                <w:szCs w:val="16"/>
                <w:color w:val="auto"/>
              </w:rPr>
              <w:t>Term B Loan—net of discount and fees</w:t>
            </w:r>
          </w:p>
        </w:tc>
        <w:tc>
          <w:tcPr>
            <w:tcW w:w="1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775,504</w:t>
            </w:r>
          </w:p>
        </w:tc>
        <w:tc>
          <w:tcPr>
            <w:tcW w:w="380" w:type="dxa"/>
            <w:vAlign w:val="bottom"/>
            <w:tcBorders>
              <w:top w:val="single" w:sz="8" w:color="CFF0FC"/>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782,132</w:t>
            </w:r>
          </w:p>
        </w:tc>
        <w:tc>
          <w:tcPr>
            <w:tcW w:w="100" w:type="dxa"/>
            <w:vAlign w:val="bottom"/>
            <w:tcBorders>
              <w:top w:val="single" w:sz="8" w:color="CFF0FC"/>
            </w:tcBorders>
          </w:tcPr>
          <w:p>
            <w:pPr>
              <w:spacing w:after="0"/>
              <w:rPr>
                <w:sz w:val="19"/>
                <w:szCs w:val="19"/>
                <w:color w:val="auto"/>
              </w:rPr>
            </w:pPr>
          </w:p>
        </w:tc>
      </w:tr>
      <w:tr>
        <w:trPr>
          <w:trHeight w:val="223"/>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Less: Current portion</w:t>
            </w:r>
          </w:p>
        </w:tc>
        <w:tc>
          <w:tcPr>
            <w:tcW w:w="1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(8,000 )</w:t>
            </w:r>
          </w:p>
        </w:tc>
        <w:tc>
          <w:tcPr>
            <w:tcW w:w="4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(8,000 )</w:t>
            </w:r>
          </w:p>
        </w:tc>
      </w:tr>
      <w:tr>
        <w:trPr>
          <w:trHeight w:val="226"/>
        </w:trPr>
        <w:tc>
          <w:tcPr>
            <w:tcW w:w="6760" w:type="dxa"/>
            <w:vAlign w:val="bottom"/>
            <w:tcBorders>
              <w:top w:val="single" w:sz="8" w:color="CFF0FC"/>
            </w:tcBorders>
          </w:tcPr>
          <w:p>
            <w:pPr>
              <w:ind w:left="460"/>
              <w:spacing w:after="0"/>
              <w:rPr>
                <w:sz w:val="20"/>
                <w:szCs w:val="20"/>
                <w:color w:val="auto"/>
              </w:rPr>
            </w:pPr>
            <w:r>
              <w:rPr>
                <w:rFonts w:ascii="Times New Roman" w:cs="Times New Roman" w:eastAsia="Times New Roman" w:hAnsi="Times New Roman"/>
                <w:sz w:val="16"/>
                <w:szCs w:val="16"/>
                <w:color w:val="auto"/>
              </w:rPr>
              <w:t>Total long-term debt—net of current portion</w:t>
            </w:r>
          </w:p>
        </w:tc>
        <w:tc>
          <w:tcPr>
            <w:tcW w:w="1100" w:type="dxa"/>
            <w:vAlign w:val="bottom"/>
            <w:tcBorders>
              <w:top w:val="single" w:sz="8" w:color="auto"/>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767,504</w:t>
            </w:r>
          </w:p>
        </w:tc>
        <w:tc>
          <w:tcPr>
            <w:tcW w:w="380" w:type="dxa"/>
            <w:vAlign w:val="bottom"/>
            <w:tcBorders>
              <w:top w:val="single" w:sz="8" w:color="CFF0FC"/>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774,132</w:t>
            </w:r>
          </w:p>
        </w:tc>
        <w:tc>
          <w:tcPr>
            <w:tcW w:w="100" w:type="dxa"/>
            <w:vAlign w:val="bottom"/>
            <w:tcBorders>
              <w:top w:val="single" w:sz="8" w:color="CFF0FC"/>
            </w:tcBorders>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-487680</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-487680</wp:posOffset>
            </wp:positionV>
            <wp:extent cx="5969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-179070</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-179070</wp:posOffset>
            </wp:positionV>
            <wp:extent cx="5969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table below is a roll forward of the Company's contra debt deferred financing fees and discount and deferred financing fees asset balances (in thousands):</w:t>
      </w:r>
    </w:p>
    <w:p>
      <w:pPr>
        <w:spacing w:after="0" w:line="138" w:lineRule="exact"/>
        <w:rPr>
          <w:sz w:val="20"/>
          <w:szCs w:val="20"/>
          <w:color w:val="auto"/>
        </w:rPr>
      </w:pPr>
    </w:p>
    <w:tbl>
      <w:tblPr>
        <w:tblLayout w:type="fixed"/>
        <w:tblInd w:w="580" w:type="dxa"/>
        <w:tblCellMar>
          <w:top w:w="0" w:type="dxa"/>
          <w:left w:w="0" w:type="dxa"/>
          <w:bottom w:w="0" w:type="dxa"/>
          <w:right w:w="0" w:type="dxa"/>
        </w:tblCellMar>
      </w:tblPr>
      <w:tr>
        <w:trPr>
          <w:trHeight w:val="212"/>
        </w:trPr>
        <w:tc>
          <w:tcPr>
            <w:tcW w:w="7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center"/>
              <w:ind w:right="600"/>
              <w:spacing w:after="0"/>
              <w:rPr>
                <w:sz w:val="20"/>
                <w:szCs w:val="20"/>
                <w:color w:val="auto"/>
              </w:rPr>
            </w:pPr>
            <w:r>
              <w:rPr>
                <w:rFonts w:ascii="Times New Roman" w:cs="Times New Roman" w:eastAsia="Times New Roman" w:hAnsi="Times New Roman"/>
                <w:sz w:val="16"/>
                <w:szCs w:val="16"/>
                <w:b w:val="1"/>
                <w:bCs w:val="1"/>
                <w:color w:val="auto"/>
              </w:rPr>
              <w:t>Deferred</w:t>
            </w:r>
          </w:p>
        </w:tc>
        <w:tc>
          <w:tcPr>
            <w:tcW w:w="26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Discount—</w:t>
            </w:r>
          </w:p>
        </w:tc>
      </w:tr>
      <w:tr>
        <w:trPr>
          <w:trHeight w:val="229"/>
        </w:trPr>
        <w:tc>
          <w:tcPr>
            <w:tcW w:w="7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center"/>
              <w:ind w:right="600"/>
              <w:spacing w:after="0"/>
              <w:rPr>
                <w:sz w:val="20"/>
                <w:szCs w:val="20"/>
                <w:color w:val="auto"/>
              </w:rPr>
            </w:pPr>
            <w:r>
              <w:rPr>
                <w:rFonts w:ascii="Times New Roman" w:cs="Times New Roman" w:eastAsia="Times New Roman" w:hAnsi="Times New Roman"/>
                <w:sz w:val="16"/>
                <w:szCs w:val="16"/>
                <w:b w:val="1"/>
                <w:bCs w:val="1"/>
                <w:color w:val="auto"/>
              </w:rPr>
              <w:t>Financing</w:t>
            </w:r>
          </w:p>
        </w:tc>
        <w:tc>
          <w:tcPr>
            <w:tcW w:w="260" w:type="dxa"/>
            <w:vAlign w:val="bottom"/>
          </w:tcPr>
          <w:p>
            <w:pPr>
              <w:spacing w:after="0"/>
              <w:rPr>
                <w:sz w:val="19"/>
                <w:szCs w:val="19"/>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Contra</w:t>
            </w:r>
          </w:p>
        </w:tc>
      </w:tr>
      <w:tr>
        <w:trPr>
          <w:trHeight w:val="239"/>
        </w:trPr>
        <w:tc>
          <w:tcPr>
            <w:tcW w:w="7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gridSpan w:val="2"/>
          </w:tcPr>
          <w:p>
            <w:pPr>
              <w:jc w:val="center"/>
              <w:ind w:right="600"/>
              <w:spacing w:after="0"/>
              <w:rPr>
                <w:sz w:val="20"/>
                <w:szCs w:val="20"/>
                <w:color w:val="auto"/>
              </w:rPr>
            </w:pPr>
            <w:r>
              <w:rPr>
                <w:rFonts w:ascii="Times New Roman" w:cs="Times New Roman" w:eastAsia="Times New Roman" w:hAnsi="Times New Roman"/>
                <w:sz w:val="16"/>
                <w:szCs w:val="16"/>
                <w:b w:val="1"/>
                <w:bCs w:val="1"/>
                <w:color w:val="auto"/>
                <w:w w:val="99"/>
              </w:rPr>
              <w:t>Fees</w:t>
            </w:r>
          </w:p>
        </w:tc>
        <w:tc>
          <w:tcPr>
            <w:tcW w:w="260" w:type="dxa"/>
            <w:vAlign w:val="bottom"/>
          </w:tcPr>
          <w:p>
            <w:pPr>
              <w:spacing w:after="0"/>
              <w:rPr>
                <w:sz w:val="20"/>
                <w:szCs w:val="20"/>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7"/>
              </w:rPr>
              <w:t>Debt</w:t>
            </w:r>
          </w:p>
        </w:tc>
      </w:tr>
      <w:tr>
        <w:trPr>
          <w:trHeight w:val="239"/>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Balance—December 31, 2021</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12,363</w:t>
            </w:r>
          </w:p>
        </w:tc>
        <w:tc>
          <w:tcPr>
            <w:tcW w:w="36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1,926</w:t>
            </w:r>
          </w:p>
        </w:tc>
        <w:tc>
          <w:tcPr>
            <w:tcW w:w="100" w:type="dxa"/>
            <w:vAlign w:val="bottom"/>
            <w:shd w:val="clear" w:color="auto" w:fill="CFF0FC"/>
          </w:tcPr>
          <w:p>
            <w:pPr>
              <w:spacing w:after="0"/>
              <w:rPr>
                <w:sz w:val="20"/>
                <w:szCs w:val="20"/>
                <w:color w:val="auto"/>
              </w:rPr>
            </w:pPr>
          </w:p>
        </w:tc>
      </w:tr>
      <w:tr>
        <w:trPr>
          <w:trHeight w:val="227"/>
        </w:trPr>
        <w:tc>
          <w:tcPr>
            <w:tcW w:w="70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Amortization of fees and discount</w:t>
            </w:r>
          </w:p>
        </w:tc>
        <w:tc>
          <w:tcPr>
            <w:tcW w:w="24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(1,878 )</w:t>
            </w:r>
          </w:p>
        </w:tc>
        <w:tc>
          <w:tcPr>
            <w:tcW w:w="260" w:type="dxa"/>
            <w:vAlign w:val="bottom"/>
          </w:tcPr>
          <w:p>
            <w:pPr>
              <w:spacing w:after="0"/>
              <w:rPr>
                <w:sz w:val="19"/>
                <w:szCs w:val="19"/>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(257 )</w:t>
            </w:r>
          </w:p>
        </w:tc>
      </w:tr>
      <w:tr>
        <w:trPr>
          <w:trHeight w:val="22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Balance—December 31, 2022</w:t>
            </w:r>
          </w:p>
        </w:tc>
        <w:tc>
          <w:tcPr>
            <w:tcW w:w="24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10,485</w:t>
            </w:r>
          </w:p>
        </w:tc>
        <w:tc>
          <w:tcPr>
            <w:tcW w:w="36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1,669</w:t>
            </w:r>
          </w:p>
        </w:tc>
        <w:tc>
          <w:tcPr>
            <w:tcW w:w="100" w:type="dxa"/>
            <w:vAlign w:val="bottom"/>
            <w:shd w:val="clear" w:color="auto" w:fill="CFF0FC"/>
          </w:tcPr>
          <w:p>
            <w:pPr>
              <w:spacing w:after="0"/>
              <w:rPr>
                <w:sz w:val="19"/>
                <w:szCs w:val="19"/>
                <w:color w:val="auto"/>
              </w:rPr>
            </w:pPr>
          </w:p>
        </w:tc>
      </w:tr>
      <w:tr>
        <w:trPr>
          <w:trHeight w:val="227"/>
        </w:trPr>
        <w:tc>
          <w:tcPr>
            <w:tcW w:w="70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Amortization of fees and discount</w:t>
            </w:r>
          </w:p>
        </w:tc>
        <w:tc>
          <w:tcPr>
            <w:tcW w:w="24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(1,753 )</w:t>
            </w:r>
          </w:p>
        </w:tc>
        <w:tc>
          <w:tcPr>
            <w:tcW w:w="260" w:type="dxa"/>
            <w:vAlign w:val="bottom"/>
          </w:tcPr>
          <w:p>
            <w:pPr>
              <w:spacing w:after="0"/>
              <w:rPr>
                <w:sz w:val="19"/>
                <w:szCs w:val="19"/>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(233 )</w:t>
            </w:r>
          </w:p>
        </w:tc>
      </w:tr>
      <w:tr>
        <w:trPr>
          <w:trHeight w:val="266"/>
        </w:trPr>
        <w:tc>
          <w:tcPr>
            <w:tcW w:w="7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Balance—December 31, 2023</w:t>
            </w:r>
          </w:p>
        </w:tc>
        <w:tc>
          <w:tcPr>
            <w:tcW w:w="24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8,732</w:t>
            </w:r>
          </w:p>
        </w:tc>
        <w:tc>
          <w:tcPr>
            <w:tcW w:w="36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1,436</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-24765</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4" w:lineRule="exact"/>
        <w:rPr>
          <w:sz w:val="20"/>
          <w:szCs w:val="20"/>
          <w:color w:val="auto"/>
        </w:rPr>
      </w:pPr>
    </w:p>
    <w:p>
      <w:pPr>
        <w:ind w:left="560" w:right="520"/>
        <w:spacing w:after="0" w:line="298" w:lineRule="auto"/>
        <w:rPr>
          <w:sz w:val="20"/>
          <w:szCs w:val="20"/>
          <w:color w:val="auto"/>
        </w:rPr>
      </w:pPr>
      <w:r>
        <w:rPr>
          <w:rFonts w:ascii="Times New Roman" w:cs="Times New Roman" w:eastAsia="Times New Roman" w:hAnsi="Times New Roman"/>
          <w:sz w:val="16"/>
          <w:szCs w:val="16"/>
          <w:color w:val="auto"/>
        </w:rPr>
        <w:t>As of December 31, 2023 and 2022, the deferred financing fees asset balance includes $1.7 million and $2.3 million in relation to the 2021 Revolving Credit Facility.</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Scheduled Payments for Debt</w:t>
      </w:r>
      <w:r>
        <w:rPr>
          <w:rFonts w:ascii="Times New Roman" w:cs="Times New Roman" w:eastAsia="Times New Roman" w:hAnsi="Times New Roman"/>
          <w:sz w:val="16"/>
          <w:szCs w:val="16"/>
          <w:color w:val="auto"/>
        </w:rPr>
        <w:t>—Principal amounts due in each of the next five years, as of December 31, 2023, are as follows (in thousands):</w:t>
      </w:r>
    </w:p>
    <w:p>
      <w:pPr>
        <w:spacing w:after="0" w:line="14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Years Ending December 31:</w:t>
      </w:r>
    </w:p>
    <w:p>
      <w:pPr>
        <w:spacing w:after="0" w:line="48"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8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2024</w:t>
            </w:r>
          </w:p>
        </w:tc>
        <w:tc>
          <w:tcPr>
            <w:tcW w:w="640" w:type="dxa"/>
            <w:vAlign w:val="bottom"/>
            <w:shd w:val="clear" w:color="auto" w:fill="CFF0FC"/>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8,000</w:t>
            </w:r>
          </w:p>
        </w:tc>
        <w:tc>
          <w:tcPr>
            <w:tcW w:w="100" w:type="dxa"/>
            <w:vAlign w:val="bottom"/>
            <w:shd w:val="clear" w:color="auto" w:fill="CFF0FC"/>
          </w:tcPr>
          <w:p>
            <w:pPr>
              <w:spacing w:after="0"/>
              <w:rPr>
                <w:sz w:val="19"/>
                <w:szCs w:val="19"/>
                <w:color w:val="auto"/>
              </w:rPr>
            </w:pPr>
          </w:p>
        </w:tc>
      </w:tr>
      <w:tr>
        <w:trPr>
          <w:trHeight w:val="220"/>
        </w:trPr>
        <w:tc>
          <w:tcPr>
            <w:tcW w:w="8860" w:type="dxa"/>
            <w:vAlign w:val="bottom"/>
          </w:tcPr>
          <w:p>
            <w:pPr>
              <w:spacing w:after="0"/>
              <w:rPr>
                <w:sz w:val="20"/>
                <w:szCs w:val="20"/>
                <w:color w:val="auto"/>
              </w:rPr>
            </w:pPr>
            <w:r>
              <w:rPr>
                <w:rFonts w:ascii="Times New Roman" w:cs="Times New Roman" w:eastAsia="Times New Roman" w:hAnsi="Times New Roman"/>
                <w:sz w:val="16"/>
                <w:szCs w:val="16"/>
                <w:color w:val="auto"/>
              </w:rPr>
              <w:t>2025</w:t>
            </w: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8,000</w:t>
            </w:r>
          </w:p>
        </w:tc>
        <w:tc>
          <w:tcPr>
            <w:tcW w:w="100" w:type="dxa"/>
            <w:vAlign w:val="bottom"/>
          </w:tcPr>
          <w:p>
            <w:pPr>
              <w:spacing w:after="0"/>
              <w:rPr>
                <w:sz w:val="19"/>
                <w:szCs w:val="19"/>
                <w:color w:val="auto"/>
              </w:rPr>
            </w:pPr>
          </w:p>
        </w:tc>
      </w:tr>
      <w:tr>
        <w:trPr>
          <w:trHeight w:val="239"/>
        </w:trPr>
        <w:tc>
          <w:tcPr>
            <w:tcW w:w="8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2026</w:t>
            </w:r>
          </w:p>
        </w:tc>
        <w:tc>
          <w:tcPr>
            <w:tcW w:w="64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8,000</w:t>
            </w:r>
          </w:p>
        </w:tc>
        <w:tc>
          <w:tcPr>
            <w:tcW w:w="100" w:type="dxa"/>
            <w:vAlign w:val="bottom"/>
            <w:shd w:val="clear" w:color="auto" w:fill="CFF0FC"/>
          </w:tcPr>
          <w:p>
            <w:pPr>
              <w:spacing w:after="0"/>
              <w:rPr>
                <w:sz w:val="20"/>
                <w:szCs w:val="20"/>
                <w:color w:val="auto"/>
              </w:rPr>
            </w:pPr>
          </w:p>
        </w:tc>
      </w:tr>
      <w:tr>
        <w:trPr>
          <w:trHeight w:val="220"/>
        </w:trPr>
        <w:tc>
          <w:tcPr>
            <w:tcW w:w="886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8,000</w:t>
            </w:r>
          </w:p>
        </w:tc>
        <w:tc>
          <w:tcPr>
            <w:tcW w:w="100" w:type="dxa"/>
            <w:vAlign w:val="bottom"/>
          </w:tcPr>
          <w:p>
            <w:pPr>
              <w:spacing w:after="0"/>
              <w:rPr>
                <w:sz w:val="19"/>
                <w:szCs w:val="19"/>
                <w:color w:val="auto"/>
              </w:rPr>
            </w:pPr>
          </w:p>
        </w:tc>
      </w:tr>
      <w:tr>
        <w:trPr>
          <w:trHeight w:val="236"/>
        </w:trPr>
        <w:tc>
          <w:tcPr>
            <w:tcW w:w="8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2028</w:t>
            </w:r>
          </w:p>
        </w:tc>
        <w:tc>
          <w:tcPr>
            <w:tcW w:w="64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752,000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886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6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784,000</w:t>
            </w:r>
          </w:p>
        </w:tc>
        <w:tc>
          <w:tcPr>
            <w:tcW w:w="100" w:type="dxa"/>
            <w:vAlign w:val="bottom"/>
          </w:tcPr>
          <w:p>
            <w:pPr>
              <w:spacing w:after="0"/>
              <w:rPr>
                <w:sz w:val="19"/>
                <w:szCs w:val="19"/>
                <w:color w:val="auto"/>
              </w:rPr>
            </w:pPr>
          </w:p>
        </w:tc>
      </w:tr>
      <w:tr>
        <w:trPr>
          <w:trHeight w:val="20"/>
        </w:trPr>
        <w:tc>
          <w:tcPr>
            <w:tcW w:w="88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-179705</wp:posOffset>
            </wp:positionV>
            <wp:extent cx="5969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72" w:lineRule="exact"/>
        <w:rPr>
          <w:sz w:val="20"/>
          <w:szCs w:val="20"/>
          <w:color w:val="auto"/>
        </w:rPr>
      </w:pPr>
    </w:p>
    <w:p>
      <w:pPr>
        <w:ind w:left="520" w:right="20"/>
        <w:spacing w:after="0" w:line="276" w:lineRule="auto"/>
        <w:rPr>
          <w:sz w:val="20"/>
          <w:szCs w:val="20"/>
          <w:color w:val="auto"/>
        </w:rPr>
      </w:pPr>
      <w:r>
        <w:rPr>
          <w:rFonts w:ascii="Times New Roman" w:cs="Times New Roman" w:eastAsia="Times New Roman" w:hAnsi="Times New Roman"/>
          <w:sz w:val="16"/>
          <w:szCs w:val="16"/>
          <w:b w:val="1"/>
          <w:bCs w:val="1"/>
          <w:color w:val="auto"/>
        </w:rPr>
        <w:t>Interest Rate Caps</w:t>
      </w:r>
      <w:r>
        <w:rPr>
          <w:rFonts w:ascii="Times New Roman" w:cs="Times New Roman" w:eastAsia="Times New Roman" w:hAnsi="Times New Roman"/>
          <w:sz w:val="16"/>
          <w:szCs w:val="16"/>
          <w:color w:val="auto"/>
        </w:rPr>
        <w:t>—In August 2022, the Company entered into two interest rate cap agreements to reduce its exposure to increases in interest rates applicable to its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floating rate long-term debt. The interest rate cap agreements have an aggregate notional amount of $600.0 million and a one-month SOFR cap rate of 4.00% through their expiration in July 2025. The fair value of the interest rate cap agreements was estimated using inputs that were observable or that could be corroborated by observable market data and therefore, was classified within Level 2 of the fair value hierarchy as of December 31, 2023 and 2022.</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Company did not designate its interest rate cap agreements as hedging instruments and records the changes in fair value within earnings.</w:t>
      </w:r>
    </w:p>
    <w:p>
      <w:pPr>
        <w:spacing w:after="0" w:line="127" w:lineRule="exact"/>
        <w:rPr>
          <w:sz w:val="20"/>
          <w:szCs w:val="20"/>
          <w:color w:val="auto"/>
        </w:rPr>
      </w:pPr>
    </w:p>
    <w:p>
      <w:pPr>
        <w:ind w:left="520" w:right="140"/>
        <w:spacing w:after="0" w:line="275" w:lineRule="auto"/>
        <w:rPr>
          <w:sz w:val="20"/>
          <w:szCs w:val="20"/>
          <w:color w:val="auto"/>
        </w:rPr>
      </w:pPr>
      <w:r>
        <w:rPr>
          <w:rFonts w:ascii="Times New Roman" w:cs="Times New Roman" w:eastAsia="Times New Roman" w:hAnsi="Times New Roman"/>
          <w:sz w:val="16"/>
          <w:szCs w:val="16"/>
          <w:color w:val="auto"/>
        </w:rPr>
        <w:t>During the year ended December 31, 2023, the Company transitioned the referenced interest rate within the two interest rate cap agreements from LIBOR to SOFR by terminating the original agreements and simultaneously entering into new agreements. The terms of the new agreements were unchanged except for the referenced interest rate. The Company elected the optional expedients available within ASC 848 to allow for this transition without any modification to the derivative classification of the interest rate cap agreements.</w:t>
      </w:r>
    </w:p>
    <w:p>
      <w:pPr>
        <w:spacing w:after="0" w:line="75" w:lineRule="exact"/>
        <w:rPr>
          <w:sz w:val="20"/>
          <w:szCs w:val="20"/>
          <w:color w:val="auto"/>
        </w:rPr>
      </w:pPr>
    </w:p>
    <w:p>
      <w:pPr>
        <w:ind w:left="520" w:right="180"/>
        <w:spacing w:after="0" w:line="298" w:lineRule="auto"/>
        <w:rPr>
          <w:sz w:val="20"/>
          <w:szCs w:val="20"/>
          <w:color w:val="auto"/>
        </w:rPr>
      </w:pPr>
      <w:r>
        <w:rPr>
          <w:rFonts w:ascii="Times New Roman" w:cs="Times New Roman" w:eastAsia="Times New Roman" w:hAnsi="Times New Roman"/>
          <w:sz w:val="16"/>
          <w:szCs w:val="16"/>
          <w:color w:val="auto"/>
        </w:rPr>
        <w:t>As of December 31, 2023 and 2022, the interest rate cap agreements had a fair value of $6.2 million and 12.0 million, respectively, classified within other assets in the accompanying consolidated balance sheets.</w:t>
      </w:r>
    </w:p>
    <w:p>
      <w:pPr>
        <w:spacing w:after="0" w:line="56" w:lineRule="exact"/>
        <w:rPr>
          <w:sz w:val="20"/>
          <w:szCs w:val="20"/>
          <w:color w:val="auto"/>
        </w:rPr>
      </w:pPr>
    </w:p>
    <w:p>
      <w:pPr>
        <w:ind w:left="520" w:right="520"/>
        <w:spacing w:after="0" w:line="281" w:lineRule="auto"/>
        <w:rPr>
          <w:sz w:val="20"/>
          <w:szCs w:val="20"/>
          <w:color w:val="auto"/>
        </w:rPr>
      </w:pPr>
      <w:r>
        <w:rPr>
          <w:rFonts w:ascii="Times New Roman" w:cs="Times New Roman" w:eastAsia="Times New Roman" w:hAnsi="Times New Roman"/>
          <w:sz w:val="16"/>
          <w:szCs w:val="16"/>
          <w:color w:val="auto"/>
        </w:rPr>
        <w:t>Cash received related to the interest rate cap agreements was $6.5 million for the year ended December 31, 2023 recorded within other income-net on the consolidated statement of operations and comprehensive (loss) income. The Company received an insignificant amount of cash related to the interest rate cap agreements during the year ended December 31, 2022.</w:t>
      </w:r>
    </w:p>
    <w:p>
      <w:pPr>
        <w:spacing w:after="0" w:line="67" w:lineRule="exact"/>
        <w:rPr>
          <w:sz w:val="20"/>
          <w:szCs w:val="20"/>
          <w:color w:val="auto"/>
        </w:rPr>
      </w:pPr>
    </w:p>
    <w:p>
      <w:pPr>
        <w:ind w:left="560" w:right="40"/>
        <w:spacing w:after="0" w:line="282" w:lineRule="auto"/>
        <w:rPr>
          <w:sz w:val="20"/>
          <w:szCs w:val="20"/>
          <w:color w:val="auto"/>
        </w:rPr>
      </w:pPr>
      <w:r>
        <w:rPr>
          <w:rFonts w:ascii="Times New Roman" w:cs="Times New Roman" w:eastAsia="Times New Roman" w:hAnsi="Times New Roman"/>
          <w:sz w:val="16"/>
          <w:szCs w:val="16"/>
          <w:b w:val="1"/>
          <w:bCs w:val="1"/>
          <w:color w:val="auto"/>
        </w:rPr>
        <w:t>Interest Rate Swaps</w:t>
      </w:r>
      <w:r>
        <w:rPr>
          <w:rFonts w:ascii="Times New Roman" w:cs="Times New Roman" w:eastAsia="Times New Roman" w:hAnsi="Times New Roman"/>
          <w:sz w:val="16"/>
          <w:szCs w:val="16"/>
          <w:color w:val="auto"/>
        </w:rPr>
        <w:t>—In June 2017, the Company entered into three floating to fixed interest rate swap agreements (“Swap Agreements”) to reduce its exposure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variability from future cash flows resulting from interest rate risk related to its floating rate long-term debt. On September 21, 2021, the Company made an aggregate payment of $10.0 million to extinguish the Swap Agreements that were scheduled to expire in June 2022.</w:t>
      </w:r>
    </w:p>
    <w:p>
      <w:pPr>
        <w:spacing w:after="0" w:line="175" w:lineRule="exact"/>
        <w:rPr>
          <w:sz w:val="20"/>
          <w:szCs w:val="20"/>
          <w:color w:val="auto"/>
        </w:rPr>
      </w:pPr>
    </w:p>
    <w:p>
      <w:pPr>
        <w:ind w:left="560" w:hanging="552"/>
        <w:spacing w:after="0"/>
        <w:tabs>
          <w:tab w:leader="none" w:pos="560" w:val="left"/>
        </w:tabs>
        <w:numPr>
          <w:ilvl w:val="0"/>
          <w:numId w:val="5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LONG-TERM LICENSING AGREEMENT</w:t>
      </w:r>
    </w:p>
    <w:p>
      <w:pPr>
        <w:spacing w:after="0" w:line="128" w:lineRule="exact"/>
        <w:rPr>
          <w:rFonts w:ascii="Times New Roman" w:cs="Times New Roman" w:eastAsia="Times New Roman" w:hAnsi="Times New Roman"/>
          <w:sz w:val="16"/>
          <w:szCs w:val="16"/>
          <w:b w:val="1"/>
          <w:bCs w:val="1"/>
          <w:color w:val="auto"/>
        </w:rPr>
      </w:pPr>
    </w:p>
    <w:p>
      <w:pPr>
        <w:ind w:left="560" w:right="160"/>
        <w:spacing w:after="0" w:line="27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During 2018, the Company entered into a licensing agreement with a third party to obtain a perpetual software license (“Licensing Agreement”) for a database structure, tools, and historical data used within the Company’s software. The Company has included the present value of the future payments required as a long-term licensing agreement within the accompanying consolidated balance sheets. The present value of the future payments was computed using an effective annual interest rate of 6.25%, and the Licensing Agreement requires the Company to make quarterly principal and interest installment payments of approximately $1.2 million through December 2031.</w:t>
      </w:r>
    </w:p>
    <w:p>
      <w:pPr>
        <w:spacing w:after="0" w:line="78" w:lineRule="exact"/>
        <w:rPr>
          <w:sz w:val="20"/>
          <w:szCs w:val="20"/>
          <w:color w:val="auto"/>
        </w:rPr>
      </w:pPr>
    </w:p>
    <w:p>
      <w:pPr>
        <w:jc w:val="both"/>
        <w:ind w:left="560" w:right="60"/>
        <w:spacing w:after="0" w:line="267" w:lineRule="auto"/>
        <w:rPr>
          <w:sz w:val="20"/>
          <w:szCs w:val="20"/>
          <w:color w:val="auto"/>
        </w:rPr>
      </w:pPr>
      <w:r>
        <w:rPr>
          <w:rFonts w:ascii="Times New Roman" w:cs="Times New Roman" w:eastAsia="Times New Roman" w:hAnsi="Times New Roman"/>
          <w:sz w:val="16"/>
          <w:szCs w:val="16"/>
          <w:color w:val="auto"/>
        </w:rPr>
        <w:t>The present value of the future cash flows upon execution of the agreement was $45.6 million, which included an original discount of $23.2 million. At December 31, 2023, the remaining liability, net of the discount was $30.8 million, with $3.1 million classified as current. At December 31, 2022, the remaining liability, net of the discount was $33.6 million, with $2.9 million classified as current.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468630</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1" w:right="339" w:bottom="1440" w:gutter="0" w:footer="0" w:header="0"/>
        </w:sectPr>
      </w:pPr>
    </w:p>
    <w:bookmarkStart w:id="84" w:name="page85"/>
    <w:bookmarkEnd w:id="84"/>
    <w:p>
      <w:pPr>
        <w:ind w:left="560" w:right="20"/>
        <w:spacing w:after="0" w:line="281" w:lineRule="auto"/>
        <w:rPr>
          <w:sz w:val="20"/>
          <w:szCs w:val="20"/>
          <w:color w:val="auto"/>
        </w:rPr>
      </w:pPr>
      <w:r>
        <w:rPr>
          <w:rFonts w:ascii="Times New Roman" w:cs="Times New Roman" w:eastAsia="Times New Roman" w:hAnsi="Times New Roman"/>
          <w:sz w:val="16"/>
          <w:szCs w:val="16"/>
          <w:color w:val="auto"/>
        </w:rPr>
        <w:t>The discount was recorded to a contra liability account and is being amortized to interest expense over the term of the agreement using the effective interest method. During the years ended December 31, 2023, 2022 and 2021, the Company recognized $2.0 million, $2.2 million and $2.4 million, respectively, in interest expense related to the Licensing Agreement. The unamortized discount as of December 31, 2023 and 2022 was $8.6 million and $10.6 million, respectively.</w:t>
      </w:r>
    </w:p>
    <w:p>
      <w:pPr>
        <w:spacing w:after="0" w:line="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Principal amounts due in each of the next five years and thereafter for the Licensing Agreement as of December 31, 2023, are as follows (in thousands):</w:t>
      </w:r>
    </w:p>
    <w:p>
      <w:pPr>
        <w:spacing w:after="0" w:line="273" w:lineRule="exact"/>
        <w:rPr>
          <w:sz w:val="20"/>
          <w:szCs w:val="20"/>
          <w:color w:val="auto"/>
        </w:rPr>
      </w:pPr>
    </w:p>
    <w:tbl>
      <w:tblPr>
        <w:tblLayout w:type="fixed"/>
        <w:tblInd w:w="1700" w:type="dxa"/>
        <w:tblCellMar>
          <w:top w:w="0" w:type="dxa"/>
          <w:left w:w="0" w:type="dxa"/>
          <w:bottom w:w="0" w:type="dxa"/>
          <w:right w:w="0" w:type="dxa"/>
        </w:tblCellMar>
      </w:tblPr>
      <w:tr>
        <w:trPr>
          <w:trHeight w:val="222"/>
        </w:trPr>
        <w:tc>
          <w:tcPr>
            <w:tcW w:w="6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Years Ending December 31:</w:t>
            </w: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9"/>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2024</w:t>
            </w:r>
          </w:p>
        </w:tc>
        <w:tc>
          <w:tcPr>
            <w:tcW w:w="3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3,061</w:t>
            </w:r>
          </w:p>
        </w:tc>
        <w:tc>
          <w:tcPr>
            <w:tcW w:w="80" w:type="dxa"/>
            <w:vAlign w:val="bottom"/>
            <w:shd w:val="clear" w:color="auto" w:fill="CFF0FC"/>
          </w:tcPr>
          <w:p>
            <w:pPr>
              <w:spacing w:after="0"/>
              <w:rPr>
                <w:sz w:val="20"/>
                <w:szCs w:val="20"/>
                <w:color w:val="auto"/>
              </w:rPr>
            </w:pPr>
          </w:p>
        </w:tc>
      </w:tr>
      <w:tr>
        <w:trPr>
          <w:trHeight w:val="220"/>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2025</w:t>
            </w: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3,257</w:t>
            </w:r>
          </w:p>
        </w:tc>
        <w:tc>
          <w:tcPr>
            <w:tcW w:w="80" w:type="dxa"/>
            <w:vAlign w:val="bottom"/>
          </w:tcPr>
          <w:p>
            <w:pPr>
              <w:spacing w:after="0"/>
              <w:rPr>
                <w:sz w:val="19"/>
                <w:szCs w:val="19"/>
                <w:color w:val="auto"/>
              </w:rPr>
            </w:pPr>
          </w:p>
        </w:tc>
      </w:tr>
      <w:tr>
        <w:trPr>
          <w:trHeight w:val="239"/>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2026</w:t>
            </w:r>
          </w:p>
        </w:tc>
        <w:tc>
          <w:tcPr>
            <w:tcW w:w="36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3,466</w:t>
            </w:r>
          </w:p>
        </w:tc>
        <w:tc>
          <w:tcPr>
            <w:tcW w:w="80" w:type="dxa"/>
            <w:vAlign w:val="bottom"/>
            <w:shd w:val="clear" w:color="auto" w:fill="CFF0FC"/>
          </w:tcPr>
          <w:p>
            <w:pPr>
              <w:spacing w:after="0"/>
              <w:rPr>
                <w:sz w:val="20"/>
                <w:szCs w:val="20"/>
                <w:color w:val="auto"/>
              </w:rPr>
            </w:pPr>
          </w:p>
        </w:tc>
      </w:tr>
      <w:tr>
        <w:trPr>
          <w:trHeight w:val="220"/>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3,689</w:t>
            </w:r>
          </w:p>
        </w:tc>
        <w:tc>
          <w:tcPr>
            <w:tcW w:w="80" w:type="dxa"/>
            <w:vAlign w:val="bottom"/>
          </w:tcPr>
          <w:p>
            <w:pPr>
              <w:spacing w:after="0"/>
              <w:rPr>
                <w:sz w:val="19"/>
                <w:szCs w:val="19"/>
                <w:color w:val="auto"/>
              </w:rPr>
            </w:pPr>
          </w:p>
        </w:tc>
      </w:tr>
      <w:tr>
        <w:trPr>
          <w:trHeight w:val="239"/>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2028</w:t>
            </w:r>
          </w:p>
        </w:tc>
        <w:tc>
          <w:tcPr>
            <w:tcW w:w="36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3,926</w:t>
            </w:r>
          </w:p>
        </w:tc>
        <w:tc>
          <w:tcPr>
            <w:tcW w:w="80" w:type="dxa"/>
            <w:vAlign w:val="bottom"/>
            <w:shd w:val="clear" w:color="auto" w:fill="CFF0FC"/>
          </w:tcPr>
          <w:p>
            <w:pPr>
              <w:spacing w:after="0"/>
              <w:rPr>
                <w:sz w:val="20"/>
                <w:szCs w:val="20"/>
                <w:color w:val="auto"/>
              </w:rPr>
            </w:pPr>
          </w:p>
        </w:tc>
      </w:tr>
      <w:tr>
        <w:trPr>
          <w:trHeight w:val="227"/>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13,354</w:t>
            </w:r>
          </w:p>
        </w:tc>
        <w:tc>
          <w:tcPr>
            <w:tcW w:w="80" w:type="dxa"/>
            <w:vAlign w:val="bottom"/>
          </w:tcPr>
          <w:p>
            <w:pPr>
              <w:spacing w:after="0"/>
              <w:rPr>
                <w:sz w:val="19"/>
                <w:szCs w:val="19"/>
                <w:color w:val="auto"/>
              </w:rPr>
            </w:pPr>
          </w:p>
        </w:tc>
      </w:tr>
      <w:tr>
        <w:trPr>
          <w:trHeight w:val="266"/>
        </w:trPr>
        <w:tc>
          <w:tcPr>
            <w:tcW w:w="6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30,753</w:t>
            </w:r>
          </w:p>
        </w:tc>
        <w:tc>
          <w:tcPr>
            <w:tcW w:w="8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88" w:lineRule="exact"/>
        <w:rPr>
          <w:sz w:val="20"/>
          <w:szCs w:val="20"/>
          <w:color w:val="auto"/>
        </w:rPr>
      </w:pPr>
    </w:p>
    <w:p>
      <w:pPr>
        <w:ind w:left="560" w:hanging="552"/>
        <w:spacing w:after="0"/>
        <w:tabs>
          <w:tab w:leader="none" w:pos="560" w:val="left"/>
        </w:tabs>
        <w:numPr>
          <w:ilvl w:val="0"/>
          <w:numId w:val="5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REDEEMABLE NON-CONTROLLING INTEREST</w:t>
      </w:r>
    </w:p>
    <w:p>
      <w:pPr>
        <w:spacing w:after="0" w:line="128" w:lineRule="exact"/>
        <w:rPr>
          <w:rFonts w:ascii="Times New Roman" w:cs="Times New Roman" w:eastAsia="Times New Roman" w:hAnsi="Times New Roman"/>
          <w:sz w:val="16"/>
          <w:szCs w:val="16"/>
          <w:b w:val="1"/>
          <w:bCs w:val="1"/>
          <w:color w:val="auto"/>
        </w:rPr>
      </w:pPr>
    </w:p>
    <w:p>
      <w:pPr>
        <w:ind w:left="560" w:right="160"/>
        <w:spacing w:after="0" w:line="27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On March 12, 2020 (the “Close Date”), the Company closed a stock purchase agreement (the “Stock Purchase Agreement”) with a third-party investor (the “Investor”) for purchase by the Investor of Series A Preferred Stock in CCCIS Cayman Holdings Limited (“CCC Cayman”), the parent of the Company’s China operations. On the Close Date, CCC Cayman, a subsidiary of the Company, issued 1,818 shares of Series A Preferred Stock (the “Preferred Shares”) at $7,854 per share to the Investor for net proceeds of $14.2 million. As of December 31, 2023 and 2022, on an as-converted basis, the Preferred Shares represent an aggregate 10.0% ownership interest of the issued and outstanding capital stock of CCC Cayman, or 8.6% on a fully-diluted basis.</w:t>
      </w:r>
    </w:p>
    <w:p>
      <w:pPr>
        <w:spacing w:after="0" w:line="77" w:lineRule="exact"/>
        <w:rPr>
          <w:rFonts w:ascii="Times New Roman" w:cs="Times New Roman" w:eastAsia="Times New Roman" w:hAnsi="Times New Roman"/>
          <w:sz w:val="16"/>
          <w:szCs w:val="16"/>
          <w:b w:val="1"/>
          <w:bCs w:val="1"/>
          <w:color w:val="auto"/>
        </w:rPr>
      </w:pPr>
    </w:p>
    <w:p>
      <w:pPr>
        <w:ind w:left="5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Preferred Shares are entitled to non-cumulative dividends at an annual rate of 8.0%, when and if declared.</w:t>
      </w:r>
    </w:p>
    <w:p>
      <w:pPr>
        <w:spacing w:after="0" w:line="126" w:lineRule="exact"/>
        <w:rPr>
          <w:rFonts w:ascii="Times New Roman" w:cs="Times New Roman" w:eastAsia="Times New Roman" w:hAnsi="Times New Roman"/>
          <w:sz w:val="16"/>
          <w:szCs w:val="16"/>
          <w:b w:val="1"/>
          <w:bCs w:val="1"/>
          <w:color w:val="auto"/>
        </w:rPr>
      </w:pPr>
    </w:p>
    <w:p>
      <w:pPr>
        <w:ind w:left="560" w:right="400"/>
        <w:spacing w:after="0" w:line="29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At the option of the Investor, the Preferred Shares are convertible into ordinary shares of CCC Cayman, initially on a one-for-one basis but subject to potential adjustment, as defined by the Stock Purchase Agreement, at any time, or automatically upon the closing of an initial public offering.</w:t>
      </w:r>
    </w:p>
    <w:p>
      <w:pPr>
        <w:spacing w:after="0" w:line="56" w:lineRule="exact"/>
        <w:rPr>
          <w:rFonts w:ascii="Times New Roman" w:cs="Times New Roman" w:eastAsia="Times New Roman" w:hAnsi="Times New Roman"/>
          <w:sz w:val="16"/>
          <w:szCs w:val="16"/>
          <w:b w:val="1"/>
          <w:bCs w:val="1"/>
          <w:color w:val="auto"/>
        </w:rPr>
      </w:pPr>
    </w:p>
    <w:p>
      <w:pPr>
        <w:ind w:left="560" w:right="100"/>
        <w:spacing w:after="0" w:line="27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Preferred Shares are redeemable upon an actual or deemed redemption event as defined in the Stock Purchase Agreement or at the option of the Investor beginning on the five-year anniversary of the Close Date, if an actual or deemed redemption event has not yet occurred. The redemption price, as defined by the Stock Purchase Agreement, is equal to the original issue price of the Preferred Shares, plus 10.0% compound interest per annum on the Preferred Share issue price, plus any declared but unpaid dividends on the Preferred Shares.</w:t>
      </w:r>
    </w:p>
    <w:p>
      <w:pPr>
        <w:spacing w:after="0" w:line="74" w:lineRule="exact"/>
        <w:rPr>
          <w:rFonts w:ascii="Times New Roman" w:cs="Times New Roman" w:eastAsia="Times New Roman" w:hAnsi="Times New Roman"/>
          <w:sz w:val="16"/>
          <w:szCs w:val="16"/>
          <w:b w:val="1"/>
          <w:bCs w:val="1"/>
          <w:color w:val="auto"/>
        </w:rPr>
      </w:pPr>
    </w:p>
    <w:p>
      <w:pPr>
        <w:ind w:left="560" w:right="220"/>
        <w:spacing w:after="0" w:line="29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Preferred Shares are entitled to distributions upon the occurrence of a sale or liquidation of CCC Cayman representing an amount that is equal to the original issue price of the Preferred Shares, plus 10.0% compound interest per annum on the Preferred Share issue price, plus any declared but unpaid dividends.</w:t>
      </w:r>
    </w:p>
    <w:p>
      <w:pPr>
        <w:spacing w:after="0" w:line="56" w:lineRule="exact"/>
        <w:rPr>
          <w:rFonts w:ascii="Times New Roman" w:cs="Times New Roman" w:eastAsia="Times New Roman" w:hAnsi="Times New Roman"/>
          <w:sz w:val="16"/>
          <w:szCs w:val="16"/>
          <w:b w:val="1"/>
          <w:bCs w:val="1"/>
          <w:color w:val="auto"/>
        </w:rPr>
      </w:pPr>
    </w:p>
    <w:p>
      <w:pPr>
        <w:ind w:left="5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Preferred Shares do not participate in net income or losses.</w:t>
      </w:r>
    </w:p>
    <w:p>
      <w:pPr>
        <w:spacing w:after="0" w:line="126" w:lineRule="exact"/>
        <w:rPr>
          <w:rFonts w:ascii="Times New Roman" w:cs="Times New Roman" w:eastAsia="Times New Roman" w:hAnsi="Times New Roman"/>
          <w:sz w:val="16"/>
          <w:szCs w:val="16"/>
          <w:b w:val="1"/>
          <w:bCs w:val="1"/>
          <w:color w:val="auto"/>
        </w:rPr>
      </w:pPr>
    </w:p>
    <w:p>
      <w:pPr>
        <w:ind w:left="560" w:right="60"/>
        <w:spacing w:after="0" w:line="29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of December 31, 2023 and 2022, the Investor’s ownership in CCC Cayman is classified in mezzanine equity as a redeemable non-controlling interest, because it is redeemable on an event that is not solely in the control of the Company.</w:t>
      </w:r>
    </w:p>
    <w:p>
      <w:pPr>
        <w:spacing w:after="0" w:line="56" w:lineRule="exact"/>
        <w:rPr>
          <w:rFonts w:ascii="Times New Roman" w:cs="Times New Roman" w:eastAsia="Times New Roman" w:hAnsi="Times New Roman"/>
          <w:sz w:val="16"/>
          <w:szCs w:val="16"/>
          <w:b w:val="1"/>
          <w:bCs w:val="1"/>
          <w:color w:val="auto"/>
        </w:rPr>
      </w:pPr>
    </w:p>
    <w:p>
      <w:pPr>
        <w:ind w:left="560" w:right="400"/>
        <w:spacing w:after="0" w:line="29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of May 31, 2023, the Company determined it was probable the non-controlling interest would become redeemable and began to accrete the non-controlling interest to its redemption value. Changes in the carrying value of the non-controlling interest are recorded as adjustments to additional paid-in capital.</w:t>
      </w:r>
    </w:p>
    <w:p>
      <w:pPr>
        <w:spacing w:after="0" w:line="56" w:lineRule="exact"/>
        <w:rPr>
          <w:rFonts w:ascii="Times New Roman" w:cs="Times New Roman" w:eastAsia="Times New Roman" w:hAnsi="Times New Roman"/>
          <w:sz w:val="16"/>
          <w:szCs w:val="16"/>
          <w:b w:val="1"/>
          <w:bCs w:val="1"/>
          <w:color w:val="auto"/>
        </w:rPr>
      </w:pPr>
    </w:p>
    <w:p>
      <w:pPr>
        <w:ind w:left="5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activity impacting the redeemable non-controlling interest during the years ending December 31 is presented below (in thousands):</w:t>
      </w:r>
    </w:p>
    <w:p>
      <w:pPr>
        <w:spacing w:after="0" w:line="138" w:lineRule="exact"/>
        <w:rPr>
          <w:sz w:val="20"/>
          <w:szCs w:val="20"/>
          <w:color w:val="auto"/>
        </w:rPr>
      </w:pPr>
    </w:p>
    <w:tbl>
      <w:tblPr>
        <w:tblLayout w:type="fixed"/>
        <w:tblInd w:w="580" w:type="dxa"/>
        <w:tblCellMar>
          <w:top w:w="0" w:type="dxa"/>
          <w:left w:w="0" w:type="dxa"/>
          <w:bottom w:w="0" w:type="dxa"/>
          <w:right w:w="0" w:type="dxa"/>
        </w:tblCellMar>
      </w:tblPr>
      <w:tr>
        <w:trPr>
          <w:trHeight w:val="225"/>
        </w:trPr>
        <w:tc>
          <w:tcPr>
            <w:tcW w:w="508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08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Borders>
              <w:bottom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7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r>
      <w:tr>
        <w:trPr>
          <w:trHeight w:val="22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86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14,179</w:t>
            </w:r>
          </w:p>
        </w:tc>
        <w:tc>
          <w:tcPr>
            <w:tcW w:w="10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14,179</w:t>
            </w: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14,179</w:t>
            </w:r>
          </w:p>
        </w:tc>
        <w:tc>
          <w:tcPr>
            <w:tcW w:w="100" w:type="dxa"/>
            <w:vAlign w:val="bottom"/>
            <w:shd w:val="clear" w:color="auto" w:fill="CFF0FC"/>
          </w:tcPr>
          <w:p>
            <w:pPr>
              <w:spacing w:after="0"/>
              <w:rPr>
                <w:sz w:val="19"/>
                <w:szCs w:val="19"/>
                <w:color w:val="auto"/>
              </w:rPr>
            </w:pPr>
          </w:p>
        </w:tc>
      </w:tr>
      <w:tr>
        <w:trPr>
          <w:trHeight w:val="227"/>
        </w:trPr>
        <w:tc>
          <w:tcPr>
            <w:tcW w:w="50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Accretion of redeemable non-controlling interest</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2,405</w:t>
            </w:r>
          </w:p>
        </w:tc>
        <w:tc>
          <w:tcPr>
            <w:tcW w:w="7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66"/>
        </w:trPr>
        <w:tc>
          <w:tcPr>
            <w:tcW w:w="5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end of period</w:t>
            </w:r>
          </w:p>
        </w:tc>
        <w:tc>
          <w:tcPr>
            <w:tcW w:w="860" w:type="dxa"/>
            <w:vAlign w:val="bottom"/>
            <w:tcBorders>
              <w:bottom w:val="single" w:sz="8" w:color="auto"/>
            </w:tcBorders>
            <w:shd w:val="clear" w:color="auto" w:fill="CFF0FC"/>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16,584</w:t>
            </w:r>
          </w:p>
        </w:tc>
        <w:tc>
          <w:tcPr>
            <w:tcW w:w="72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14,179</w:t>
            </w:r>
          </w:p>
        </w:tc>
        <w:tc>
          <w:tcPr>
            <w:tcW w:w="72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14,179</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-25400</wp:posOffset>
            </wp:positionV>
            <wp:extent cx="6858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-8255</wp:posOffset>
            </wp:positionV>
            <wp:extent cx="6858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-25400</wp:posOffset>
            </wp:positionV>
            <wp:extent cx="6858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-8255</wp:posOffset>
            </wp:positionV>
            <wp:extent cx="6858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-8255</wp:posOffset>
            </wp:positionV>
            <wp:extent cx="5969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396" w:lineRule="exact"/>
        <w:rPr>
          <w:sz w:val="20"/>
          <w:szCs w:val="20"/>
          <w:color w:val="auto"/>
        </w:rPr>
      </w:pPr>
    </w:p>
    <w:p>
      <w:pPr>
        <w:ind w:left="560" w:hanging="552"/>
        <w:spacing w:after="0"/>
        <w:tabs>
          <w:tab w:leader="none" w:pos="560" w:val="left"/>
        </w:tabs>
        <w:numPr>
          <w:ilvl w:val="0"/>
          <w:numId w:val="5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CAPITAL STOCK</w:t>
      </w:r>
    </w:p>
    <w:p>
      <w:pPr>
        <w:spacing w:after="0" w:line="128" w:lineRule="exact"/>
        <w:rPr>
          <w:rFonts w:ascii="Times New Roman" w:cs="Times New Roman" w:eastAsia="Times New Roman" w:hAnsi="Times New Roman"/>
          <w:sz w:val="16"/>
          <w:szCs w:val="16"/>
          <w:b w:val="1"/>
          <w:bCs w:val="1"/>
          <w:color w:val="auto"/>
        </w:rPr>
      </w:pPr>
    </w:p>
    <w:p>
      <w:pPr>
        <w:ind w:left="560" w:right="280"/>
        <w:spacing w:after="0" w:line="27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consolidated statements of mezzanine equity and stockholders’ equity reflect the Business Combination as of the Closing Date (see Note 3). As CCCIS was determined to be the accounting acquirer in the Business Combination, all periods prior to the Closing Date reflect the balances and activity of CCCIS. The balances, share activity and per share amounts prior to the Closing Date were retroactively adjusted, where applicable, using the Exchange Ratio of the Business Combination.</w:t>
      </w:r>
    </w:p>
    <w:p>
      <w:pPr>
        <w:spacing w:after="0" w:line="72" w:lineRule="exact"/>
        <w:rPr>
          <w:rFonts w:ascii="Times New Roman" w:cs="Times New Roman" w:eastAsia="Times New Roman" w:hAnsi="Times New Roman"/>
          <w:sz w:val="16"/>
          <w:szCs w:val="16"/>
          <w:b w:val="1"/>
          <w:bCs w:val="1"/>
          <w:color w:val="auto"/>
        </w:rPr>
      </w:pPr>
    </w:p>
    <w:p>
      <w:pPr>
        <w:ind w:left="560" w:right="60"/>
        <w:spacing w:after="0" w:line="26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Preferred Stock</w:t>
      </w:r>
      <w:r>
        <w:rPr>
          <w:rFonts w:ascii="Times New Roman" w:cs="Times New Roman" w:eastAsia="Times New Roman" w:hAnsi="Times New Roman"/>
          <w:sz w:val="16"/>
          <w:szCs w:val="16"/>
          <w:color w:val="auto"/>
        </w:rPr>
        <w:t>—The Company is authorized to issue up to 100,000,000 shares of undesignated preferred stock with a par value of $0.0001 per share with such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designations, voting and other rights and preferences as may be determined from time to time by the Company’s board of directors. As of December 31, 2023, there were no shares of preferred stock issued or outstanding.</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468630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85" w:name="page86"/>
    <w:bookmarkEnd w:id="85"/>
    <w:p>
      <w:pPr>
        <w:ind w:left="560" w:right="60"/>
        <w:spacing w:after="0" w:line="273" w:lineRule="auto"/>
        <w:rPr>
          <w:sz w:val="20"/>
          <w:szCs w:val="20"/>
          <w:color w:val="auto"/>
        </w:rPr>
      </w:pPr>
      <w:r>
        <w:rPr>
          <w:rFonts w:ascii="Times New Roman" w:cs="Times New Roman" w:eastAsia="Times New Roman" w:hAnsi="Times New Roman"/>
          <w:sz w:val="16"/>
          <w:szCs w:val="16"/>
          <w:b w:val="1"/>
          <w:bCs w:val="1"/>
          <w:color w:val="auto"/>
        </w:rPr>
        <w:t>Common Stock</w:t>
      </w:r>
      <w:r>
        <w:rPr>
          <w:rFonts w:ascii="Times New Roman" w:cs="Times New Roman" w:eastAsia="Times New Roman" w:hAnsi="Times New Roman"/>
          <w:sz w:val="16"/>
          <w:szCs w:val="16"/>
          <w:color w:val="auto"/>
        </w:rPr>
        <w:t>—The Company is authorized to issue up to 5,000,000,000 shares of common stock with a par value of $0.0001 per share. Each holder of common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stock is entitled to one (1) vote for each share of common stock held of record by such holder on all matters voted upon by the stockholders, subject to the restrictions set out in the Certificate of Incorporation. Holders of common stock are entitled to receive any dividends as may be declared from time to time by the board of directors. Upon a liquidation event, subject to the rights of the holders of any Preferred Stock issued and outstanding at such time, any distribution shall be made on a pro rata basis to the common stockholders.</w:t>
      </w:r>
    </w:p>
    <w:p>
      <w:pPr>
        <w:spacing w:after="0" w:line="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There were 603,128,781 and 622,072,905 shares of common stock issued and outstanding as of December 31, 2023 and 2022, respectively.</w:t>
      </w:r>
    </w:p>
    <w:p>
      <w:pPr>
        <w:spacing w:after="0" w:line="125" w:lineRule="exact"/>
        <w:rPr>
          <w:sz w:val="20"/>
          <w:szCs w:val="20"/>
          <w:color w:val="auto"/>
        </w:rPr>
      </w:pPr>
    </w:p>
    <w:p>
      <w:pPr>
        <w:ind w:left="560" w:right="20"/>
        <w:spacing w:after="0" w:line="282" w:lineRule="auto"/>
        <w:rPr>
          <w:sz w:val="20"/>
          <w:szCs w:val="20"/>
          <w:color w:val="auto"/>
        </w:rPr>
      </w:pPr>
      <w:r>
        <w:rPr>
          <w:rFonts w:ascii="Times New Roman" w:cs="Times New Roman" w:eastAsia="Times New Roman" w:hAnsi="Times New Roman"/>
          <w:sz w:val="16"/>
          <w:szCs w:val="16"/>
          <w:i w:val="1"/>
          <w:iCs w:val="1"/>
          <w:color w:val="auto"/>
        </w:rPr>
        <w:t>Secondary Offering and Stock Repurchase</w:t>
      </w:r>
      <w:r>
        <w:rPr>
          <w:rFonts w:ascii="Times New Roman" w:cs="Times New Roman" w:eastAsia="Times New Roman" w:hAnsi="Times New Roman"/>
          <w:sz w:val="16"/>
          <w:szCs w:val="16"/>
          <w:color w:val="auto"/>
        </w:rPr>
        <w:t>—In November 2023, certain existing stockholders completed a secondary offering where the selling stockholders sold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65,000,000 shares of common stock. In addition, the underwriters exercised an option granted by the selling stockholders to purchase an additional 4,875,000 shares of the Company’s common stock at the same per share price.</w:t>
      </w:r>
    </w:p>
    <w:p>
      <w:pPr>
        <w:spacing w:after="0" w:line="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Company did not receive any of the proceeds from the sale of the shares by the selling stockholders.</w:t>
      </w:r>
    </w:p>
    <w:p>
      <w:pPr>
        <w:spacing w:after="0" w:line="127" w:lineRule="exact"/>
        <w:rPr>
          <w:sz w:val="20"/>
          <w:szCs w:val="20"/>
          <w:color w:val="auto"/>
        </w:rPr>
      </w:pPr>
    </w:p>
    <w:p>
      <w:pPr>
        <w:ind w:left="560" w:right="380"/>
        <w:spacing w:after="0" w:line="298" w:lineRule="auto"/>
        <w:rPr>
          <w:sz w:val="20"/>
          <w:szCs w:val="20"/>
          <w:color w:val="auto"/>
        </w:rPr>
      </w:pPr>
      <w:r>
        <w:rPr>
          <w:rFonts w:ascii="Times New Roman" w:cs="Times New Roman" w:eastAsia="Times New Roman" w:hAnsi="Times New Roman"/>
          <w:sz w:val="16"/>
          <w:szCs w:val="16"/>
          <w:color w:val="auto"/>
        </w:rPr>
        <w:t>Concurrent with the closing of the secondary offering, 32,500,000 shares of common stock were repurchased by the Company for an aggregate price of $328.5 million. The shares repurchased by the Company were formally retired. The excess purchase price over par value was charged directly to accumulated deficit.</w:t>
      </w:r>
    </w:p>
    <w:p>
      <w:pPr>
        <w:spacing w:after="0" w:line="56" w:lineRule="exact"/>
        <w:rPr>
          <w:sz w:val="20"/>
          <w:szCs w:val="20"/>
          <w:color w:val="auto"/>
        </w:rPr>
      </w:pPr>
    </w:p>
    <w:p>
      <w:pPr>
        <w:ind w:left="560" w:right="100"/>
        <w:spacing w:after="0" w:line="298" w:lineRule="auto"/>
        <w:rPr>
          <w:sz w:val="20"/>
          <w:szCs w:val="20"/>
          <w:color w:val="auto"/>
        </w:rPr>
      </w:pPr>
      <w:r>
        <w:rPr>
          <w:rFonts w:ascii="Times New Roman" w:cs="Times New Roman" w:eastAsia="Times New Roman" w:hAnsi="Times New Roman"/>
          <w:sz w:val="16"/>
          <w:szCs w:val="16"/>
          <w:color w:val="auto"/>
        </w:rPr>
        <w:t>In connection with the offering and repurchase, the Company incurred costs of $2.0 million during the year ended December 31, 2023, included within general and administrative expenses on the consolidated statement of operations and comprehensive (loss) income.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Capital Stock Activity Prior to the Business Combination</w:t>
      </w:r>
    </w:p>
    <w:p>
      <w:pPr>
        <w:spacing w:after="0" w:line="127" w:lineRule="exact"/>
        <w:rPr>
          <w:sz w:val="20"/>
          <w:szCs w:val="20"/>
          <w:color w:val="auto"/>
        </w:rPr>
      </w:pPr>
    </w:p>
    <w:p>
      <w:pPr>
        <w:ind w:left="560" w:right="140"/>
        <w:spacing w:after="0" w:line="301" w:lineRule="auto"/>
        <w:rPr>
          <w:sz w:val="20"/>
          <w:szCs w:val="20"/>
          <w:color w:val="auto"/>
        </w:rPr>
      </w:pPr>
      <w:r>
        <w:rPr>
          <w:rFonts w:ascii="Times New Roman" w:cs="Times New Roman" w:eastAsia="Times New Roman" w:hAnsi="Times New Roman"/>
          <w:sz w:val="16"/>
          <w:szCs w:val="16"/>
          <w:i w:val="1"/>
          <w:iCs w:val="1"/>
          <w:color w:val="auto"/>
        </w:rPr>
        <w:t>Dividends</w:t>
      </w:r>
      <w:r>
        <w:rPr>
          <w:rFonts w:ascii="Times New Roman" w:cs="Times New Roman" w:eastAsia="Times New Roman" w:hAnsi="Times New Roman"/>
          <w:sz w:val="16"/>
          <w:szCs w:val="16"/>
          <w:color w:val="auto"/>
        </w:rPr>
        <w:t>—In July 2021, the board of directors of CCCIS declared a cash dividend on common stock. The aggregate cash dividend of $134.6 million was paid 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August 3, 2021.</w:t>
      </w:r>
    </w:p>
    <w:p>
      <w:pPr>
        <w:spacing w:after="0" w:line="54" w:lineRule="exact"/>
        <w:rPr>
          <w:sz w:val="20"/>
          <w:szCs w:val="20"/>
          <w:color w:val="auto"/>
        </w:rPr>
      </w:pPr>
    </w:p>
    <w:p>
      <w:pPr>
        <w:ind w:left="560" w:right="100"/>
        <w:spacing w:after="0" w:line="298" w:lineRule="auto"/>
        <w:rPr>
          <w:sz w:val="20"/>
          <w:szCs w:val="20"/>
          <w:color w:val="auto"/>
        </w:rPr>
      </w:pPr>
      <w:r>
        <w:rPr>
          <w:rFonts w:ascii="Times New Roman" w:cs="Times New Roman" w:eastAsia="Times New Roman" w:hAnsi="Times New Roman"/>
          <w:sz w:val="16"/>
          <w:szCs w:val="16"/>
          <w:color w:val="auto"/>
        </w:rPr>
        <w:t>In March 2021, the board of directors of CCCIS declared a cash dividend on common stock. The aggregate cash dividend of $134.5 million was paid on March 17, 2021.</w:t>
      </w:r>
    </w:p>
    <w:p>
      <w:pPr>
        <w:spacing w:after="0" w:line="56" w:lineRule="exact"/>
        <w:rPr>
          <w:sz w:val="20"/>
          <w:szCs w:val="20"/>
          <w:color w:val="auto"/>
        </w:rPr>
      </w:pPr>
    </w:p>
    <w:p>
      <w:pPr>
        <w:ind w:left="560" w:right="240"/>
        <w:spacing w:after="0" w:line="281" w:lineRule="auto"/>
        <w:rPr>
          <w:sz w:val="20"/>
          <w:szCs w:val="20"/>
          <w:color w:val="auto"/>
        </w:rPr>
      </w:pPr>
      <w:r>
        <w:rPr>
          <w:rFonts w:ascii="Times New Roman" w:cs="Times New Roman" w:eastAsia="Times New Roman" w:hAnsi="Times New Roman"/>
          <w:sz w:val="16"/>
          <w:szCs w:val="16"/>
          <w:color w:val="auto"/>
        </w:rPr>
        <w:t>In connection with the dividends paid in March 2021 and August 2021, certain CCCIS option holders received a strike price reduction of $66.40 per option to compensate for a reduction in the fair value of the underlying shares. The strike price reduction did not result in any incremental fair value and thus no additional stock-based compensation expense was recognized and the aggregate payment to the option holders of $9.0 million was recorded as a deemed distribution.</w:t>
      </w:r>
    </w:p>
    <w:p>
      <w:pPr>
        <w:spacing w:after="0" w:line="67" w:lineRule="exact"/>
        <w:rPr>
          <w:sz w:val="20"/>
          <w:szCs w:val="20"/>
          <w:color w:val="auto"/>
        </w:rPr>
      </w:pPr>
    </w:p>
    <w:p>
      <w:pPr>
        <w:ind w:left="560" w:right="460"/>
        <w:spacing w:after="0" w:line="301" w:lineRule="auto"/>
        <w:rPr>
          <w:sz w:val="20"/>
          <w:szCs w:val="20"/>
          <w:color w:val="auto"/>
        </w:rPr>
      </w:pPr>
      <w:r>
        <w:rPr>
          <w:rFonts w:ascii="Times New Roman" w:cs="Times New Roman" w:eastAsia="Times New Roman" w:hAnsi="Times New Roman"/>
          <w:sz w:val="16"/>
          <w:szCs w:val="16"/>
          <w:i w:val="1"/>
          <w:iCs w:val="1"/>
          <w:color w:val="auto"/>
        </w:rPr>
        <w:t>Share Issuances</w:t>
      </w:r>
      <w:r>
        <w:rPr>
          <w:rFonts w:ascii="Times New Roman" w:cs="Times New Roman" w:eastAsia="Times New Roman" w:hAnsi="Times New Roman"/>
          <w:sz w:val="16"/>
          <w:szCs w:val="16"/>
          <w:color w:val="auto"/>
        </w:rPr>
        <w:t>—In February 2021, CCCIS issued 883,729 shares of common stock to an executive and recorded stock-based compensation expense of $8.0</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million, equal to the fair value of the common shares at the time of issuance.</w:t>
      </w:r>
    </w:p>
    <w:p>
      <w:pPr>
        <w:spacing w:after="0" w:line="54" w:lineRule="exact"/>
        <w:rPr>
          <w:sz w:val="20"/>
          <w:szCs w:val="20"/>
          <w:color w:val="auto"/>
        </w:rPr>
      </w:pPr>
    </w:p>
    <w:p>
      <w:pPr>
        <w:ind w:left="560" w:right="440"/>
        <w:spacing w:after="0" w:line="298" w:lineRule="auto"/>
        <w:rPr>
          <w:sz w:val="20"/>
          <w:szCs w:val="20"/>
          <w:color w:val="auto"/>
        </w:rPr>
      </w:pPr>
      <w:r>
        <w:rPr>
          <w:rFonts w:ascii="Times New Roman" w:cs="Times New Roman" w:eastAsia="Times New Roman" w:hAnsi="Times New Roman"/>
          <w:sz w:val="16"/>
          <w:szCs w:val="16"/>
          <w:color w:val="auto"/>
        </w:rPr>
        <w:t>In January 2021, CCCIS issued 110,679 shares of common stock to a board member for aggregate cash proceeds of $1.0 million, equal to the fair value of the common shares at the time of issuance.</w:t>
      </w:r>
    </w:p>
    <w:p>
      <w:pPr>
        <w:spacing w:after="0" w:line="162" w:lineRule="exact"/>
        <w:rPr>
          <w:sz w:val="20"/>
          <w:szCs w:val="20"/>
          <w:color w:val="auto"/>
        </w:rPr>
      </w:pPr>
    </w:p>
    <w:p>
      <w:pPr>
        <w:ind w:left="560" w:hanging="552"/>
        <w:spacing w:after="0"/>
        <w:tabs>
          <w:tab w:leader="none" w:pos="560" w:val="left"/>
        </w:tabs>
        <w:numPr>
          <w:ilvl w:val="0"/>
          <w:numId w:val="5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EMPLOYEE BENEFIT PLANS</w:t>
      </w:r>
    </w:p>
    <w:p>
      <w:pPr>
        <w:spacing w:after="0" w:line="128" w:lineRule="exact"/>
        <w:rPr>
          <w:rFonts w:ascii="Times New Roman" w:cs="Times New Roman" w:eastAsia="Times New Roman" w:hAnsi="Times New Roman"/>
          <w:sz w:val="16"/>
          <w:szCs w:val="16"/>
          <w:b w:val="1"/>
          <w:bCs w:val="1"/>
          <w:color w:val="auto"/>
        </w:rPr>
      </w:pPr>
    </w:p>
    <w:p>
      <w:pPr>
        <w:ind w:left="560" w:right="140"/>
        <w:spacing w:after="0" w:line="27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sponsors a tax-qualified defined contribution savings and investment plan, CCC 401(k) Retirement Savings and Investment Plan (the “Savings Plan”). Participation in the Savings Plan is voluntary with substantially all domestic employees eligible to participate. Expenses related to the Savings Plan consist primarily of the Company’s contributions that are based on percentages of employees’ contributions. The defined contribution expense for the years ended December 31, 2023, 2022 and 2021 was $6.5 million, $6.1 million and $5.3 million, respectively.</w:t>
      </w:r>
    </w:p>
    <w:p>
      <w:pPr>
        <w:spacing w:after="0" w:line="180" w:lineRule="exact"/>
        <w:rPr>
          <w:rFonts w:ascii="Times New Roman" w:cs="Times New Roman" w:eastAsia="Times New Roman" w:hAnsi="Times New Roman"/>
          <w:sz w:val="16"/>
          <w:szCs w:val="16"/>
          <w:b w:val="1"/>
          <w:bCs w:val="1"/>
          <w:color w:val="auto"/>
        </w:rPr>
      </w:pPr>
    </w:p>
    <w:p>
      <w:pPr>
        <w:ind w:left="560" w:hanging="552"/>
        <w:spacing w:after="0"/>
        <w:tabs>
          <w:tab w:leader="none" w:pos="560" w:val="left"/>
        </w:tabs>
        <w:numPr>
          <w:ilvl w:val="0"/>
          <w:numId w:val="5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STOCK INCENTIVE PLANS</w:t>
      </w:r>
    </w:p>
    <w:p>
      <w:pPr>
        <w:spacing w:after="0" w:line="128" w:lineRule="exact"/>
        <w:rPr>
          <w:rFonts w:ascii="Times New Roman" w:cs="Times New Roman" w:eastAsia="Times New Roman" w:hAnsi="Times New Roman"/>
          <w:sz w:val="16"/>
          <w:szCs w:val="16"/>
          <w:b w:val="1"/>
          <w:bCs w:val="1"/>
          <w:color w:val="auto"/>
        </w:rPr>
      </w:pPr>
    </w:p>
    <w:p>
      <w:pPr>
        <w:ind w:left="560" w:right="20"/>
        <w:spacing w:after="0" w:line="29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connection with the Closing of the Business Combination, the CCC Intelligent Solutions Holdings Inc. 2021 Incentive Equity Plan (the "2021 Plan") was adopted and approved by the Company's board of directors and stockholders.</w:t>
      </w:r>
    </w:p>
    <w:p>
      <w:pPr>
        <w:spacing w:after="0" w:line="56" w:lineRule="exact"/>
        <w:rPr>
          <w:rFonts w:ascii="Times New Roman" w:cs="Times New Roman" w:eastAsia="Times New Roman" w:hAnsi="Times New Roman"/>
          <w:sz w:val="16"/>
          <w:szCs w:val="16"/>
          <w:b w:val="1"/>
          <w:bCs w:val="1"/>
          <w:color w:val="auto"/>
        </w:rPr>
      </w:pPr>
    </w:p>
    <w:p>
      <w:pPr>
        <w:ind w:left="560" w:right="160"/>
        <w:spacing w:after="0" w:line="28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purpose of the 2021 Plan is to enable the Company to attract, retain, and motivate employees, consultants, and independent members of the board of directors of the Company and its subsidiaries by allowing them to become owners of common stock enabling them to benefit directly from the growth, development, and financial successes of the Company.</w:t>
      </w:r>
    </w:p>
    <w:p>
      <w:pPr>
        <w:spacing w:after="0" w:line="69" w:lineRule="exact"/>
        <w:rPr>
          <w:rFonts w:ascii="Times New Roman" w:cs="Times New Roman" w:eastAsia="Times New Roman" w:hAnsi="Times New Roman"/>
          <w:sz w:val="16"/>
          <w:szCs w:val="16"/>
          <w:b w:val="1"/>
          <w:bCs w:val="1"/>
          <w:color w:val="auto"/>
        </w:rPr>
      </w:pPr>
    </w:p>
    <w:p>
      <w:pPr>
        <w:ind w:left="5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Prior to the Business Combination, the Company maintained its 2017 Stock Option Plan (the “2017 Plan”).</w:t>
      </w:r>
    </w:p>
    <w:p>
      <w:pPr>
        <w:spacing w:after="0" w:line="126" w:lineRule="exact"/>
        <w:rPr>
          <w:rFonts w:ascii="Times New Roman" w:cs="Times New Roman" w:eastAsia="Times New Roman" w:hAnsi="Times New Roman"/>
          <w:sz w:val="16"/>
          <w:szCs w:val="16"/>
          <w:b w:val="1"/>
          <w:bCs w:val="1"/>
          <w:color w:val="auto"/>
        </w:rPr>
      </w:pPr>
    </w:p>
    <w:p>
      <w:pPr>
        <w:ind w:left="560"/>
        <w:spacing w:after="0" w:line="27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Upon the adoption and approval of the 2021 Plan, the 2017 Plan was terminated and each outstanding vested or unvested option, as required under the 2017 Plan, was converted to the 2021 Plan, multiplied by the Exchange Ratio, with the same key terms and vesting requirements. Additionally, the Company maintained a Phantom Stock Plan (the “Phantom Plan”), which provided for the issuance of phantom shares of CCCIS’s common stock (“Phantom Shares”) to eligible employees under the 2017 Plan. All stock-based award activity prior to the closing of the Business Combination on July 30, 2021 has been retroactively restated to reflect the Exchange Ratio.</w:t>
      </w:r>
    </w:p>
    <w:p>
      <w:pPr>
        <w:spacing w:after="0" w:line="77" w:lineRule="exact"/>
        <w:rPr>
          <w:rFonts w:ascii="Times New Roman" w:cs="Times New Roman" w:eastAsia="Times New Roman" w:hAnsi="Times New Roman"/>
          <w:sz w:val="16"/>
          <w:szCs w:val="16"/>
          <w:b w:val="1"/>
          <w:bCs w:val="1"/>
          <w:color w:val="auto"/>
        </w:rPr>
      </w:pPr>
    </w:p>
    <w:p>
      <w:pPr>
        <w:ind w:left="560" w:right="120"/>
        <w:spacing w:after="0" w:line="29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Awards granted under the 2017 Plan and the Phantom Plan either had time-based vesting or performance-based vesting with a market condition. Options expire on the tenth anniversary of the grant date. Awards granted under the Phantom Plan were settled in cash and thus accounted for as liability awards.</w:t>
      </w:r>
    </w:p>
    <w:p>
      <w:pPr>
        <w:spacing w:after="0" w:line="56" w:lineRule="exact"/>
        <w:rPr>
          <w:sz w:val="20"/>
          <w:szCs w:val="20"/>
          <w:color w:val="auto"/>
        </w:rPr>
      </w:pPr>
    </w:p>
    <w:p>
      <w:pPr>
        <w:ind w:left="560" w:right="80"/>
        <w:spacing w:after="0" w:line="267" w:lineRule="auto"/>
        <w:rPr>
          <w:sz w:val="20"/>
          <w:szCs w:val="20"/>
          <w:color w:val="auto"/>
        </w:rPr>
      </w:pPr>
      <w:r>
        <w:rPr>
          <w:rFonts w:ascii="Times New Roman" w:cs="Times New Roman" w:eastAsia="Times New Roman" w:hAnsi="Times New Roman"/>
          <w:sz w:val="16"/>
          <w:szCs w:val="16"/>
          <w:color w:val="auto"/>
        </w:rPr>
        <w:t>During 2021, the board of directors of CCCIS approved a modification that resulted in vesting of the performance-based awards with a market condition and the Phantom Shares upon Closing of the Business Combination. At the time of modification, the Company estimated a new fair value of the modified awards. As such, at the time of such modification, the Company recognized $203.9 million of stock-based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6" w:right="339" w:bottom="1440" w:gutter="0" w:footer="0" w:header="0"/>
        </w:sectPr>
      </w:pPr>
    </w:p>
    <w:bookmarkStart w:id="86" w:name="page87"/>
    <w:bookmarkEnd w:id="86"/>
    <w:p>
      <w:pPr>
        <w:ind w:right="320"/>
        <w:spacing w:after="0" w:line="298" w:lineRule="auto"/>
        <w:rPr>
          <w:sz w:val="20"/>
          <w:szCs w:val="20"/>
          <w:color w:val="auto"/>
        </w:rPr>
      </w:pPr>
      <w:r>
        <w:rPr>
          <w:rFonts w:ascii="Times New Roman" w:cs="Times New Roman" w:eastAsia="Times New Roman" w:hAnsi="Times New Roman"/>
          <w:sz w:val="16"/>
          <w:szCs w:val="16"/>
          <w:color w:val="auto"/>
        </w:rPr>
        <w:t>compensation based on the fair value of the performance-based awards with a market condition and $6.0 million of stock-based compensation based on the fair value of the Phantom Shares.</w:t>
      </w:r>
    </w:p>
    <w:p>
      <w:pPr>
        <w:spacing w:after="0" w:line="56" w:lineRule="exact"/>
        <w:rPr>
          <w:sz w:val="20"/>
          <w:szCs w:val="20"/>
          <w:color w:val="auto"/>
        </w:rPr>
      </w:pPr>
    </w:p>
    <w:p>
      <w:pPr>
        <w:jc w:val="both"/>
        <w:ind w:right="140"/>
        <w:spacing w:after="0" w:line="275" w:lineRule="auto"/>
        <w:rPr>
          <w:sz w:val="20"/>
          <w:szCs w:val="20"/>
          <w:color w:val="auto"/>
        </w:rPr>
      </w:pPr>
      <w:r>
        <w:rPr>
          <w:rFonts w:ascii="Times New Roman" w:cs="Times New Roman" w:eastAsia="Times New Roman" w:hAnsi="Times New Roman"/>
          <w:sz w:val="16"/>
          <w:szCs w:val="16"/>
          <w:color w:val="auto"/>
        </w:rPr>
        <w:t>The total number of shares of common stock that will be reserved and that may be issued under the 2021 Plan will automatically increase on the first day of each fiscal year, beginning with fiscal year 2022, by a number of shares equal to 5.0% of the total number of shares of common stock outstanding on the last day of the prior fiscal year or such lesser amount as determined by the board of directors. For the year ended December 31, 2023 and 2022, the board of directors elected not to increase the number of shares of common stock reserved under the 2021 Plan.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the shares of common stock reserved for future issuance under the 2021 Plan as of December 31, 2023 and 2022:</w:t>
      </w:r>
    </w:p>
    <w:p>
      <w:pPr>
        <w:spacing w:after="0" w:line="273" w:lineRule="exact"/>
        <w:rPr>
          <w:sz w:val="20"/>
          <w:szCs w:val="20"/>
          <w:color w:val="auto"/>
        </w:rPr>
      </w:pPr>
    </w:p>
    <w:tbl>
      <w:tblPr>
        <w:tblLayout w:type="fixed"/>
        <w:tblInd w:w="580" w:type="dxa"/>
        <w:tblCellMar>
          <w:top w:w="0" w:type="dxa"/>
          <w:left w:w="0" w:type="dxa"/>
          <w:bottom w:w="0" w:type="dxa"/>
          <w:right w:w="0" w:type="dxa"/>
        </w:tblCellMar>
      </w:tblPr>
      <w:tr>
        <w:trPr>
          <w:trHeight w:val="225"/>
        </w:trPr>
        <w:tc>
          <w:tcPr>
            <w:tcW w:w="5060" w:type="dxa"/>
            <w:vAlign w:val="bottom"/>
          </w:tcPr>
          <w:p>
            <w:pPr>
              <w:spacing w:after="0"/>
              <w:rPr>
                <w:sz w:val="19"/>
                <w:szCs w:val="19"/>
                <w:color w:val="auto"/>
              </w:rPr>
            </w:pPr>
          </w:p>
        </w:tc>
        <w:tc>
          <w:tcPr>
            <w:tcW w:w="2600" w:type="dxa"/>
            <w:vAlign w:val="bottom"/>
            <w:tcBorders>
              <w:bottom w:val="single" w:sz="8" w:color="auto"/>
            </w:tcBorders>
            <w:gridSpan w:val="3"/>
          </w:tcPr>
          <w:p>
            <w:pPr>
              <w:ind w:left="14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5060" w:type="dxa"/>
            <w:vAlign w:val="bottom"/>
          </w:tcPr>
          <w:p>
            <w:pPr>
              <w:spacing w:after="0"/>
              <w:rPr>
                <w:sz w:val="19"/>
                <w:szCs w:val="19"/>
                <w:color w:val="auto"/>
              </w:rPr>
            </w:pPr>
          </w:p>
        </w:tc>
        <w:tc>
          <w:tcPr>
            <w:tcW w:w="18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3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r>
      <w:tr>
        <w:trPr>
          <w:trHeight w:val="229"/>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 options outstanding</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35,788,469</w:t>
            </w: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45,249,260</w:t>
            </w:r>
          </w:p>
        </w:tc>
        <w:tc>
          <w:tcPr>
            <w:tcW w:w="80" w:type="dxa"/>
            <w:vAlign w:val="bottom"/>
            <w:shd w:val="clear" w:color="auto" w:fill="CFF0FC"/>
          </w:tcPr>
          <w:p>
            <w:pPr>
              <w:spacing w:after="0"/>
              <w:rPr>
                <w:sz w:val="19"/>
                <w:szCs w:val="19"/>
                <w:color w:val="auto"/>
              </w:rPr>
            </w:pPr>
          </w:p>
        </w:tc>
      </w:tr>
      <w:tr>
        <w:trPr>
          <w:trHeight w:val="220"/>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Restricted stock units outstanding</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36,329,881</w:t>
            </w: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31,288,688</w:t>
            </w:r>
          </w:p>
        </w:tc>
        <w:tc>
          <w:tcPr>
            <w:tcW w:w="80" w:type="dxa"/>
            <w:vAlign w:val="bottom"/>
          </w:tcPr>
          <w:p>
            <w:pPr>
              <w:spacing w:after="0"/>
              <w:rPr>
                <w:sz w:val="19"/>
                <w:szCs w:val="19"/>
                <w:color w:val="auto"/>
              </w:rPr>
            </w:pPr>
          </w:p>
        </w:tc>
      </w:tr>
      <w:tr>
        <w:trPr>
          <w:trHeight w:val="239"/>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Restricted stock units available for future grant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49,451,502</w:t>
            </w:r>
          </w:p>
        </w:tc>
        <w:tc>
          <w:tcPr>
            <w:tcW w:w="3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57,946,089</w:t>
            </w:r>
          </w:p>
        </w:tc>
        <w:tc>
          <w:tcPr>
            <w:tcW w:w="80" w:type="dxa"/>
            <w:vAlign w:val="bottom"/>
            <w:shd w:val="clear" w:color="auto" w:fill="CFF0FC"/>
          </w:tcPr>
          <w:p>
            <w:pPr>
              <w:spacing w:after="0"/>
              <w:rPr>
                <w:sz w:val="20"/>
                <w:szCs w:val="20"/>
                <w:color w:val="auto"/>
              </w:rPr>
            </w:pPr>
          </w:p>
        </w:tc>
      </w:tr>
      <w:tr>
        <w:trPr>
          <w:trHeight w:val="227"/>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Reserved for ESPP</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4,981,134</w:t>
            </w:r>
          </w:p>
        </w:tc>
        <w:tc>
          <w:tcPr>
            <w:tcW w:w="3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5,622,825</w:t>
            </w:r>
          </w:p>
        </w:tc>
        <w:tc>
          <w:tcPr>
            <w:tcW w:w="80" w:type="dxa"/>
            <w:vAlign w:val="bottom"/>
          </w:tcPr>
          <w:p>
            <w:pPr>
              <w:spacing w:after="0"/>
              <w:rPr>
                <w:sz w:val="19"/>
                <w:szCs w:val="19"/>
                <w:color w:val="auto"/>
              </w:rPr>
            </w:pPr>
          </w:p>
        </w:tc>
      </w:tr>
      <w:tr>
        <w:trPr>
          <w:trHeight w:val="266"/>
        </w:trPr>
        <w:tc>
          <w:tcPr>
            <w:tcW w:w="5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Common stock reserved for future issuance</w:t>
            </w: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126,550,986</w:t>
            </w:r>
          </w:p>
        </w:tc>
        <w:tc>
          <w:tcPr>
            <w:tcW w:w="320" w:type="dxa"/>
            <w:vAlign w:val="bottom"/>
            <w:tcBorders>
              <w:bottom w:val="single" w:sz="8" w:color="CFF0FC"/>
            </w:tcBorders>
            <w:shd w:val="clear" w:color="auto" w:fill="CFF0FC"/>
          </w:tcPr>
          <w:p>
            <w:pPr>
              <w:spacing w:after="0"/>
              <w:rPr>
                <w:sz w:val="23"/>
                <w:szCs w:val="23"/>
                <w:color w:val="auto"/>
              </w:rPr>
            </w:pPr>
          </w:p>
        </w:tc>
        <w:tc>
          <w:tcPr>
            <w:tcW w:w="460" w:type="dxa"/>
            <w:vAlign w:val="bottom"/>
            <w:tcBorders>
              <w:bottom w:val="single" w:sz="8" w:color="auto"/>
            </w:tcBorders>
            <w:shd w:val="clear" w:color="auto" w:fill="CFF0FC"/>
          </w:tcPr>
          <w:p>
            <w:pPr>
              <w:spacing w:after="0"/>
              <w:rPr>
                <w:sz w:val="23"/>
                <w:szCs w:val="23"/>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140,106,862</w:t>
            </w:r>
          </w:p>
        </w:tc>
        <w:tc>
          <w:tcPr>
            <w:tcW w:w="8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4732655</wp:posOffset>
            </wp:positionH>
            <wp:positionV relativeFrom="paragraph">
              <wp:posOffset>-25400</wp:posOffset>
            </wp:positionV>
            <wp:extent cx="6032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4732655</wp:posOffset>
            </wp:positionH>
            <wp:positionV relativeFrom="paragraph">
              <wp:posOffset>-8255</wp:posOffset>
            </wp:positionV>
            <wp:extent cx="6032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6018530</wp:posOffset>
            </wp:positionH>
            <wp:positionV relativeFrom="paragraph">
              <wp:posOffset>-25400</wp:posOffset>
            </wp:positionV>
            <wp:extent cx="5143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6018530</wp:posOffset>
            </wp:positionH>
            <wp:positionV relativeFrom="paragraph">
              <wp:posOffset>-8255</wp:posOffset>
            </wp:positionV>
            <wp:extent cx="5143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Restricted Stock Units</w:t>
      </w:r>
      <w:r>
        <w:rPr>
          <w:rFonts w:ascii="Times New Roman" w:cs="Times New Roman" w:eastAsia="Times New Roman" w:hAnsi="Times New Roman"/>
          <w:sz w:val="16"/>
          <w:szCs w:val="16"/>
          <w:color w:val="auto"/>
        </w:rPr>
        <w:t>—RSUs are convertible into shares of the Company’s common stock upon vesting.</w:t>
      </w:r>
    </w:p>
    <w:p>
      <w:pPr>
        <w:spacing w:after="0" w:line="1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The grant date fair value of each RSU with time-based vesting and performance-based vesting is determined using the fair value of the underlying common stock on the date of grant. The grant date fair value of each performance-based RSU with a market condition is estimated on the date of grant using the Monte Carlo simulation model.</w:t>
      </w:r>
    </w:p>
    <w:p>
      <w:pPr>
        <w:spacing w:after="0" w:line="69"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6"/>
          <w:szCs w:val="16"/>
          <w:color w:val="auto"/>
        </w:rPr>
        <w:t>Stock-based compensation for RSUs with time-based vesting is recognized on a straight-line basis over the requisite service period for the number of RSUs that are probable of vesting. Stock-based compensation for performance-based RSUs or performance-based RSUs with a market condition is recognized on a straight-line basis over the performance period based on the number of RSUs that are probable of vesting.</w:t>
      </w:r>
    </w:p>
    <w:p>
      <w:pPr>
        <w:spacing w:after="0" w:line="69"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6"/>
          <w:szCs w:val="16"/>
          <w:color w:val="auto"/>
        </w:rPr>
        <w:t>During 2023, CCC's board of directors of CCCIS approved modifications to the performance-based RSUs subject to a market condition. The modifications included: (i) the extension of the performance period by one year, (ii) a change to the performance criteria, (iii) a change to the number of units to be issued depending on performance and (iv) for certain grants, imposing a maximum number of units to be issued depending on performance equal to 100% of the target.</w:t>
      </w:r>
    </w:p>
    <w:p>
      <w:pPr>
        <w:spacing w:after="0" w:line="69"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6"/>
          <w:szCs w:val="16"/>
          <w:color w:val="auto"/>
        </w:rPr>
        <w:t>The modification to the performance-based RSUs subject to a market condition resulted in incremental stock-based compensation expense of $67.0 million, which will be recognized ratably over the modified performance periods. The amount of stock-based compensation expense related to the modified awards during the year ended December 31, 2023 was not significant.</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table below summarizes the RSU activity for the years ended December 31, 2023, 2022, and 2021:</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24"/>
        </w:trPr>
        <w:tc>
          <w:tcPr>
            <w:tcW w:w="58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Weighted-</w:t>
            </w:r>
          </w:p>
        </w:tc>
      </w:tr>
      <w:tr>
        <w:trPr>
          <w:trHeight w:val="229"/>
        </w:trPr>
        <w:tc>
          <w:tcPr>
            <w:tcW w:w="58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43"/>
        </w:trPr>
        <w:tc>
          <w:tcPr>
            <w:tcW w:w="580" w:type="dxa"/>
            <w:vAlign w:val="bottom"/>
          </w:tcPr>
          <w:p>
            <w:pPr>
              <w:spacing w:after="0"/>
              <w:rPr>
                <w:sz w:val="21"/>
                <w:szCs w:val="21"/>
                <w:color w:val="auto"/>
              </w:rPr>
            </w:pPr>
          </w:p>
        </w:tc>
        <w:tc>
          <w:tcPr>
            <w:tcW w:w="6140" w:type="dxa"/>
            <w:vAlign w:val="bottom"/>
          </w:tcPr>
          <w:p>
            <w:pPr>
              <w:spacing w:after="0"/>
              <w:rPr>
                <w:sz w:val="21"/>
                <w:szCs w:val="21"/>
                <w:color w:val="auto"/>
              </w:rPr>
            </w:pPr>
          </w:p>
        </w:tc>
        <w:tc>
          <w:tcPr>
            <w:tcW w:w="14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Pr>
          <w:p>
            <w:pPr>
              <w:spacing w:after="0"/>
              <w:rPr>
                <w:sz w:val="21"/>
                <w:szCs w:val="21"/>
                <w:color w:val="auto"/>
              </w:rPr>
            </w:pPr>
          </w:p>
        </w:tc>
      </w:tr>
      <w:tr>
        <w:trPr>
          <w:trHeight w:val="230"/>
        </w:trPr>
        <w:tc>
          <w:tcPr>
            <w:tcW w:w="580" w:type="dxa"/>
            <w:vAlign w:val="bottom"/>
          </w:tcPr>
          <w:p>
            <w:pPr>
              <w:spacing w:after="0"/>
              <w:rPr>
                <w:sz w:val="19"/>
                <w:szCs w:val="19"/>
                <w:color w:val="auto"/>
              </w:rPr>
            </w:pPr>
          </w:p>
        </w:tc>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Non-vested RSUs—December 31, 2020</w:t>
            </w:r>
          </w:p>
        </w:tc>
        <w:tc>
          <w:tcPr>
            <w:tcW w:w="17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580" w:type="dxa"/>
            <w:vAlign w:val="bottom"/>
          </w:tcPr>
          <w:p>
            <w:pPr>
              <w:spacing w:after="0"/>
              <w:rPr>
                <w:sz w:val="19"/>
                <w:szCs w:val="19"/>
                <w:color w:val="auto"/>
              </w:rPr>
            </w:pPr>
          </w:p>
        </w:tc>
        <w:tc>
          <w:tcPr>
            <w:tcW w:w="61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18,677,411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80" w:type="dxa"/>
            <w:vAlign w:val="bottom"/>
          </w:tcPr>
          <w:p>
            <w:pPr>
              <w:spacing w:after="0"/>
              <w:rPr>
                <w:sz w:val="19"/>
                <w:szCs w:val="19"/>
                <w:color w:val="auto"/>
              </w:rPr>
            </w:pPr>
          </w:p>
        </w:tc>
      </w:tr>
      <w:tr>
        <w:trPr>
          <w:trHeight w:val="236"/>
        </w:trPr>
        <w:tc>
          <w:tcPr>
            <w:tcW w:w="580" w:type="dxa"/>
            <w:vAlign w:val="bottom"/>
          </w:tcPr>
          <w:p>
            <w:pPr>
              <w:spacing w:after="0"/>
              <w:rPr>
                <w:sz w:val="20"/>
                <w:szCs w:val="20"/>
                <w:color w:val="auto"/>
              </w:rPr>
            </w:pPr>
          </w:p>
        </w:tc>
        <w:tc>
          <w:tcPr>
            <w:tcW w:w="61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Canceled</w:t>
            </w:r>
          </w:p>
        </w:tc>
        <w:tc>
          <w:tcPr>
            <w:tcW w:w="1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(119,200 )</w:t>
            </w: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11.59</w:t>
            </w:r>
          </w:p>
        </w:tc>
        <w:tc>
          <w:tcPr>
            <w:tcW w:w="80" w:type="dxa"/>
            <w:vAlign w:val="bottom"/>
            <w:shd w:val="clear" w:color="auto" w:fill="CFF0FC"/>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61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Non-vested RSUs—December 31, 2021</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18,558,211</w:t>
            </w:r>
          </w:p>
        </w:tc>
        <w:tc>
          <w:tcPr>
            <w:tcW w:w="2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80" w:type="dxa"/>
            <w:vAlign w:val="bottom"/>
            <w:tcBorders>
              <w:top w:val="single" w:sz="8" w:color="CFF0FC"/>
            </w:tcBorders>
          </w:tcPr>
          <w:p>
            <w:pPr>
              <w:spacing w:after="0"/>
              <w:rPr>
                <w:sz w:val="18"/>
                <w:szCs w:val="18"/>
                <w:color w:val="auto"/>
              </w:rPr>
            </w:pPr>
          </w:p>
        </w:tc>
      </w:tr>
      <w:tr>
        <w:trPr>
          <w:trHeight w:val="239"/>
        </w:trPr>
        <w:tc>
          <w:tcPr>
            <w:tcW w:w="580" w:type="dxa"/>
            <w:vAlign w:val="bottom"/>
          </w:tcPr>
          <w:p>
            <w:pPr>
              <w:spacing w:after="0"/>
              <w:rPr>
                <w:sz w:val="20"/>
                <w:szCs w:val="20"/>
                <w:color w:val="auto"/>
              </w:rPr>
            </w:pPr>
          </w:p>
        </w:tc>
        <w:tc>
          <w:tcPr>
            <w:tcW w:w="61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Granted</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16,426,878</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10.07</w:t>
            </w:r>
          </w:p>
        </w:tc>
        <w:tc>
          <w:tcPr>
            <w:tcW w:w="80" w:type="dxa"/>
            <w:vAlign w:val="bottom"/>
            <w:shd w:val="clear" w:color="auto" w:fill="CFF0FC"/>
          </w:tcPr>
          <w:p>
            <w:pPr>
              <w:spacing w:after="0"/>
              <w:rPr>
                <w:sz w:val="20"/>
                <w:szCs w:val="20"/>
                <w:color w:val="auto"/>
              </w:rPr>
            </w:pPr>
          </w:p>
        </w:tc>
      </w:tr>
      <w:tr>
        <w:trPr>
          <w:trHeight w:val="220"/>
        </w:trPr>
        <w:tc>
          <w:tcPr>
            <w:tcW w:w="580" w:type="dxa"/>
            <w:vAlign w:val="bottom"/>
          </w:tcPr>
          <w:p>
            <w:pPr>
              <w:spacing w:after="0"/>
              <w:rPr>
                <w:sz w:val="19"/>
                <w:szCs w:val="19"/>
                <w:color w:val="auto"/>
              </w:rPr>
            </w:pPr>
          </w:p>
        </w:tc>
        <w:tc>
          <w:tcPr>
            <w:tcW w:w="61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Vested</w:t>
            </w: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(2,324,324 )</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11.22</w:t>
            </w:r>
          </w:p>
        </w:tc>
        <w:tc>
          <w:tcPr>
            <w:tcW w:w="80" w:type="dxa"/>
            <w:vAlign w:val="bottom"/>
          </w:tcPr>
          <w:p>
            <w:pPr>
              <w:spacing w:after="0"/>
              <w:rPr>
                <w:sz w:val="19"/>
                <w:szCs w:val="19"/>
                <w:color w:val="auto"/>
              </w:rPr>
            </w:pPr>
          </w:p>
        </w:tc>
      </w:tr>
      <w:tr>
        <w:trPr>
          <w:trHeight w:val="236"/>
        </w:trPr>
        <w:tc>
          <w:tcPr>
            <w:tcW w:w="580" w:type="dxa"/>
            <w:vAlign w:val="bottom"/>
          </w:tcPr>
          <w:p>
            <w:pPr>
              <w:spacing w:after="0"/>
              <w:rPr>
                <w:sz w:val="20"/>
                <w:szCs w:val="20"/>
                <w:color w:val="auto"/>
              </w:rPr>
            </w:pPr>
          </w:p>
        </w:tc>
        <w:tc>
          <w:tcPr>
            <w:tcW w:w="61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Canceled</w:t>
            </w:r>
          </w:p>
        </w:tc>
        <w:tc>
          <w:tcPr>
            <w:tcW w:w="1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(1,372,077 )</w:t>
            </w: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10.93</w:t>
            </w:r>
          </w:p>
        </w:tc>
        <w:tc>
          <w:tcPr>
            <w:tcW w:w="80" w:type="dxa"/>
            <w:vAlign w:val="bottom"/>
            <w:shd w:val="clear" w:color="auto" w:fill="CFF0FC"/>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61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Non-vested RSUs—December 31, 2022</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31,288,688</w:t>
            </w:r>
          </w:p>
        </w:tc>
        <w:tc>
          <w:tcPr>
            <w:tcW w:w="2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9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10.34</w:t>
            </w:r>
          </w:p>
        </w:tc>
        <w:tc>
          <w:tcPr>
            <w:tcW w:w="80" w:type="dxa"/>
            <w:vAlign w:val="bottom"/>
            <w:tcBorders>
              <w:top w:val="single" w:sz="8" w:color="CFF0FC"/>
            </w:tcBorders>
          </w:tcPr>
          <w:p>
            <w:pPr>
              <w:spacing w:after="0"/>
              <w:rPr>
                <w:sz w:val="18"/>
                <w:szCs w:val="18"/>
                <w:color w:val="auto"/>
              </w:rPr>
            </w:pPr>
          </w:p>
        </w:tc>
      </w:tr>
      <w:tr>
        <w:trPr>
          <w:trHeight w:val="239"/>
        </w:trPr>
        <w:tc>
          <w:tcPr>
            <w:tcW w:w="580" w:type="dxa"/>
            <w:vAlign w:val="bottom"/>
          </w:tcPr>
          <w:p>
            <w:pPr>
              <w:spacing w:after="0"/>
              <w:rPr>
                <w:sz w:val="20"/>
                <w:szCs w:val="20"/>
                <w:color w:val="auto"/>
              </w:rPr>
            </w:pPr>
          </w:p>
        </w:tc>
        <w:tc>
          <w:tcPr>
            <w:tcW w:w="61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Granted</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12,574,115</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9.01</w:t>
            </w:r>
          </w:p>
        </w:tc>
        <w:tc>
          <w:tcPr>
            <w:tcW w:w="80" w:type="dxa"/>
            <w:vAlign w:val="bottom"/>
            <w:shd w:val="clear" w:color="auto" w:fill="CFF0FC"/>
          </w:tcPr>
          <w:p>
            <w:pPr>
              <w:spacing w:after="0"/>
              <w:rPr>
                <w:sz w:val="20"/>
                <w:szCs w:val="20"/>
                <w:color w:val="auto"/>
              </w:rPr>
            </w:pPr>
          </w:p>
        </w:tc>
      </w:tr>
      <w:tr>
        <w:trPr>
          <w:trHeight w:val="220"/>
        </w:trPr>
        <w:tc>
          <w:tcPr>
            <w:tcW w:w="580" w:type="dxa"/>
            <w:vAlign w:val="bottom"/>
          </w:tcPr>
          <w:p>
            <w:pPr>
              <w:spacing w:after="0"/>
              <w:rPr>
                <w:sz w:val="19"/>
                <w:szCs w:val="19"/>
                <w:color w:val="auto"/>
              </w:rPr>
            </w:pPr>
          </w:p>
        </w:tc>
        <w:tc>
          <w:tcPr>
            <w:tcW w:w="61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Vested</w:t>
            </w: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(5,707,373 )</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10.57</w:t>
            </w:r>
          </w:p>
        </w:tc>
        <w:tc>
          <w:tcPr>
            <w:tcW w:w="80" w:type="dxa"/>
            <w:vAlign w:val="bottom"/>
          </w:tcPr>
          <w:p>
            <w:pPr>
              <w:spacing w:after="0"/>
              <w:rPr>
                <w:sz w:val="19"/>
                <w:szCs w:val="19"/>
                <w:color w:val="auto"/>
              </w:rPr>
            </w:pPr>
          </w:p>
        </w:tc>
      </w:tr>
      <w:tr>
        <w:trPr>
          <w:trHeight w:val="236"/>
        </w:trPr>
        <w:tc>
          <w:tcPr>
            <w:tcW w:w="580" w:type="dxa"/>
            <w:vAlign w:val="bottom"/>
          </w:tcPr>
          <w:p>
            <w:pPr>
              <w:spacing w:after="0"/>
              <w:rPr>
                <w:sz w:val="20"/>
                <w:szCs w:val="20"/>
                <w:color w:val="auto"/>
              </w:rPr>
            </w:pPr>
          </w:p>
        </w:tc>
        <w:tc>
          <w:tcPr>
            <w:tcW w:w="61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Canceled</w:t>
            </w:r>
          </w:p>
        </w:tc>
        <w:tc>
          <w:tcPr>
            <w:tcW w:w="1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(1,825,549 )</w:t>
            </w: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80" w:type="dxa"/>
            <w:vAlign w:val="bottom"/>
            <w:shd w:val="clear" w:color="auto" w:fill="CFF0FC"/>
          </w:tcPr>
          <w:p>
            <w:pPr>
              <w:spacing w:after="0"/>
              <w:rPr>
                <w:sz w:val="20"/>
                <w:szCs w:val="20"/>
                <w:color w:val="auto"/>
              </w:rPr>
            </w:pPr>
          </w:p>
        </w:tc>
      </w:tr>
      <w:tr>
        <w:trPr>
          <w:trHeight w:val="226"/>
        </w:trPr>
        <w:tc>
          <w:tcPr>
            <w:tcW w:w="580" w:type="dxa"/>
            <w:vAlign w:val="bottom"/>
          </w:tcPr>
          <w:p>
            <w:pPr>
              <w:spacing w:after="0"/>
              <w:rPr>
                <w:sz w:val="19"/>
                <w:szCs w:val="19"/>
                <w:color w:val="auto"/>
              </w:rPr>
            </w:pPr>
          </w:p>
        </w:tc>
        <w:tc>
          <w:tcPr>
            <w:tcW w:w="61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Non-vested RSUs—December 31, 2023</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36,329,881</w:t>
            </w:r>
          </w:p>
        </w:tc>
        <w:tc>
          <w:tcPr>
            <w:tcW w:w="28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10.56</w:t>
            </w:r>
          </w:p>
        </w:tc>
        <w:tc>
          <w:tcPr>
            <w:tcW w:w="80" w:type="dxa"/>
            <w:vAlign w:val="bottom"/>
            <w:tcBorders>
              <w:top w:val="single" w:sz="8" w:color="CFF0FC"/>
            </w:tcBorders>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5204460</wp:posOffset>
            </wp:positionH>
            <wp:positionV relativeFrom="paragraph">
              <wp:posOffset>-1362075</wp:posOffset>
            </wp:positionV>
            <wp:extent cx="6032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5204460</wp:posOffset>
            </wp:positionH>
            <wp:positionV relativeFrom="paragraph">
              <wp:posOffset>-770890</wp:posOffset>
            </wp:positionV>
            <wp:extent cx="6032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5204460</wp:posOffset>
            </wp:positionH>
            <wp:positionV relativeFrom="paragraph">
              <wp:posOffset>-179705</wp:posOffset>
            </wp:positionV>
            <wp:extent cx="6032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74"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During the year ended December 31, 2023, the Company granted 12,574,115 RSUs, of which 10,946,224 have time-based vesting requirements and 1,627,891 have performance-based vesting requirements.</w:t>
      </w:r>
    </w:p>
    <w:p>
      <w:pPr>
        <w:spacing w:after="0" w:line="56" w:lineRule="exact"/>
        <w:rPr>
          <w:sz w:val="20"/>
          <w:szCs w:val="20"/>
          <w:color w:val="auto"/>
        </w:rPr>
      </w:pPr>
    </w:p>
    <w:p>
      <w:pPr>
        <w:ind w:right="360"/>
        <w:spacing w:after="0" w:line="298" w:lineRule="auto"/>
        <w:rPr>
          <w:sz w:val="20"/>
          <w:szCs w:val="20"/>
          <w:color w:val="auto"/>
        </w:rPr>
      </w:pPr>
      <w:r>
        <w:rPr>
          <w:rFonts w:ascii="Times New Roman" w:cs="Times New Roman" w:eastAsia="Times New Roman" w:hAnsi="Times New Roman"/>
          <w:sz w:val="16"/>
          <w:szCs w:val="16"/>
          <w:color w:val="auto"/>
        </w:rPr>
        <w:t>During the year ended December 31, 2022, the Company granted 16,426,878 RSUs, of which 14,859,033 have time-based vesting requirements, 783,949 have performance-based vesting requirements and 783,896 have performance-based with a market condition vesting requirements.</w:t>
      </w:r>
    </w:p>
    <w:p>
      <w:pPr>
        <w:spacing w:after="0" w:line="56" w:lineRule="exact"/>
        <w:rPr>
          <w:sz w:val="20"/>
          <w:szCs w:val="20"/>
          <w:color w:val="auto"/>
        </w:rPr>
      </w:pPr>
    </w:p>
    <w:p>
      <w:pPr>
        <w:ind w:right="340"/>
        <w:spacing w:after="0" w:line="298" w:lineRule="auto"/>
        <w:rPr>
          <w:sz w:val="20"/>
          <w:szCs w:val="20"/>
          <w:color w:val="auto"/>
        </w:rPr>
      </w:pPr>
      <w:r>
        <w:rPr>
          <w:rFonts w:ascii="Times New Roman" w:cs="Times New Roman" w:eastAsia="Times New Roman" w:hAnsi="Times New Roman"/>
          <w:sz w:val="16"/>
          <w:szCs w:val="16"/>
          <w:color w:val="auto"/>
        </w:rPr>
        <w:t>During the year ended December 31, 2021, the Company granted 18,677,411 RSUs, of which 7,730,019 have time-based vesting requirements, 5,473,701 have performance-based vesting requirements and 5,473,691 have performance-based with a market condition vesting requirements.</w:t>
      </w:r>
    </w:p>
    <w:p>
      <w:pPr>
        <w:spacing w:after="0" w:line="56" w:lineRule="exact"/>
        <w:rPr>
          <w:sz w:val="20"/>
          <w:szCs w:val="20"/>
          <w:color w:val="auto"/>
        </w:rPr>
      </w:pPr>
    </w:p>
    <w:p>
      <w:pPr>
        <w:ind w:right="580"/>
        <w:spacing w:after="0" w:line="298" w:lineRule="auto"/>
        <w:rPr>
          <w:sz w:val="20"/>
          <w:szCs w:val="20"/>
          <w:color w:val="auto"/>
        </w:rPr>
      </w:pPr>
      <w:r>
        <w:rPr>
          <w:rFonts w:ascii="Times New Roman" w:cs="Times New Roman" w:eastAsia="Times New Roman" w:hAnsi="Times New Roman"/>
          <w:sz w:val="16"/>
          <w:szCs w:val="16"/>
          <w:color w:val="auto"/>
        </w:rPr>
        <w:t>The valuation of the performance-based RSUs with a market condition granted or modified during the years ended December 31, 2023, 2022 and 2021 was determined using a Monte Carlo Simulation model using the following assumptions:</w:t>
      </w:r>
    </w:p>
    <w:p>
      <w:pPr>
        <w:spacing w:after="0" w:line="52"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476250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880" w:top="1098" w:right="359" w:bottom="1440" w:gutter="0" w:footer="0" w:header="0"/>
        </w:sectPr>
      </w:pPr>
    </w:p>
    <w:bookmarkStart w:id="87" w:name="page88"/>
    <w:bookmarkEnd w:id="87"/>
    <w:tbl>
      <w:tblPr>
        <w:tblLayout w:type="fixed"/>
        <w:tblInd w:w="60" w:type="dxa"/>
        <w:tblCellMar>
          <w:top w:w="0" w:type="dxa"/>
          <w:left w:w="0" w:type="dxa"/>
          <w:bottom w:w="0" w:type="dxa"/>
          <w:right w:w="0" w:type="dxa"/>
        </w:tblCellMar>
      </w:tblPr>
      <w:tr>
        <w:trPr>
          <w:trHeight w:val="225"/>
        </w:trPr>
        <w:tc>
          <w:tcPr>
            <w:tcW w:w="3900" w:type="dxa"/>
            <w:vAlign w:val="bottom"/>
          </w:tcPr>
          <w:p>
            <w:pPr>
              <w:spacing w:after="0"/>
              <w:rPr>
                <w:sz w:val="19"/>
                <w:szCs w:val="19"/>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2023</w:t>
            </w:r>
          </w:p>
        </w:tc>
        <w:tc>
          <w:tcPr>
            <w:tcW w:w="360" w:type="dxa"/>
            <w:vAlign w:val="bottom"/>
          </w:tcPr>
          <w:p>
            <w:pPr>
              <w:spacing w:after="0"/>
              <w:rPr>
                <w:sz w:val="19"/>
                <w:szCs w:val="19"/>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340" w:type="dxa"/>
            <w:vAlign w:val="bottom"/>
          </w:tcPr>
          <w:p>
            <w:pPr>
              <w:spacing w:after="0"/>
              <w:rPr>
                <w:sz w:val="19"/>
                <w:szCs w:val="19"/>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229"/>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Expected term (in years)</w:t>
            </w:r>
          </w:p>
        </w:tc>
        <w:tc>
          <w:tcPr>
            <w:tcW w:w="2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1.1-2.1</w:t>
            </w:r>
          </w:p>
        </w:tc>
        <w:tc>
          <w:tcPr>
            <w:tcW w:w="2380" w:type="dxa"/>
            <w:vAlign w:val="bottom"/>
            <w:gridSpan w:val="2"/>
            <w:shd w:val="clear" w:color="auto" w:fill="CFF0FC"/>
          </w:tcPr>
          <w:p>
            <w:pPr>
              <w:jc w:val="center"/>
              <w:ind w:left="259"/>
              <w:spacing w:after="0"/>
              <w:rPr>
                <w:sz w:val="20"/>
                <w:szCs w:val="20"/>
                <w:color w:val="auto"/>
              </w:rPr>
            </w:pPr>
            <w:r>
              <w:rPr>
                <w:rFonts w:ascii="Times New Roman" w:cs="Times New Roman" w:eastAsia="Times New Roman" w:hAnsi="Times New Roman"/>
                <w:sz w:val="16"/>
                <w:szCs w:val="16"/>
                <w:color w:val="auto"/>
                <w:w w:val="99"/>
              </w:rPr>
              <w:t>2.8</w:t>
            </w:r>
          </w:p>
        </w:tc>
        <w:tc>
          <w:tcPr>
            <w:tcW w:w="2360" w:type="dxa"/>
            <w:vAlign w:val="bottom"/>
            <w:gridSpan w:val="2"/>
            <w:shd w:val="clear" w:color="auto" w:fill="CFF0FC"/>
          </w:tcPr>
          <w:p>
            <w:pPr>
              <w:jc w:val="center"/>
              <w:ind w:left="279"/>
              <w:spacing w:after="0"/>
              <w:rPr>
                <w:sz w:val="20"/>
                <w:szCs w:val="20"/>
                <w:color w:val="auto"/>
              </w:rPr>
            </w:pPr>
            <w:r>
              <w:rPr>
                <w:rFonts w:ascii="Times New Roman" w:cs="Times New Roman" w:eastAsia="Times New Roman" w:hAnsi="Times New Roman"/>
                <w:sz w:val="16"/>
                <w:szCs w:val="16"/>
                <w:color w:val="auto"/>
                <w:w w:val="99"/>
              </w:rPr>
              <w:t>2.2</w:t>
            </w:r>
          </w:p>
        </w:tc>
      </w:tr>
      <w:tr>
        <w:trPr>
          <w:trHeight w:val="220"/>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28%-32%</w:t>
            </w:r>
          </w:p>
        </w:tc>
        <w:tc>
          <w:tcPr>
            <w:tcW w:w="2380" w:type="dxa"/>
            <w:vAlign w:val="bottom"/>
            <w:gridSpan w:val="2"/>
          </w:tcPr>
          <w:p>
            <w:pPr>
              <w:jc w:val="center"/>
              <w:ind w:left="279"/>
              <w:spacing w:after="0"/>
              <w:rPr>
                <w:sz w:val="20"/>
                <w:szCs w:val="20"/>
                <w:color w:val="auto"/>
              </w:rPr>
            </w:pPr>
            <w:r>
              <w:rPr>
                <w:rFonts w:ascii="Times New Roman" w:cs="Times New Roman" w:eastAsia="Times New Roman" w:hAnsi="Times New Roman"/>
                <w:sz w:val="16"/>
                <w:szCs w:val="16"/>
                <w:color w:val="auto"/>
              </w:rPr>
              <w:t>35%</w:t>
            </w:r>
          </w:p>
        </w:tc>
        <w:tc>
          <w:tcPr>
            <w:tcW w:w="2360" w:type="dxa"/>
            <w:vAlign w:val="bottom"/>
            <w:gridSpan w:val="2"/>
          </w:tcPr>
          <w:p>
            <w:pPr>
              <w:jc w:val="center"/>
              <w:ind w:left="259"/>
              <w:spacing w:after="0"/>
              <w:rPr>
                <w:sz w:val="20"/>
                <w:szCs w:val="20"/>
                <w:color w:val="auto"/>
              </w:rPr>
            </w:pPr>
            <w:r>
              <w:rPr>
                <w:rFonts w:ascii="Times New Roman" w:cs="Times New Roman" w:eastAsia="Times New Roman" w:hAnsi="Times New Roman"/>
                <w:sz w:val="16"/>
                <w:szCs w:val="16"/>
                <w:color w:val="auto"/>
              </w:rPr>
              <w:t>35%</w:t>
            </w:r>
          </w:p>
        </w:tc>
      </w:tr>
      <w:tr>
        <w:trPr>
          <w:trHeight w:val="239"/>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Expected dividend yield</w:t>
            </w:r>
          </w:p>
        </w:tc>
        <w:tc>
          <w:tcPr>
            <w:tcW w:w="2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0%</w:t>
            </w:r>
          </w:p>
        </w:tc>
        <w:tc>
          <w:tcPr>
            <w:tcW w:w="2380" w:type="dxa"/>
            <w:vAlign w:val="bottom"/>
            <w:gridSpan w:val="2"/>
            <w:shd w:val="clear" w:color="auto" w:fill="CFF0FC"/>
          </w:tcPr>
          <w:p>
            <w:pPr>
              <w:jc w:val="center"/>
              <w:ind w:left="279"/>
              <w:spacing w:after="0"/>
              <w:rPr>
                <w:sz w:val="20"/>
                <w:szCs w:val="20"/>
                <w:color w:val="auto"/>
              </w:rPr>
            </w:pPr>
            <w:r>
              <w:rPr>
                <w:rFonts w:ascii="Times New Roman" w:cs="Times New Roman" w:eastAsia="Times New Roman" w:hAnsi="Times New Roman"/>
                <w:sz w:val="16"/>
                <w:szCs w:val="16"/>
                <w:color w:val="auto"/>
              </w:rPr>
              <w:t>0%</w:t>
            </w:r>
          </w:p>
        </w:tc>
        <w:tc>
          <w:tcPr>
            <w:tcW w:w="2360" w:type="dxa"/>
            <w:vAlign w:val="bottom"/>
            <w:gridSpan w:val="2"/>
            <w:shd w:val="clear" w:color="auto" w:fill="CFF0FC"/>
          </w:tcPr>
          <w:p>
            <w:pPr>
              <w:jc w:val="center"/>
              <w:ind w:left="259"/>
              <w:spacing w:after="0"/>
              <w:rPr>
                <w:sz w:val="20"/>
                <w:szCs w:val="20"/>
                <w:color w:val="auto"/>
              </w:rPr>
            </w:pPr>
            <w:r>
              <w:rPr>
                <w:rFonts w:ascii="Times New Roman" w:cs="Times New Roman" w:eastAsia="Times New Roman" w:hAnsi="Times New Roman"/>
                <w:sz w:val="16"/>
                <w:szCs w:val="16"/>
                <w:color w:val="auto"/>
              </w:rPr>
              <w:t>0%</w:t>
            </w:r>
          </w:p>
        </w:tc>
      </w:tr>
      <w:tr>
        <w:trPr>
          <w:trHeight w:val="210"/>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4.36%-4.87%</w:t>
            </w:r>
          </w:p>
        </w:tc>
        <w:tc>
          <w:tcPr>
            <w:tcW w:w="2380" w:type="dxa"/>
            <w:vAlign w:val="bottom"/>
            <w:gridSpan w:val="2"/>
          </w:tcPr>
          <w:p>
            <w:pPr>
              <w:jc w:val="center"/>
              <w:ind w:left="279"/>
              <w:spacing w:after="0"/>
              <w:rPr>
                <w:sz w:val="20"/>
                <w:szCs w:val="20"/>
                <w:color w:val="auto"/>
              </w:rPr>
            </w:pPr>
            <w:r>
              <w:rPr>
                <w:rFonts w:ascii="Times New Roman" w:cs="Times New Roman" w:eastAsia="Times New Roman" w:hAnsi="Times New Roman"/>
                <w:sz w:val="16"/>
                <w:szCs w:val="16"/>
                <w:color w:val="auto"/>
              </w:rPr>
              <w:t>2.28%</w:t>
            </w:r>
          </w:p>
        </w:tc>
        <w:tc>
          <w:tcPr>
            <w:tcW w:w="2360" w:type="dxa"/>
            <w:vAlign w:val="bottom"/>
            <w:gridSpan w:val="2"/>
          </w:tcPr>
          <w:p>
            <w:pPr>
              <w:jc w:val="center"/>
              <w:ind w:left="259"/>
              <w:spacing w:after="0"/>
              <w:rPr>
                <w:sz w:val="20"/>
                <w:szCs w:val="20"/>
                <w:color w:val="auto"/>
              </w:rPr>
            </w:pPr>
            <w:r>
              <w:rPr>
                <w:rFonts w:ascii="Times New Roman" w:cs="Times New Roman" w:eastAsia="Times New Roman" w:hAnsi="Times New Roman"/>
                <w:sz w:val="16"/>
                <w:szCs w:val="16"/>
                <w:color w:val="auto"/>
              </w:rPr>
              <w:t>0.51%</w:t>
            </w: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key assumptions used in the Company's fair value estimates include the following:</w:t>
      </w:r>
    </w:p>
    <w:p>
      <w:pPr>
        <w:spacing w:after="0" w:line="127"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6"/>
          <w:szCs w:val="16"/>
          <w:color w:val="auto"/>
        </w:rPr>
        <w:t>Expected Term—The expected term represents the period that the stock-based awards are expected to be outstanding. The Company uses the simplified method to determine the expected term for its option grants. The simplified method calculates the expected term as the average of the time-to-vesting and the contractual life of the stock options. The Company uses the simplified method to determine its expected term because of its limited history of stock option exercise activity.</w:t>
      </w:r>
    </w:p>
    <w:p>
      <w:pPr>
        <w:spacing w:after="0" w:line="69" w:lineRule="exact"/>
        <w:rPr>
          <w:sz w:val="20"/>
          <w:szCs w:val="20"/>
          <w:color w:val="auto"/>
        </w:rPr>
      </w:pPr>
    </w:p>
    <w:p>
      <w:pPr>
        <w:ind w:left="40" w:right="280"/>
        <w:spacing w:after="0" w:line="298" w:lineRule="auto"/>
        <w:rPr>
          <w:sz w:val="20"/>
          <w:szCs w:val="20"/>
          <w:color w:val="auto"/>
        </w:rPr>
      </w:pPr>
      <w:r>
        <w:rPr>
          <w:rFonts w:ascii="Times New Roman" w:cs="Times New Roman" w:eastAsia="Times New Roman" w:hAnsi="Times New Roman"/>
          <w:sz w:val="16"/>
          <w:szCs w:val="16"/>
          <w:color w:val="auto"/>
        </w:rPr>
        <w:t>Expected Volatility—The Company has limited trading history of its common stock and the expected volatility was estimated based on the average volatility for comparable publicly traded companies over a period equal to the expected term of the stock option grants.</w:t>
      </w:r>
    </w:p>
    <w:p>
      <w:pPr>
        <w:spacing w:after="0" w:line="56" w:lineRule="exact"/>
        <w:rPr>
          <w:sz w:val="20"/>
          <w:szCs w:val="20"/>
          <w:color w:val="auto"/>
        </w:rPr>
      </w:pPr>
    </w:p>
    <w:p>
      <w:pPr>
        <w:ind w:left="40" w:right="460"/>
        <w:spacing w:after="0" w:line="298" w:lineRule="auto"/>
        <w:rPr>
          <w:sz w:val="20"/>
          <w:szCs w:val="20"/>
          <w:color w:val="auto"/>
        </w:rPr>
      </w:pPr>
      <w:r>
        <w:rPr>
          <w:rFonts w:ascii="Times New Roman" w:cs="Times New Roman" w:eastAsia="Times New Roman" w:hAnsi="Times New Roman"/>
          <w:sz w:val="16"/>
          <w:szCs w:val="16"/>
          <w:color w:val="auto"/>
        </w:rPr>
        <w:t>Expected Dividend—Historically, the Company has not paid regular dividends on its common stock and has no plans to pay dividends on common stock on a regular basis. The Company does not have a dividend policy. Therefore, the Company used an expected dividend yield of zero.</w:t>
      </w:r>
    </w:p>
    <w:p>
      <w:pPr>
        <w:spacing w:after="0" w:line="56" w:lineRule="exact"/>
        <w:rPr>
          <w:sz w:val="20"/>
          <w:szCs w:val="20"/>
          <w:color w:val="auto"/>
        </w:rPr>
      </w:pPr>
    </w:p>
    <w:p>
      <w:pPr>
        <w:ind w:left="40" w:right="120"/>
        <w:spacing w:after="0" w:line="298" w:lineRule="auto"/>
        <w:rPr>
          <w:sz w:val="20"/>
          <w:szCs w:val="20"/>
          <w:color w:val="auto"/>
        </w:rPr>
      </w:pPr>
      <w:r>
        <w:rPr>
          <w:rFonts w:ascii="Times New Roman" w:cs="Times New Roman" w:eastAsia="Times New Roman" w:hAnsi="Times New Roman"/>
          <w:sz w:val="16"/>
          <w:szCs w:val="16"/>
          <w:color w:val="auto"/>
        </w:rPr>
        <w:t>Risk-Free Interest Rate—The risk-free interest rate is based on the US Treasury zero coupon issues in effect at the time of grant for periods corresponding with the expected term of awards.</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The Company uses a pre-vesting forfeiture rate to estimate the number of options that are expected to vest that was based on the Company’s historical turnover rate.</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Stock Options</w:t>
      </w:r>
      <w:r>
        <w:rPr>
          <w:rFonts w:ascii="Times New Roman" w:cs="Times New Roman" w:eastAsia="Times New Roman" w:hAnsi="Times New Roman"/>
          <w:sz w:val="16"/>
          <w:szCs w:val="16"/>
          <w:color w:val="auto"/>
        </w:rPr>
        <w:t>—The table below summarizes the option activity for the years ended December 31, 2023, 2022 and 2021 :</w:t>
      </w:r>
    </w:p>
    <w:p>
      <w:pPr>
        <w:spacing w:after="0" w:line="140"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4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5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20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Aggregate</w:t>
            </w:r>
          </w:p>
        </w:tc>
      </w:tr>
      <w:tr>
        <w:trPr>
          <w:trHeight w:val="230"/>
        </w:trPr>
        <w:tc>
          <w:tcPr>
            <w:tcW w:w="45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20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Contractual Life</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Intrinsic Value</w:t>
            </w:r>
          </w:p>
        </w:tc>
      </w:tr>
      <w:tr>
        <w:trPr>
          <w:trHeight w:val="242"/>
        </w:trPr>
        <w:tc>
          <w:tcPr>
            <w:tcW w:w="4540" w:type="dxa"/>
            <w:vAlign w:val="bottom"/>
          </w:tcPr>
          <w:p>
            <w:pPr>
              <w:spacing w:after="0"/>
              <w:rPr>
                <w:sz w:val="21"/>
                <w:szCs w:val="21"/>
                <w:color w:val="auto"/>
              </w:rPr>
            </w:pPr>
          </w:p>
        </w:tc>
        <w:tc>
          <w:tcPr>
            <w:tcW w:w="11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Price</w:t>
            </w:r>
          </w:p>
        </w:tc>
        <w:tc>
          <w:tcPr>
            <w:tcW w:w="200" w:type="dxa"/>
            <w:vAlign w:val="bottom"/>
          </w:tcPr>
          <w:p>
            <w:pPr>
              <w:spacing w:after="0"/>
              <w:rPr>
                <w:sz w:val="21"/>
                <w:szCs w:val="21"/>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 years)</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21"/>
                <w:szCs w:val="21"/>
                <w:color w:val="auto"/>
              </w:rPr>
            </w:pPr>
          </w:p>
        </w:tc>
      </w:tr>
      <w:tr>
        <w:trPr>
          <w:trHeight w:val="230"/>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Options outstanding—December 31, 2020</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55,570,039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337,358</w:t>
            </w:r>
          </w:p>
        </w:tc>
        <w:tc>
          <w:tcPr>
            <w:tcW w:w="100" w:type="dxa"/>
            <w:vAlign w:val="bottom"/>
            <w:shd w:val="clear" w:color="auto" w:fill="CFF0FC"/>
          </w:tcPr>
          <w:p>
            <w:pPr>
              <w:spacing w:after="0"/>
              <w:rPr>
                <w:sz w:val="19"/>
                <w:szCs w:val="19"/>
                <w:color w:val="auto"/>
              </w:rPr>
            </w:pPr>
          </w:p>
        </w:tc>
      </w:tr>
      <w:tr>
        <w:trPr>
          <w:trHeight w:val="220"/>
        </w:trPr>
        <w:tc>
          <w:tcPr>
            <w:tcW w:w="4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Granted</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2,822,484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w:t>
            </w: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4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Exercised</w:t>
            </w: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(1,924,063 )</w:t>
            </w: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20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6"/>
        </w:trPr>
        <w:tc>
          <w:tcPr>
            <w:tcW w:w="4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Forfeited and canceled</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(823,965 )</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Options outstanding—December 31, 2021</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55,644,495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469,591</w:t>
            </w:r>
          </w:p>
        </w:tc>
        <w:tc>
          <w:tcPr>
            <w:tcW w:w="100" w:type="dxa"/>
            <w:vAlign w:val="bottom"/>
            <w:shd w:val="clear" w:color="auto" w:fill="CFF0FC"/>
          </w:tcPr>
          <w:p>
            <w:pPr>
              <w:spacing w:after="0"/>
              <w:rPr>
                <w:sz w:val="19"/>
                <w:szCs w:val="19"/>
                <w:color w:val="auto"/>
              </w:rPr>
            </w:pPr>
          </w:p>
        </w:tc>
      </w:tr>
      <w:tr>
        <w:trPr>
          <w:trHeight w:val="220"/>
        </w:trPr>
        <w:tc>
          <w:tcPr>
            <w:tcW w:w="4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Exercised</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(10,081,164 )</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4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Forfeited and canceled</w:t>
            </w: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(314,071 )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20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45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Options outstanding—December 31, 2022</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45,249,260</w:t>
            </w:r>
          </w:p>
        </w:tc>
        <w:tc>
          <w:tcPr>
            <w:tcW w:w="24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7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78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1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258,470</w:t>
            </w:r>
          </w:p>
        </w:tc>
        <w:tc>
          <w:tcPr>
            <w:tcW w:w="100" w:type="dxa"/>
            <w:vAlign w:val="bottom"/>
            <w:tcBorders>
              <w:top w:val="single" w:sz="8" w:color="CFF0FC"/>
            </w:tcBorders>
          </w:tcPr>
          <w:p>
            <w:pPr>
              <w:spacing w:after="0"/>
              <w:rPr>
                <w:sz w:val="18"/>
                <w:szCs w:val="18"/>
                <w:color w:val="auto"/>
              </w:rPr>
            </w:pPr>
          </w:p>
        </w:tc>
      </w:tr>
      <w:tr>
        <w:trPr>
          <w:trHeight w:val="239"/>
        </w:trPr>
        <w:tc>
          <w:tcPr>
            <w:tcW w:w="4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Exercised</w:t>
            </w: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(8,923,718 )</w:t>
            </w: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20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7"/>
        </w:trPr>
        <w:tc>
          <w:tcPr>
            <w:tcW w:w="4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Forfeited and canceled</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(537,073 )</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66"/>
        </w:trPr>
        <w:tc>
          <w:tcPr>
            <w:tcW w:w="4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Options outstanding—December 31, 2023</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35,788,469</w:t>
            </w:r>
          </w:p>
        </w:tc>
        <w:tc>
          <w:tcPr>
            <w:tcW w:w="24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7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3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301,563</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10"/>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Options exercisable—December 31, 2023</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33,971,974</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292,059</w:t>
            </w:r>
          </w:p>
        </w:tc>
        <w:tc>
          <w:tcPr>
            <w:tcW w:w="100" w:type="dxa"/>
            <w:vAlign w:val="bottom"/>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Options vested and expected to vest—December 31, 2023</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35,726,785</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7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3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301,252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-967740</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3652520</wp:posOffset>
            </wp:positionH>
            <wp:positionV relativeFrom="paragraph">
              <wp:posOffset>-367665</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3652520</wp:posOffset>
            </wp:positionH>
            <wp:positionV relativeFrom="paragraph">
              <wp:posOffset>-350520</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3652520</wp:posOffset>
            </wp:positionH>
            <wp:positionV relativeFrom="paragraph">
              <wp:posOffset>-24765</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3652520</wp:posOffset>
            </wp:positionH>
            <wp:positionV relativeFrom="paragraph">
              <wp:posOffset>-7620</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9" w:lineRule="exact"/>
        <w:rPr>
          <w:sz w:val="20"/>
          <w:szCs w:val="20"/>
          <w:color w:val="auto"/>
        </w:rPr>
      </w:pPr>
    </w:p>
    <w:p>
      <w:pPr>
        <w:ind w:left="40" w:right="180"/>
        <w:spacing w:after="0" w:line="298" w:lineRule="auto"/>
        <w:rPr>
          <w:sz w:val="20"/>
          <w:szCs w:val="20"/>
          <w:color w:val="auto"/>
        </w:rPr>
      </w:pPr>
      <w:r>
        <w:rPr>
          <w:rFonts w:ascii="Times New Roman" w:cs="Times New Roman" w:eastAsia="Times New Roman" w:hAnsi="Times New Roman"/>
          <w:sz w:val="16"/>
          <w:szCs w:val="16"/>
          <w:color w:val="auto"/>
        </w:rPr>
        <w:t>The weighted-average grant-date fair value for time-based options granted during the year ended December 31, 2021 was $3.67. The weighted-average grant-date fair value for performance-based options with a market condition granted during the years ended December 31, 2021 was $0.88.</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The fair value of the options that vested during the year ended December 31, 2023 was $2.9 million.</w:t>
      </w:r>
    </w:p>
    <w:p>
      <w:pPr>
        <w:spacing w:after="0" w:line="1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During the year ended December 31, 2023, the Company issued 8,923,718 shares of common stock.</w:t>
      </w:r>
    </w:p>
    <w:p>
      <w:pPr>
        <w:spacing w:after="0" w:line="127" w:lineRule="exact"/>
        <w:rPr>
          <w:sz w:val="20"/>
          <w:szCs w:val="20"/>
          <w:color w:val="auto"/>
        </w:rPr>
      </w:pPr>
    </w:p>
    <w:p>
      <w:pPr>
        <w:ind w:left="40" w:right="60"/>
        <w:spacing w:after="0" w:line="298" w:lineRule="auto"/>
        <w:rPr>
          <w:sz w:val="20"/>
          <w:szCs w:val="20"/>
          <w:color w:val="auto"/>
        </w:rPr>
      </w:pPr>
      <w:r>
        <w:rPr>
          <w:rFonts w:ascii="Times New Roman" w:cs="Times New Roman" w:eastAsia="Times New Roman" w:hAnsi="Times New Roman"/>
          <w:sz w:val="16"/>
          <w:szCs w:val="16"/>
          <w:color w:val="auto"/>
        </w:rPr>
        <w:t>During the year ended December 31, 2022, the Company issued 10,074,354 shares of common stock upon exercise of 10,081,164 stock options. As part of cashless exercises, 6,810 shares were applied to the exercise price and tax obligations of the option holders.</w:t>
      </w:r>
    </w:p>
    <w:p>
      <w:pPr>
        <w:spacing w:after="0" w:line="56" w:lineRule="exact"/>
        <w:rPr>
          <w:sz w:val="20"/>
          <w:szCs w:val="20"/>
          <w:color w:val="auto"/>
        </w:rPr>
      </w:pPr>
    </w:p>
    <w:p>
      <w:pPr>
        <w:ind w:left="40" w:right="60"/>
        <w:spacing w:after="0" w:line="298" w:lineRule="auto"/>
        <w:rPr>
          <w:sz w:val="20"/>
          <w:szCs w:val="20"/>
          <w:color w:val="auto"/>
        </w:rPr>
      </w:pPr>
      <w:r>
        <w:rPr>
          <w:rFonts w:ascii="Times New Roman" w:cs="Times New Roman" w:eastAsia="Times New Roman" w:hAnsi="Times New Roman"/>
          <w:sz w:val="16"/>
          <w:szCs w:val="16"/>
          <w:color w:val="auto"/>
        </w:rPr>
        <w:t>During the year ended December 31, 2021, the Company issued 1,922,019 shares of common stock upon exercise of 1,924,063 of stock options. As part of cashless exercises, 2,044 shares were applied to the exercise price and tax obligations of the option holders.</w:t>
      </w:r>
    </w:p>
    <w:p>
      <w:pPr>
        <w:spacing w:after="0" w:line="56" w:lineRule="exact"/>
        <w:rPr>
          <w:sz w:val="20"/>
          <w:szCs w:val="20"/>
          <w:color w:val="auto"/>
        </w:rPr>
      </w:pPr>
    </w:p>
    <w:p>
      <w:pPr>
        <w:ind w:left="40" w:right="120"/>
        <w:spacing w:after="0" w:line="281" w:lineRule="auto"/>
        <w:rPr>
          <w:sz w:val="20"/>
          <w:szCs w:val="20"/>
          <w:color w:val="auto"/>
        </w:rPr>
      </w:pPr>
      <w:r>
        <w:rPr>
          <w:rFonts w:ascii="Times New Roman" w:cs="Times New Roman" w:eastAsia="Times New Roman" w:hAnsi="Times New Roman"/>
          <w:sz w:val="16"/>
          <w:szCs w:val="16"/>
          <w:color w:val="auto"/>
        </w:rPr>
        <w:t>During the year ended December 31, 2021, prior to the Business Combination, the Company granted 2,822,484 stock options, of which 2,754,374 have time-based vesting and 68,110 have performance-based with a market condition vesting. The exercise price of all stock options granted during the year ended December 31, 2021 was equal to the fair value of the underlying shares at the grant date.</w:t>
      </w:r>
    </w:p>
    <w:p>
      <w:pPr>
        <w:spacing w:after="0" w:line="69" w:lineRule="exact"/>
        <w:rPr>
          <w:sz w:val="20"/>
          <w:szCs w:val="20"/>
          <w:color w:val="auto"/>
        </w:rPr>
      </w:pPr>
    </w:p>
    <w:p>
      <w:pPr>
        <w:ind w:left="40" w:right="60"/>
        <w:spacing w:after="0" w:line="298" w:lineRule="auto"/>
        <w:rPr>
          <w:sz w:val="20"/>
          <w:szCs w:val="20"/>
          <w:color w:val="auto"/>
        </w:rPr>
      </w:pPr>
      <w:r>
        <w:rPr>
          <w:rFonts w:ascii="Times New Roman" w:cs="Times New Roman" w:eastAsia="Times New Roman" w:hAnsi="Times New Roman"/>
          <w:sz w:val="16"/>
          <w:szCs w:val="16"/>
          <w:color w:val="auto"/>
        </w:rPr>
        <w:t>The valuation of time-based stock options granted during the year ended December 31, 2021 was determined using the Black-Scholes option valuation model using the following assumptions:</w:t>
      </w:r>
    </w:p>
    <w:p>
      <w:pPr>
        <w:spacing w:after="0" w:line="160"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476250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1001" w:right="339" w:bottom="1440" w:gutter="0" w:footer="0" w:header="0"/>
        </w:sectPr>
      </w:pPr>
    </w:p>
    <w:bookmarkStart w:id="88" w:name="page89"/>
    <w:bookmarkEnd w:id="88"/>
    <w:tbl>
      <w:tblPr>
        <w:tblLayout w:type="fixed"/>
        <w:tblInd w:w="580" w:type="dxa"/>
        <w:tblCellMar>
          <w:top w:w="0" w:type="dxa"/>
          <w:left w:w="0" w:type="dxa"/>
          <w:bottom w:w="0" w:type="dxa"/>
          <w:right w:w="0" w:type="dxa"/>
        </w:tblCellMar>
      </w:tblPr>
      <w:tr>
        <w:trPr>
          <w:trHeight w:val="225"/>
        </w:trPr>
        <w:tc>
          <w:tcPr>
            <w:tcW w:w="6440" w:type="dxa"/>
            <w:vAlign w:val="bottom"/>
          </w:tcPr>
          <w:p>
            <w:pPr>
              <w:spacing w:after="0"/>
              <w:rPr>
                <w:sz w:val="19"/>
                <w:szCs w:val="19"/>
                <w:color w:val="auto"/>
              </w:rPr>
            </w:pPr>
          </w:p>
        </w:tc>
        <w:tc>
          <w:tcPr>
            <w:tcW w:w="2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229"/>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Expected term (in years)</w:t>
            </w:r>
          </w:p>
        </w:tc>
        <w:tc>
          <w:tcPr>
            <w:tcW w:w="2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6.5</w:t>
            </w:r>
          </w:p>
        </w:tc>
      </w:tr>
      <w:tr>
        <w:trPr>
          <w:trHeight w:val="220"/>
        </w:trPr>
        <w:tc>
          <w:tcPr>
            <w:tcW w:w="6440" w:type="dxa"/>
            <w:vAlign w:val="bottom"/>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40%</w:t>
            </w:r>
          </w:p>
        </w:tc>
      </w:tr>
      <w:tr>
        <w:trPr>
          <w:trHeight w:val="239"/>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Expected dividend yield</w:t>
            </w:r>
          </w:p>
        </w:tc>
        <w:tc>
          <w:tcPr>
            <w:tcW w:w="2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0%</w:t>
            </w:r>
          </w:p>
        </w:tc>
      </w:tr>
      <w:tr>
        <w:trPr>
          <w:trHeight w:val="210"/>
        </w:trPr>
        <w:tc>
          <w:tcPr>
            <w:tcW w:w="6440" w:type="dxa"/>
            <w:vAlign w:val="bottom"/>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0.62 - 0.67%</w:t>
            </w:r>
          </w:p>
        </w:tc>
      </w:tr>
    </w:tbl>
    <w:p>
      <w:pPr>
        <w:spacing w:after="0" w:line="11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For performance-based options with a market condition, the market condition is required to be considered when calculating the grant date fair value. In order to reflect the substantive characteristics of the performance-based options with a market condition, a Monte Carlo simulation valuation model was used to calculate the grant date fair value of such stock options. Monte Carlo approaches are a class of computational algorithms that rely on repeated random sampling to compute their results. This approach allows the calculation of the fair value of such stock options based on a number of possible scenarios. Stock-based compensation expense for the performance-based options with a market condition is not recognized until the performance condition is probable of occurring. The valuation of the performance-based options with a market condition granted during the year ended December 31, 2021 was determined through the Monte Carlo simulation model using the following assumptions:</w:t>
      </w:r>
    </w:p>
    <w:p>
      <w:pPr>
        <w:spacing w:after="0" w:line="228" w:lineRule="exact"/>
        <w:rPr>
          <w:sz w:val="20"/>
          <w:szCs w:val="20"/>
          <w:color w:val="auto"/>
        </w:rPr>
      </w:pPr>
    </w:p>
    <w:tbl>
      <w:tblPr>
        <w:tblLayout w:type="fixed"/>
        <w:tblInd w:w="580" w:type="dxa"/>
        <w:tblCellMar>
          <w:top w:w="0" w:type="dxa"/>
          <w:left w:w="0" w:type="dxa"/>
          <w:bottom w:w="0" w:type="dxa"/>
          <w:right w:w="0" w:type="dxa"/>
        </w:tblCellMar>
      </w:tblPr>
      <w:tr>
        <w:trPr>
          <w:trHeight w:val="225"/>
        </w:trPr>
        <w:tc>
          <w:tcPr>
            <w:tcW w:w="6440" w:type="dxa"/>
            <w:vAlign w:val="bottom"/>
          </w:tcPr>
          <w:p>
            <w:pPr>
              <w:spacing w:after="0"/>
              <w:rPr>
                <w:sz w:val="19"/>
                <w:szCs w:val="19"/>
                <w:color w:val="auto"/>
              </w:rPr>
            </w:pPr>
          </w:p>
        </w:tc>
        <w:tc>
          <w:tcPr>
            <w:tcW w:w="2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230"/>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Expected term (in years)</w:t>
            </w:r>
          </w:p>
        </w:tc>
        <w:tc>
          <w:tcPr>
            <w:tcW w:w="2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5.5</w:t>
            </w:r>
          </w:p>
        </w:tc>
      </w:tr>
      <w:tr>
        <w:trPr>
          <w:trHeight w:val="220"/>
        </w:trPr>
        <w:tc>
          <w:tcPr>
            <w:tcW w:w="6440" w:type="dxa"/>
            <w:vAlign w:val="bottom"/>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w:t>
            </w:r>
          </w:p>
        </w:tc>
      </w:tr>
      <w:tr>
        <w:trPr>
          <w:trHeight w:val="239"/>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Expected dividend yield</w:t>
            </w:r>
          </w:p>
        </w:tc>
        <w:tc>
          <w:tcPr>
            <w:tcW w:w="2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0%</w:t>
            </w:r>
          </w:p>
        </w:tc>
      </w:tr>
      <w:tr>
        <w:trPr>
          <w:trHeight w:val="210"/>
        </w:trPr>
        <w:tc>
          <w:tcPr>
            <w:tcW w:w="6440" w:type="dxa"/>
            <w:vAlign w:val="bottom"/>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0.44%</w:t>
            </w:r>
          </w:p>
        </w:tc>
      </w:tr>
    </w:tbl>
    <w:p>
      <w:pPr>
        <w:spacing w:after="0" w:line="31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6"/>
          <w:szCs w:val="16"/>
          <w:i w:val="1"/>
          <w:iCs w:val="1"/>
          <w:color w:val="auto"/>
        </w:rPr>
        <w:t>Cayman Equity Incentive Plan</w:t>
      </w:r>
      <w:r>
        <w:rPr>
          <w:rFonts w:ascii="Times New Roman" w:cs="Times New Roman" w:eastAsia="Times New Roman" w:hAnsi="Times New Roman"/>
          <w:sz w:val="16"/>
          <w:szCs w:val="16"/>
          <w:color w:val="auto"/>
        </w:rPr>
        <w:t>—During the year ended December 31, 2022, the Company adopted the CCCIS Cayman Holdings Employees Equity Incentive Plans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(“Cayman Incentive Plans”), which provide for the issuance of stock option awards in CCC Cayman (“Cayman Awards”) to eligible employees of the Company's China subsidiaries.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Pursuant to the Cayman Incentive Plans, the number of Cayman Shares that may be subject to stock incentives is not to exceed 3,000,000 in the aggregate.</w:t>
      </w:r>
    </w:p>
    <w:p>
      <w:pPr>
        <w:spacing w:after="0" w:line="127" w:lineRule="exact"/>
        <w:rPr>
          <w:sz w:val="20"/>
          <w:szCs w:val="20"/>
          <w:color w:val="auto"/>
        </w:rPr>
      </w:pPr>
    </w:p>
    <w:p>
      <w:pPr>
        <w:ind w:right="280"/>
        <w:spacing w:after="0" w:line="298" w:lineRule="auto"/>
        <w:rPr>
          <w:sz w:val="20"/>
          <w:szCs w:val="20"/>
          <w:color w:val="auto"/>
        </w:rPr>
      </w:pPr>
      <w:r>
        <w:rPr>
          <w:rFonts w:ascii="Times New Roman" w:cs="Times New Roman" w:eastAsia="Times New Roman" w:hAnsi="Times New Roman"/>
          <w:sz w:val="16"/>
          <w:szCs w:val="16"/>
          <w:color w:val="auto"/>
        </w:rPr>
        <w:t>Awards under the Cayman Incentive Plans are settled in cash and thus accounted for as liability awards. Awards granted under the Cayman Incentive Plans have time-based vesting and expire on the tenth anniversary of the grant date.</w:t>
      </w:r>
    </w:p>
    <w:p>
      <w:pPr>
        <w:spacing w:after="0" w:line="56"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6"/>
          <w:szCs w:val="16"/>
          <w:color w:val="auto"/>
        </w:rPr>
        <w:t>The Company records stock-based compensation expense on a straight-line basis over the vesting period. Time-based awards generally vest ratably over a four-year period based on continued service. Vesting of the time-based awards can be accelerated in certain circumstances, such as an initial public offering, as defined in the Cayman Incentive Plans.</w:t>
      </w:r>
    </w:p>
    <w:p>
      <w:pPr>
        <w:spacing w:after="0" w:line="69" w:lineRule="exact"/>
        <w:rPr>
          <w:sz w:val="20"/>
          <w:szCs w:val="20"/>
          <w:color w:val="auto"/>
        </w:rPr>
      </w:pPr>
    </w:p>
    <w:p>
      <w:pPr>
        <w:jc w:val="both"/>
        <w:ind w:right="120"/>
        <w:spacing w:after="0" w:line="281" w:lineRule="auto"/>
        <w:rPr>
          <w:sz w:val="20"/>
          <w:szCs w:val="20"/>
          <w:color w:val="auto"/>
        </w:rPr>
      </w:pPr>
      <w:r>
        <w:rPr>
          <w:rFonts w:ascii="Times New Roman" w:cs="Times New Roman" w:eastAsia="Times New Roman" w:hAnsi="Times New Roman"/>
          <w:sz w:val="16"/>
          <w:szCs w:val="16"/>
          <w:color w:val="auto"/>
        </w:rPr>
        <w:t>During the years ended December 31, 2023 and 2022, the Company granted 539,400 and 1,303,000 stock options under the Cayman Incentive Plans, respectively. The exercise price of the options granted is at least equal to the fair value of the underlying shares at the grant date. As of December 31, 2023 and 2022, 1,735,900 and 1,303,000, respectively, are outstanding, none of which are exercisable.</w:t>
      </w:r>
    </w:p>
    <w:p>
      <w:pPr>
        <w:spacing w:after="0" w:line="69" w:lineRule="exact"/>
        <w:rPr>
          <w:sz w:val="20"/>
          <w:szCs w:val="20"/>
          <w:color w:val="auto"/>
        </w:rPr>
      </w:pPr>
    </w:p>
    <w:p>
      <w:pPr>
        <w:jc w:val="both"/>
        <w:ind w:right="80"/>
        <w:spacing w:after="0" w:line="281" w:lineRule="auto"/>
        <w:rPr>
          <w:sz w:val="20"/>
          <w:szCs w:val="20"/>
          <w:color w:val="auto"/>
        </w:rPr>
      </w:pPr>
      <w:r>
        <w:rPr>
          <w:rFonts w:ascii="Times New Roman" w:cs="Times New Roman" w:eastAsia="Times New Roman" w:hAnsi="Times New Roman"/>
          <w:sz w:val="16"/>
          <w:szCs w:val="16"/>
          <w:color w:val="auto"/>
        </w:rPr>
        <w:t>Awards under the Cayman Incentive Plans are remeasured at fair value each reporting period with the change in fair value recognized as stock-based compensation expense in that period. The fair values of the outstanding awards at December 31, 2023 and 2022 were based on the Black-Scholes option pricing model using the following assumptions:</w:t>
      </w:r>
    </w:p>
    <w:p>
      <w:pPr>
        <w:spacing w:after="0" w:line="81" w:lineRule="exact"/>
        <w:rPr>
          <w:sz w:val="20"/>
          <w:szCs w:val="20"/>
          <w:color w:val="auto"/>
        </w:rPr>
      </w:pPr>
    </w:p>
    <w:tbl>
      <w:tblPr>
        <w:tblLayout w:type="fixed"/>
        <w:tblInd w:w="1700" w:type="dxa"/>
        <w:tblCellMar>
          <w:top w:w="0" w:type="dxa"/>
          <w:left w:w="0" w:type="dxa"/>
          <w:bottom w:w="0" w:type="dxa"/>
          <w:right w:w="0" w:type="dxa"/>
        </w:tblCellMar>
      </w:tblPr>
      <w:tr>
        <w:trPr>
          <w:trHeight w:val="225"/>
        </w:trPr>
        <w:tc>
          <w:tcPr>
            <w:tcW w:w="4620" w:type="dxa"/>
            <w:vAlign w:val="bottom"/>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r>
      <w:tr>
        <w:trPr>
          <w:trHeight w:val="230"/>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Expected term (in years)</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5.25 - 5.42</w:t>
            </w:r>
          </w:p>
        </w:tc>
        <w:tc>
          <w:tcPr>
            <w:tcW w:w="1100" w:type="dxa"/>
            <w:vAlign w:val="bottom"/>
            <w:gridSpan w:val="2"/>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w w:val="99"/>
              </w:rPr>
              <w:t>6.25</w:t>
            </w:r>
          </w:p>
        </w:tc>
      </w:tr>
      <w:tr>
        <w:trPr>
          <w:trHeight w:val="220"/>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40%</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40%</w:t>
            </w:r>
          </w:p>
        </w:tc>
      </w:tr>
      <w:tr>
        <w:trPr>
          <w:trHeight w:val="239"/>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Expected dividend yield</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3"/>
              </w:rPr>
              <w:t>0%</w:t>
            </w:r>
          </w:p>
        </w:tc>
        <w:tc>
          <w:tcPr>
            <w:tcW w:w="11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0%</w:t>
            </w: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3.8%</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3.5%</w:t>
            </w:r>
          </w:p>
        </w:tc>
      </w:tr>
    </w:tbl>
    <w:p>
      <w:pPr>
        <w:spacing w:after="0" w:line="125" w:lineRule="exact"/>
        <w:rPr>
          <w:sz w:val="20"/>
          <w:szCs w:val="20"/>
          <w:color w:val="auto"/>
        </w:rPr>
      </w:pPr>
    </w:p>
    <w:p>
      <w:pPr>
        <w:ind w:right="180"/>
        <w:spacing w:after="0" w:line="276" w:lineRule="auto"/>
        <w:rPr>
          <w:sz w:val="20"/>
          <w:szCs w:val="20"/>
          <w:color w:val="auto"/>
        </w:rPr>
      </w:pPr>
      <w:r>
        <w:rPr>
          <w:rFonts w:ascii="Times New Roman" w:cs="Times New Roman" w:eastAsia="Times New Roman" w:hAnsi="Times New Roman"/>
          <w:sz w:val="16"/>
          <w:szCs w:val="16"/>
          <w:i w:val="1"/>
          <w:iCs w:val="1"/>
          <w:color w:val="auto"/>
        </w:rPr>
        <w:t>Employee Stock Purchase Plan</w:t>
      </w:r>
      <w:r>
        <w:rPr>
          <w:rFonts w:ascii="Times New Roman" w:cs="Times New Roman" w:eastAsia="Times New Roman" w:hAnsi="Times New Roman"/>
          <w:sz w:val="16"/>
          <w:szCs w:val="16"/>
          <w:color w:val="auto"/>
        </w:rPr>
        <w:t>—In October 2021, the Company’s Board of Directors adopted the ESPP. The ESPP is intended to qualify as an employee stock</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purchase plan under Section 423 of the Internal Revenue Code of 1986, as amended. Under the ESPP, employee purchases occur at the end of discrete offering periods. The first offering period began on January 1, 2022 and ended on June 30, 2022. Subsequent six-month offering periods begin on July 1 and January 1 (or such other date determined by the board of directors).</w:t>
      </w:r>
    </w:p>
    <w:p>
      <w:pPr>
        <w:spacing w:after="0" w:line="7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Under the ESPP, eligible employees can acquire shares of the Company’s common stock by accumulating funds through payroll deductions. Employees generally are eligible to participate in the ESPP if they are a U.S. employee and are employed for at least 20 hours per week. The Company may impose additional restrictions on eligibility. Eligible employees can select a rate of payroll deduction between 1% and 15% of their compensation. The purchase price for shares of common stock purchased under the ESPP is 85% of the lesser of the fair market value of the Company’s common stock on (i) the first day of the applicable offering period or (ii) the last day of the purchase period in the applicable offering period. An employee’s participation automatically ends upon termination of employment for any reason.</w:t>
      </w:r>
    </w:p>
    <w:p>
      <w:pPr>
        <w:spacing w:after="0" w:line="280"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6"/>
          <w:szCs w:val="16"/>
          <w:color w:val="auto"/>
        </w:rPr>
        <w:t>As of December 31, 2023 and 2022, 6,031,704 shares of common stock are reserved for sale under the ESPP. The aggregate number of shares reserved for sale under the ESPP increases on January 1 by the lesser of 1% of the total numbers of shares outstanding or a lesser amount as determined by the Board of Directors. For the year ended December 31, 2023 and 2022, the board of directors elected not to increase the number of shares of common stock reserved under the ESPP.</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the years ending December 31, 2023 and 2022, 641,691 and 408,879 shares were sold under the ESPP, respectively.</w:t>
      </w:r>
    </w:p>
    <w:p>
      <w:pPr>
        <w:spacing w:after="0" w:line="127"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6"/>
          <w:szCs w:val="16"/>
          <w:color w:val="auto"/>
        </w:rPr>
        <w:t>The fair value of ESPP purchase rights sold during the years ended December 31, 2023 and 2022 was estimated using the Black-Scholes option pricing model with the following assumptions:</w:t>
      </w:r>
    </w:p>
    <w:p>
      <w:pPr>
        <w:spacing w:after="0" w:line="52"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476250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880" w:top="1001" w:right="359" w:bottom="1440" w:gutter="0" w:footer="0" w:header="0"/>
        </w:sectPr>
      </w:pPr>
    </w:p>
    <w:bookmarkStart w:id="89" w:name="page90"/>
    <w:bookmarkEnd w:id="89"/>
    <w:tbl>
      <w:tblPr>
        <w:tblLayout w:type="fixed"/>
        <w:tblInd w:w="2260" w:type="dxa"/>
        <w:tblCellMar>
          <w:top w:w="0" w:type="dxa"/>
          <w:left w:w="0" w:type="dxa"/>
          <w:bottom w:w="0" w:type="dxa"/>
          <w:right w:w="0" w:type="dxa"/>
        </w:tblCellMar>
      </w:tblPr>
      <w:tr>
        <w:trPr>
          <w:trHeight w:val="225"/>
        </w:trPr>
        <w:tc>
          <w:tcPr>
            <w:tcW w:w="4620" w:type="dxa"/>
            <w:vAlign w:val="bottom"/>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r>
      <w:tr>
        <w:trPr>
          <w:trHeight w:val="230"/>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Expected term (in years)</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0.5</w:t>
            </w:r>
          </w:p>
        </w:tc>
        <w:tc>
          <w:tcPr>
            <w:tcW w:w="1100" w:type="dxa"/>
            <w:vAlign w:val="bottom"/>
            <w:gridSpan w:val="2"/>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w w:val="99"/>
              </w:rPr>
              <w:t>0.5</w:t>
            </w:r>
          </w:p>
        </w:tc>
      </w:tr>
      <w:tr>
        <w:trPr>
          <w:trHeight w:val="220"/>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30%-51%</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47%</w:t>
            </w:r>
          </w:p>
        </w:tc>
      </w:tr>
      <w:tr>
        <w:trPr>
          <w:trHeight w:val="239"/>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Expected dividend yield</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3"/>
              </w:rPr>
              <w:t>0%</w:t>
            </w:r>
          </w:p>
        </w:tc>
        <w:tc>
          <w:tcPr>
            <w:tcW w:w="11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0%</w:t>
            </w: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2.5%-4.7%</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0.2%</w:t>
            </w:r>
          </w:p>
        </w:tc>
      </w:tr>
    </w:tbl>
    <w:p>
      <w:pPr>
        <w:spacing w:after="0" w:line="111" w:lineRule="exact"/>
        <w:rPr>
          <w:sz w:val="20"/>
          <w:szCs w:val="20"/>
          <w:color w:val="auto"/>
        </w:rPr>
      </w:pPr>
    </w:p>
    <w:p>
      <w:pPr>
        <w:jc w:val="both"/>
        <w:ind w:left="560" w:right="100"/>
        <w:spacing w:after="0" w:line="276" w:lineRule="auto"/>
        <w:rPr>
          <w:sz w:val="20"/>
          <w:szCs w:val="20"/>
          <w:color w:val="auto"/>
        </w:rPr>
      </w:pPr>
      <w:r>
        <w:rPr>
          <w:rFonts w:ascii="Times New Roman" w:cs="Times New Roman" w:eastAsia="Times New Roman" w:hAnsi="Times New Roman"/>
          <w:sz w:val="16"/>
          <w:szCs w:val="16"/>
          <w:i w:val="1"/>
          <w:iCs w:val="1"/>
          <w:color w:val="auto"/>
        </w:rPr>
        <w:t>Company Earnout Shares</w:t>
      </w:r>
      <w:r>
        <w:rPr>
          <w:rFonts w:ascii="Times New Roman" w:cs="Times New Roman" w:eastAsia="Times New Roman" w:hAnsi="Times New Roman"/>
          <w:sz w:val="16"/>
          <w:szCs w:val="16"/>
          <w:color w:val="auto"/>
        </w:rPr>
        <w:t>—Pursuant to the Business Combination Agreement, CCCIS shareholders and option holders, subject to continued employment, have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right to receive up to an additional 13.5 million shares and 1.5 million shares of common stock, respectively, if, before the tenth anniversary of the Closing, (a) the share price has been greater than or equal to $15.00 per share for any twenty trading days within any thirty consecutive trading day period beginning after Closing, or (b) there is a change in control, as defined in the Business Combination Agreement.</w:t>
      </w:r>
    </w:p>
    <w:p>
      <w:pPr>
        <w:spacing w:after="0" w:line="74" w:lineRule="exact"/>
        <w:rPr>
          <w:sz w:val="20"/>
          <w:szCs w:val="20"/>
          <w:color w:val="auto"/>
        </w:rPr>
      </w:pPr>
    </w:p>
    <w:p>
      <w:pPr>
        <w:ind w:left="560" w:right="360"/>
        <w:spacing w:after="0" w:line="298" w:lineRule="auto"/>
        <w:rPr>
          <w:sz w:val="20"/>
          <w:szCs w:val="20"/>
          <w:color w:val="auto"/>
        </w:rPr>
      </w:pPr>
      <w:r>
        <w:rPr>
          <w:rFonts w:ascii="Times New Roman" w:cs="Times New Roman" w:eastAsia="Times New Roman" w:hAnsi="Times New Roman"/>
          <w:sz w:val="16"/>
          <w:szCs w:val="16"/>
          <w:color w:val="auto"/>
        </w:rPr>
        <w:t>The fair value of the Company Earnout Shares was estimated on the date of the grant, using the Monte Carlo simulation method. Compensation expense on the shares granted to option holders was recorded ratably over the implied service period of five months beginning on July 30, 2021.</w:t>
      </w:r>
    </w:p>
    <w:p>
      <w:pPr>
        <w:spacing w:after="0" w:line="56" w:lineRule="exact"/>
        <w:rPr>
          <w:sz w:val="20"/>
          <w:szCs w:val="20"/>
          <w:color w:val="auto"/>
        </w:rPr>
      </w:pPr>
    </w:p>
    <w:p>
      <w:pPr>
        <w:ind w:left="560" w:right="240"/>
        <w:spacing w:after="0" w:line="298" w:lineRule="auto"/>
        <w:rPr>
          <w:sz w:val="20"/>
          <w:szCs w:val="20"/>
          <w:color w:val="auto"/>
        </w:rPr>
      </w:pPr>
      <w:r>
        <w:rPr>
          <w:rFonts w:ascii="Times New Roman" w:cs="Times New Roman" w:eastAsia="Times New Roman" w:hAnsi="Times New Roman"/>
          <w:sz w:val="16"/>
          <w:szCs w:val="16"/>
          <w:color w:val="auto"/>
        </w:rPr>
        <w:t>During the year ended December 31, 2021, the Company recognized $19.5 million of stock-based compensation expense related to the Company Earnout Shares granted to the CCCIS option holders.</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i w:val="1"/>
          <w:iCs w:val="1"/>
          <w:color w:val="auto"/>
        </w:rPr>
        <w:t>Phantom Stock</w:t>
      </w:r>
      <w:r>
        <w:rPr>
          <w:rFonts w:ascii="Times New Roman" w:cs="Times New Roman" w:eastAsia="Times New Roman" w:hAnsi="Times New Roman"/>
          <w:sz w:val="16"/>
          <w:szCs w:val="16"/>
          <w:color w:val="auto"/>
        </w:rPr>
        <w:t>—Phantom Shares vested under the same time-based or performance-based with a market condition as the stock options granted under the 2017 Plan.</w:t>
      </w:r>
    </w:p>
    <w:p>
      <w:pPr>
        <w:spacing w:after="0" w:line="2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valuation of Phantom Shares was measured based on the fair value per share of the Company’s common stock.</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Upon consummation of the Business Combination on July 30, 2021, all outstanding Phantom Shares vested and were subsequently settled in cash for $10.2 million.</w:t>
      </w:r>
    </w:p>
    <w:p>
      <w:pPr>
        <w:spacing w:after="0" w:line="1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During the year ended December 31, 2021, the Company recognized stock-based compensation expense of $7.0 million related to the Phantom Shares.</w:t>
      </w:r>
    </w:p>
    <w:p>
      <w:pPr>
        <w:spacing w:after="0" w:line="125" w:lineRule="exact"/>
        <w:rPr>
          <w:sz w:val="20"/>
          <w:szCs w:val="20"/>
          <w:color w:val="auto"/>
        </w:rPr>
      </w:pPr>
    </w:p>
    <w:p>
      <w:pPr>
        <w:ind w:left="560" w:right="80"/>
        <w:spacing w:after="0" w:line="301" w:lineRule="auto"/>
        <w:rPr>
          <w:sz w:val="20"/>
          <w:szCs w:val="20"/>
          <w:color w:val="auto"/>
        </w:rPr>
      </w:pPr>
      <w:r>
        <w:rPr>
          <w:rFonts w:ascii="Times New Roman" w:cs="Times New Roman" w:eastAsia="Times New Roman" w:hAnsi="Times New Roman"/>
          <w:sz w:val="16"/>
          <w:szCs w:val="16"/>
          <w:i w:val="1"/>
          <w:iCs w:val="1"/>
          <w:color w:val="auto"/>
        </w:rPr>
        <w:t>Stock-Based Compensation</w:t>
      </w:r>
      <w:r>
        <w:rPr>
          <w:rFonts w:ascii="Times New Roman" w:cs="Times New Roman" w:eastAsia="Times New Roman" w:hAnsi="Times New Roman"/>
          <w:sz w:val="16"/>
          <w:szCs w:val="16"/>
          <w:color w:val="auto"/>
        </w:rPr>
        <w:t>—Stock-based compensation expense has been recorded in the accompanying consolidated statements of operations and comprehensive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(loss) income as follows for the years ended December 31, 2023, 2022 and 2021 (in thousands):</w:t>
      </w:r>
    </w:p>
    <w:p>
      <w:pPr>
        <w:spacing w:after="0" w:line="65" w:lineRule="exact"/>
        <w:rPr>
          <w:sz w:val="20"/>
          <w:szCs w:val="20"/>
          <w:color w:val="auto"/>
        </w:rPr>
      </w:pPr>
    </w:p>
    <w:tbl>
      <w:tblPr>
        <w:tblLayout w:type="fixed"/>
        <w:tblInd w:w="580" w:type="dxa"/>
        <w:tblCellMar>
          <w:top w:w="0" w:type="dxa"/>
          <w:left w:w="0" w:type="dxa"/>
          <w:bottom w:w="0" w:type="dxa"/>
          <w:right w:w="0" w:type="dxa"/>
        </w:tblCellMar>
      </w:tblPr>
      <w:tr>
        <w:trPr>
          <w:trHeight w:val="225"/>
        </w:trPr>
        <w:tc>
          <w:tcPr>
            <w:tcW w:w="486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86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3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r>
      <w:tr>
        <w:trPr>
          <w:trHeight w:val="230"/>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92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8,802</w:t>
            </w:r>
          </w:p>
        </w:tc>
        <w:tc>
          <w:tcPr>
            <w:tcW w:w="70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5,812</w:t>
            </w: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13,644</w:t>
            </w:r>
          </w:p>
        </w:tc>
        <w:tc>
          <w:tcPr>
            <w:tcW w:w="100" w:type="dxa"/>
            <w:vAlign w:val="bottom"/>
            <w:shd w:val="clear" w:color="auto" w:fill="CFF0FC"/>
          </w:tcPr>
          <w:p>
            <w:pPr>
              <w:spacing w:after="0"/>
              <w:rPr>
                <w:sz w:val="19"/>
                <w:szCs w:val="19"/>
                <w:color w:val="auto"/>
              </w:rPr>
            </w:pPr>
          </w:p>
        </w:tc>
      </w:tr>
      <w:tr>
        <w:trPr>
          <w:trHeight w:val="220"/>
        </w:trPr>
        <w:tc>
          <w:tcPr>
            <w:tcW w:w="486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25,467</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19,536</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40,681</w:t>
            </w:r>
          </w:p>
        </w:tc>
        <w:tc>
          <w:tcPr>
            <w:tcW w:w="100" w:type="dxa"/>
            <w:vAlign w:val="bottom"/>
          </w:tcPr>
          <w:p>
            <w:pPr>
              <w:spacing w:after="0"/>
              <w:rPr>
                <w:sz w:val="19"/>
                <w:szCs w:val="19"/>
                <w:color w:val="auto"/>
              </w:rPr>
            </w:pPr>
          </w:p>
        </w:tc>
      </w:tr>
      <w:tr>
        <w:trPr>
          <w:trHeight w:val="239"/>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92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33,204</w:t>
            </w:r>
          </w:p>
        </w:tc>
        <w:tc>
          <w:tcPr>
            <w:tcW w:w="3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25,309</w:t>
            </w:r>
          </w:p>
        </w:tc>
        <w:tc>
          <w:tcPr>
            <w:tcW w:w="3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65,045</w:t>
            </w:r>
          </w:p>
        </w:tc>
        <w:tc>
          <w:tcPr>
            <w:tcW w:w="100" w:type="dxa"/>
            <w:vAlign w:val="bottom"/>
            <w:shd w:val="clear" w:color="auto" w:fill="CFF0FC"/>
          </w:tcPr>
          <w:p>
            <w:pPr>
              <w:spacing w:after="0"/>
              <w:rPr>
                <w:sz w:val="20"/>
                <w:szCs w:val="20"/>
                <w:color w:val="auto"/>
              </w:rPr>
            </w:pPr>
          </w:p>
        </w:tc>
      </w:tr>
      <w:tr>
        <w:trPr>
          <w:trHeight w:val="226"/>
        </w:trPr>
        <w:tc>
          <w:tcPr>
            <w:tcW w:w="486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77,045</w:t>
            </w:r>
          </w:p>
        </w:tc>
        <w:tc>
          <w:tcPr>
            <w:tcW w:w="3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58,840</w:t>
            </w:r>
          </w:p>
        </w:tc>
        <w:tc>
          <w:tcPr>
            <w:tcW w:w="3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142,625</w:t>
            </w:r>
          </w:p>
        </w:tc>
        <w:tc>
          <w:tcPr>
            <w:tcW w:w="100" w:type="dxa"/>
            <w:vAlign w:val="bottom"/>
          </w:tcPr>
          <w:p>
            <w:pPr>
              <w:spacing w:after="0"/>
              <w:rPr>
                <w:sz w:val="19"/>
                <w:szCs w:val="19"/>
                <w:color w:val="auto"/>
              </w:rPr>
            </w:pPr>
          </w:p>
        </w:tc>
      </w:tr>
      <w:tr>
        <w:trPr>
          <w:trHeight w:val="266"/>
        </w:trPr>
        <w:tc>
          <w:tcPr>
            <w:tcW w:w="48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920" w:type="dxa"/>
            <w:vAlign w:val="bottom"/>
            <w:tcBorders>
              <w:bottom w:val="single" w:sz="8" w:color="auto"/>
            </w:tcBorders>
            <w:shd w:val="clear" w:color="auto" w:fill="CFF0FC"/>
          </w:tcPr>
          <w:p>
            <w:pPr>
              <w:jc w:val="right"/>
              <w:ind w:right="75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144,518</w:t>
            </w:r>
          </w:p>
        </w:tc>
        <w:tc>
          <w:tcPr>
            <w:tcW w:w="36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109,497</w:t>
            </w:r>
          </w:p>
        </w:tc>
        <w:tc>
          <w:tcPr>
            <w:tcW w:w="34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261,995</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-24765</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-7620</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-24765</wp:posOffset>
            </wp:positionV>
            <wp:extent cx="6032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-7620</wp:posOffset>
            </wp:positionV>
            <wp:extent cx="6032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4" w:lineRule="exact"/>
        <w:rPr>
          <w:sz w:val="20"/>
          <w:szCs w:val="20"/>
          <w:color w:val="auto"/>
        </w:rPr>
      </w:pPr>
    </w:p>
    <w:p>
      <w:pPr>
        <w:ind w:left="560" w:right="140"/>
        <w:spacing w:after="0" w:line="281" w:lineRule="auto"/>
        <w:rPr>
          <w:sz w:val="20"/>
          <w:szCs w:val="20"/>
          <w:color w:val="auto"/>
        </w:rPr>
      </w:pPr>
      <w:r>
        <w:rPr>
          <w:rFonts w:ascii="Times New Roman" w:cs="Times New Roman" w:eastAsia="Times New Roman" w:hAnsi="Times New Roman"/>
          <w:sz w:val="16"/>
          <w:szCs w:val="16"/>
          <w:color w:val="auto"/>
        </w:rPr>
        <w:t>As of December 31, 2023, there was $171.1 million of unrecognized stock compensation expense related to non-vested time-based awards which is expected to be recognized over a weighted-average period of 2.5 years. As of December 31, 2023, there was $96.6 million of unrecognized stock-based compensation expense related to non-vested performance-based awards, which is expected to be recognized over a weighted-average period of 1.4 years.</w:t>
      </w:r>
    </w:p>
    <w:p>
      <w:pPr>
        <w:spacing w:after="0" w:line="175" w:lineRule="exact"/>
        <w:rPr>
          <w:sz w:val="20"/>
          <w:szCs w:val="20"/>
          <w:color w:val="auto"/>
        </w:rPr>
      </w:pPr>
    </w:p>
    <w:p>
      <w:pPr>
        <w:ind w:left="560" w:hanging="552"/>
        <w:spacing w:after="0"/>
        <w:tabs>
          <w:tab w:leader="none" w:pos="560" w:val="left"/>
        </w:tabs>
        <w:numPr>
          <w:ilvl w:val="0"/>
          <w:numId w:val="5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WARRANTS</w:t>
      </w:r>
    </w:p>
    <w:p>
      <w:pPr>
        <w:spacing w:after="0" w:line="128" w:lineRule="exact"/>
        <w:rPr>
          <w:rFonts w:ascii="Times New Roman" w:cs="Times New Roman" w:eastAsia="Times New Roman" w:hAnsi="Times New Roman"/>
          <w:sz w:val="16"/>
          <w:szCs w:val="16"/>
          <w:b w:val="1"/>
          <w:bCs w:val="1"/>
          <w:color w:val="auto"/>
        </w:rPr>
      </w:pPr>
    </w:p>
    <w:p>
      <w:pPr>
        <w:ind w:left="5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Upon consummation of the Business Combination (see Note 3), the Company assumed the outstanding Public Warrants and Private Warrants issued by Dragoneer.</w:t>
      </w:r>
    </w:p>
    <w:p>
      <w:pPr>
        <w:spacing w:after="0" w:line="126" w:lineRule="exact"/>
        <w:rPr>
          <w:rFonts w:ascii="Times New Roman" w:cs="Times New Roman" w:eastAsia="Times New Roman" w:hAnsi="Times New Roman"/>
          <w:sz w:val="16"/>
          <w:szCs w:val="16"/>
          <w:b w:val="1"/>
          <w:bCs w:val="1"/>
          <w:color w:val="auto"/>
        </w:rPr>
      </w:pPr>
    </w:p>
    <w:p>
      <w:pPr>
        <w:ind w:left="560" w:right="100"/>
        <w:spacing w:after="0" w:line="29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Public Warrants were only able to be exercised for a whole number of shares of the Company’s common stock. All Public Warrants had an exercise price of $11.50 per share, subject to adjustment, beginning on August 29, 2021, and were to expire on July 30, 2026 or earlier upon redemption or liquidation.</w:t>
      </w:r>
    </w:p>
    <w:p>
      <w:pPr>
        <w:spacing w:after="0" w:line="56" w:lineRule="exact"/>
        <w:rPr>
          <w:rFonts w:ascii="Times New Roman" w:cs="Times New Roman" w:eastAsia="Times New Roman" w:hAnsi="Times New Roman"/>
          <w:sz w:val="16"/>
          <w:szCs w:val="16"/>
          <w:b w:val="1"/>
          <w:bCs w:val="1"/>
          <w:color w:val="auto"/>
        </w:rPr>
      </w:pPr>
    </w:p>
    <w:p>
      <w:pPr>
        <w:ind w:left="560" w:right="20"/>
        <w:spacing w:after="0" w:line="28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On November 29, 2021, the Company announced that it had elected to redeem all of the outstanding Public Warrants on December 29, 2021. Each Public Warrant not exercised before 5:00 p.m. Eastern Daylight Time on December 29, 2021 was redeemed by the Company for $0.10 and the Public Warrants subsequently ceased trading.</w:t>
      </w:r>
    </w:p>
    <w:p>
      <w:pPr>
        <w:spacing w:after="0" w:line="69" w:lineRule="exact"/>
        <w:rPr>
          <w:rFonts w:ascii="Times New Roman" w:cs="Times New Roman" w:eastAsia="Times New Roman" w:hAnsi="Times New Roman"/>
          <w:sz w:val="16"/>
          <w:szCs w:val="16"/>
          <w:b w:val="1"/>
          <w:bCs w:val="1"/>
          <w:color w:val="auto"/>
        </w:rPr>
      </w:pPr>
    </w:p>
    <w:p>
      <w:pPr>
        <w:ind w:left="560" w:right="140"/>
        <w:spacing w:after="0" w:line="28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Of the 17,299,983 Public Warrants that were outstanding as of the Closing of the Business Combination, 10,638 warrants were exercised for cash proceeds of $0.1 million and 15,876,341 were exercised on a cashless basis in exchange for an aggregate of 4,826,339 shares of common stock. The Company paid $0.1 million to redeem the remaining 1,413,004 unexercised Public Warrants. As of December 31, 2021, there were no Public Warrants outstanding.</w:t>
      </w:r>
    </w:p>
    <w:p>
      <w:pPr>
        <w:spacing w:after="0" w:line="69" w:lineRule="exact"/>
        <w:rPr>
          <w:rFonts w:ascii="Times New Roman" w:cs="Times New Roman" w:eastAsia="Times New Roman" w:hAnsi="Times New Roman"/>
          <w:sz w:val="16"/>
          <w:szCs w:val="16"/>
          <w:b w:val="1"/>
          <w:bCs w:val="1"/>
          <w:color w:val="auto"/>
        </w:rPr>
      </w:pPr>
    </w:p>
    <w:p>
      <w:pPr>
        <w:ind w:left="560" w:right="200"/>
        <w:spacing w:after="0" w:line="27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Private Warrants are identical to the Public Warrants underlying the shares sold in Dragoneer’s initial public offering. Additionally, the Private Warrants are exercisable on a cashless basis and are non-redeemable, so long as they are held by the initial purchasers or their permitted transferees. If the Private Warrants are held by someone other than the initial purchasers or their permitted transferees, the Private Warrants will be redeemable by the Company and exercisable by such holders on the same basis as the Public Warrants.</w:t>
      </w:r>
    </w:p>
    <w:p>
      <w:pPr>
        <w:spacing w:after="0" w:line="75" w:lineRule="exact"/>
        <w:rPr>
          <w:sz w:val="20"/>
          <w:szCs w:val="20"/>
          <w:color w:val="auto"/>
        </w:rPr>
      </w:pPr>
    </w:p>
    <w:p>
      <w:pPr>
        <w:jc w:val="both"/>
        <w:ind w:left="560" w:right="40"/>
        <w:spacing w:after="0" w:line="267" w:lineRule="auto"/>
        <w:rPr>
          <w:sz w:val="20"/>
          <w:szCs w:val="20"/>
          <w:color w:val="auto"/>
        </w:rPr>
      </w:pPr>
      <w:r>
        <w:rPr>
          <w:rFonts w:ascii="Times New Roman" w:cs="Times New Roman" w:eastAsia="Times New Roman" w:hAnsi="Times New Roman"/>
          <w:sz w:val="16"/>
          <w:szCs w:val="16"/>
          <w:color w:val="auto"/>
        </w:rPr>
        <w:t>Private Warrants may only be exercised for a whole number of shares of the Company’s common stock. Each whole Private Warrant entitles the registered holder to purchase one share of the Company’s common stock. All warrants have an exercise price of $11.50 per share, subject to adjustment, beginning on August 29, 2021, and will expire on July 30, 2026 or earlier upon redemption or liquidation.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468630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1" w:right="339" w:bottom="1440" w:gutter="0" w:footer="0" w:header="0"/>
        </w:sectPr>
      </w:pPr>
    </w:p>
    <w:bookmarkStart w:id="90" w:name="page91"/>
    <w:bookmarkEnd w:id="90"/>
    <w:p>
      <w:pPr>
        <w:ind w:left="560" w:right="520"/>
        <w:spacing w:after="0" w:line="298" w:lineRule="auto"/>
        <w:rPr>
          <w:sz w:val="20"/>
          <w:szCs w:val="20"/>
          <w:color w:val="auto"/>
        </w:rPr>
      </w:pPr>
      <w:r>
        <w:rPr>
          <w:rFonts w:ascii="Times New Roman" w:cs="Times New Roman" w:eastAsia="Times New Roman" w:hAnsi="Times New Roman"/>
          <w:sz w:val="16"/>
          <w:szCs w:val="16"/>
          <w:color w:val="auto"/>
        </w:rPr>
        <w:t>Since the Closing of the Business Combination, there have been no exercises or redemptions of the Private Warrants and as of December 31, 2023 and 2022, 17,800,000 Private Warrants were outstanding.</w:t>
      </w:r>
    </w:p>
    <w:p>
      <w:pPr>
        <w:spacing w:after="0" w:line="56" w:lineRule="exact"/>
        <w:rPr>
          <w:sz w:val="20"/>
          <w:szCs w:val="20"/>
          <w:color w:val="auto"/>
        </w:rPr>
      </w:pPr>
    </w:p>
    <w:p>
      <w:pPr>
        <w:ind w:left="560" w:right="100"/>
        <w:spacing w:after="0" w:line="281" w:lineRule="auto"/>
        <w:rPr>
          <w:sz w:val="20"/>
          <w:szCs w:val="20"/>
          <w:color w:val="auto"/>
        </w:rPr>
      </w:pPr>
      <w:r>
        <w:rPr>
          <w:rFonts w:ascii="Times New Roman" w:cs="Times New Roman" w:eastAsia="Times New Roman" w:hAnsi="Times New Roman"/>
          <w:sz w:val="16"/>
          <w:szCs w:val="16"/>
          <w:color w:val="auto"/>
        </w:rPr>
        <w:t>The Company recognized (expense) income of ($15.1) million, $26.1 million, and ($64.5) million as a change in fair value of warrant liabilities in the consolidated statements of operations and comprehensive (loss) income for years ended December 31, 2023, 2022, and 2021, respectively. As of December 31, 2023 and 2022 the Company’s warrant liability was $51.5 and $36.4 million, respectively.</w:t>
      </w:r>
    </w:p>
    <w:p>
      <w:pPr>
        <w:spacing w:after="0" w:line="175" w:lineRule="exact"/>
        <w:rPr>
          <w:sz w:val="20"/>
          <w:szCs w:val="20"/>
          <w:color w:val="auto"/>
        </w:rPr>
      </w:pPr>
    </w:p>
    <w:p>
      <w:pPr>
        <w:ind w:left="560" w:hanging="552"/>
        <w:spacing w:after="0"/>
        <w:tabs>
          <w:tab w:leader="none" w:pos="560" w:val="left"/>
        </w:tabs>
        <w:numPr>
          <w:ilvl w:val="0"/>
          <w:numId w:val="6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COMMITMENTS</w:t>
      </w:r>
    </w:p>
    <w:p>
      <w:pPr>
        <w:spacing w:after="0" w:line="126" w:lineRule="exact"/>
        <w:rPr>
          <w:rFonts w:ascii="Times New Roman" w:cs="Times New Roman" w:eastAsia="Times New Roman" w:hAnsi="Times New Roman"/>
          <w:sz w:val="16"/>
          <w:szCs w:val="16"/>
          <w:b w:val="1"/>
          <w:bCs w:val="1"/>
          <w:color w:val="auto"/>
        </w:rPr>
      </w:pPr>
    </w:p>
    <w:p>
      <w:pPr>
        <w:ind w:left="560" w:right="220"/>
        <w:spacing w:after="0" w:line="28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Purchase Obligations</w:t>
      </w:r>
      <w:r>
        <w:rPr>
          <w:rFonts w:ascii="Times New Roman" w:cs="Times New Roman" w:eastAsia="Times New Roman" w:hAnsi="Times New Roman"/>
          <w:sz w:val="16"/>
          <w:szCs w:val="16"/>
          <w:color w:val="auto"/>
        </w:rPr>
        <w:t>—The Company has long-term agreements with suppliers and other parties related to licensing data used in its solutions and services,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outsourced data center, disaster recovery, and software as a service that expire at various dates through 2031. Under the terms of these agreements with suppliers, the Company has future minimum obligations as of December 31, 2023 as follows (in thousands):</w:t>
      </w:r>
    </w:p>
    <w:p>
      <w:pPr>
        <w:spacing w:after="0" w:line="215" w:lineRule="exact"/>
        <w:rPr>
          <w:sz w:val="20"/>
          <w:szCs w:val="20"/>
          <w:color w:val="auto"/>
        </w:rPr>
      </w:pPr>
    </w:p>
    <w:tbl>
      <w:tblPr>
        <w:tblLayout w:type="fixed"/>
        <w:tblInd w:w="1700" w:type="dxa"/>
        <w:tblCellMar>
          <w:top w:w="0" w:type="dxa"/>
          <w:left w:w="0" w:type="dxa"/>
          <w:bottom w:w="0" w:type="dxa"/>
          <w:right w:w="0" w:type="dxa"/>
        </w:tblCellMar>
      </w:tblPr>
      <w:tr>
        <w:trPr>
          <w:trHeight w:val="222"/>
        </w:trPr>
        <w:tc>
          <w:tcPr>
            <w:tcW w:w="6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Years Ending December 31:</w:t>
            </w: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9"/>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2024</w:t>
            </w:r>
          </w:p>
        </w:tc>
        <w:tc>
          <w:tcPr>
            <w:tcW w:w="44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18,926</w:t>
            </w:r>
          </w:p>
        </w:tc>
        <w:tc>
          <w:tcPr>
            <w:tcW w:w="80" w:type="dxa"/>
            <w:vAlign w:val="bottom"/>
            <w:shd w:val="clear" w:color="auto" w:fill="CFF0FC"/>
          </w:tcPr>
          <w:p>
            <w:pPr>
              <w:spacing w:after="0"/>
              <w:rPr>
                <w:sz w:val="20"/>
                <w:szCs w:val="20"/>
                <w:color w:val="auto"/>
              </w:rPr>
            </w:pPr>
          </w:p>
        </w:tc>
      </w:tr>
      <w:tr>
        <w:trPr>
          <w:trHeight w:val="220"/>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2025</w:t>
            </w: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15,590</w:t>
            </w:r>
          </w:p>
        </w:tc>
        <w:tc>
          <w:tcPr>
            <w:tcW w:w="80" w:type="dxa"/>
            <w:vAlign w:val="bottom"/>
          </w:tcPr>
          <w:p>
            <w:pPr>
              <w:spacing w:after="0"/>
              <w:rPr>
                <w:sz w:val="19"/>
                <w:szCs w:val="19"/>
                <w:color w:val="auto"/>
              </w:rPr>
            </w:pPr>
          </w:p>
        </w:tc>
      </w:tr>
      <w:tr>
        <w:trPr>
          <w:trHeight w:val="239"/>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2026</w:t>
            </w:r>
          </w:p>
        </w:tc>
        <w:tc>
          <w:tcPr>
            <w:tcW w:w="4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12,483</w:t>
            </w:r>
          </w:p>
        </w:tc>
        <w:tc>
          <w:tcPr>
            <w:tcW w:w="80" w:type="dxa"/>
            <w:vAlign w:val="bottom"/>
            <w:shd w:val="clear" w:color="auto" w:fill="CFF0FC"/>
          </w:tcPr>
          <w:p>
            <w:pPr>
              <w:spacing w:after="0"/>
              <w:rPr>
                <w:sz w:val="20"/>
                <w:szCs w:val="20"/>
                <w:color w:val="auto"/>
              </w:rPr>
            </w:pPr>
          </w:p>
        </w:tc>
      </w:tr>
      <w:tr>
        <w:trPr>
          <w:trHeight w:val="220"/>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11,451</w:t>
            </w:r>
          </w:p>
        </w:tc>
        <w:tc>
          <w:tcPr>
            <w:tcW w:w="80" w:type="dxa"/>
            <w:vAlign w:val="bottom"/>
          </w:tcPr>
          <w:p>
            <w:pPr>
              <w:spacing w:after="0"/>
              <w:rPr>
                <w:sz w:val="19"/>
                <w:szCs w:val="19"/>
                <w:color w:val="auto"/>
              </w:rPr>
            </w:pPr>
          </w:p>
        </w:tc>
      </w:tr>
      <w:tr>
        <w:trPr>
          <w:trHeight w:val="239"/>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2028</w:t>
            </w:r>
          </w:p>
        </w:tc>
        <w:tc>
          <w:tcPr>
            <w:tcW w:w="4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9,900</w:t>
            </w:r>
          </w:p>
        </w:tc>
        <w:tc>
          <w:tcPr>
            <w:tcW w:w="80" w:type="dxa"/>
            <w:vAlign w:val="bottom"/>
            <w:shd w:val="clear" w:color="auto" w:fill="CFF0FC"/>
          </w:tcPr>
          <w:p>
            <w:pPr>
              <w:spacing w:after="0"/>
              <w:rPr>
                <w:sz w:val="20"/>
                <w:szCs w:val="20"/>
                <w:color w:val="auto"/>
              </w:rPr>
            </w:pPr>
          </w:p>
        </w:tc>
      </w:tr>
      <w:tr>
        <w:trPr>
          <w:trHeight w:val="227"/>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29,700</w:t>
            </w:r>
          </w:p>
        </w:tc>
        <w:tc>
          <w:tcPr>
            <w:tcW w:w="80" w:type="dxa"/>
            <w:vAlign w:val="bottom"/>
          </w:tcPr>
          <w:p>
            <w:pPr>
              <w:spacing w:after="0"/>
              <w:rPr>
                <w:sz w:val="19"/>
                <w:szCs w:val="19"/>
                <w:color w:val="auto"/>
              </w:rPr>
            </w:pPr>
          </w:p>
        </w:tc>
      </w:tr>
      <w:tr>
        <w:trPr>
          <w:trHeight w:val="266"/>
        </w:trPr>
        <w:tc>
          <w:tcPr>
            <w:tcW w:w="6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440" w:type="dxa"/>
            <w:vAlign w:val="bottom"/>
            <w:tcBorders>
              <w:bottom w:val="single" w:sz="8" w:color="auto"/>
            </w:tcBorders>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98,050</w:t>
            </w:r>
          </w:p>
        </w:tc>
        <w:tc>
          <w:tcPr>
            <w:tcW w:w="8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72" w:lineRule="exact"/>
        <w:rPr>
          <w:sz w:val="20"/>
          <w:szCs w:val="20"/>
          <w:color w:val="auto"/>
        </w:rPr>
      </w:pPr>
    </w:p>
    <w:p>
      <w:pPr>
        <w:ind w:left="560" w:right="60"/>
        <w:spacing w:after="0" w:line="273" w:lineRule="auto"/>
        <w:rPr>
          <w:sz w:val="20"/>
          <w:szCs w:val="20"/>
          <w:color w:val="auto"/>
        </w:rPr>
      </w:pPr>
      <w:r>
        <w:rPr>
          <w:rFonts w:ascii="Times New Roman" w:cs="Times New Roman" w:eastAsia="Times New Roman" w:hAnsi="Times New Roman"/>
          <w:sz w:val="16"/>
          <w:szCs w:val="16"/>
          <w:b w:val="1"/>
          <w:bCs w:val="1"/>
          <w:color w:val="auto"/>
        </w:rPr>
        <w:t>Guarantees</w:t>
      </w:r>
      <w:r>
        <w:rPr>
          <w:rFonts w:ascii="Times New Roman" w:cs="Times New Roman" w:eastAsia="Times New Roman" w:hAnsi="Times New Roman"/>
          <w:sz w:val="16"/>
          <w:szCs w:val="16"/>
          <w:color w:val="auto"/>
        </w:rPr>
        <w:t>—The Company’s services and solutions are typically warranted to perform in a manner consistent with general industry standards that are reasonably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applicable and substantially in accordance with the Company’s services and solutions documentation under normal use and circumstances. The Company’s services and solutions are generally warranted to be performed in a professional manner and to materially conform to the specifications set forth in the related customer contract. The Company’s arrangements also include certain provisions for indemnifying customers against liabilities if its services and solutions infringe a third party’s intellectual property rights.</w:t>
      </w:r>
    </w:p>
    <w:p>
      <w:pPr>
        <w:spacing w:after="0" w:line="76" w:lineRule="exact"/>
        <w:rPr>
          <w:sz w:val="20"/>
          <w:szCs w:val="20"/>
          <w:color w:val="auto"/>
        </w:rPr>
      </w:pPr>
    </w:p>
    <w:p>
      <w:pPr>
        <w:ind w:left="560" w:right="300"/>
        <w:spacing w:after="0" w:line="298" w:lineRule="auto"/>
        <w:rPr>
          <w:sz w:val="20"/>
          <w:szCs w:val="20"/>
          <w:color w:val="auto"/>
        </w:rPr>
      </w:pPr>
      <w:r>
        <w:rPr>
          <w:rFonts w:ascii="Times New Roman" w:cs="Times New Roman" w:eastAsia="Times New Roman" w:hAnsi="Times New Roman"/>
          <w:sz w:val="16"/>
          <w:szCs w:val="16"/>
          <w:color w:val="auto"/>
        </w:rPr>
        <w:t>To date, the Company has not incurred any material costs as a result of such indemnifications or commitments and has not accrued any liabilities related to such obligations in the accompanying consolidated financial statements.</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Employment Agreements</w:t>
      </w:r>
      <w:r>
        <w:rPr>
          <w:rFonts w:ascii="Times New Roman" w:cs="Times New Roman" w:eastAsia="Times New Roman" w:hAnsi="Times New Roman"/>
          <w:sz w:val="16"/>
          <w:szCs w:val="16"/>
          <w:color w:val="auto"/>
        </w:rPr>
        <w:t>—The Company is a party to employment agreements with key employees that provide for compensation and certain other benefits.</w:t>
      </w:r>
    </w:p>
    <w:p>
      <w:pPr>
        <w:spacing w:after="0" w:line="2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These agreements also provide for severance payments and bonus under certain circumstances.</w:t>
      </w:r>
    </w:p>
    <w:p>
      <w:pPr>
        <w:spacing w:after="0" w:line="225" w:lineRule="exact"/>
        <w:rPr>
          <w:sz w:val="20"/>
          <w:szCs w:val="20"/>
          <w:color w:val="auto"/>
        </w:rPr>
      </w:pPr>
    </w:p>
    <w:p>
      <w:pPr>
        <w:ind w:left="560" w:hanging="552"/>
        <w:spacing w:after="0"/>
        <w:tabs>
          <w:tab w:leader="none" w:pos="560" w:val="left"/>
        </w:tabs>
        <w:numPr>
          <w:ilvl w:val="0"/>
          <w:numId w:val="6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LEGAL PROCEEDINGS AND CONTINGENCIES</w:t>
      </w:r>
    </w:p>
    <w:p>
      <w:pPr>
        <w:spacing w:after="0" w:line="128" w:lineRule="exact"/>
        <w:rPr>
          <w:rFonts w:ascii="Times New Roman" w:cs="Times New Roman" w:eastAsia="Times New Roman" w:hAnsi="Times New Roman"/>
          <w:sz w:val="16"/>
          <w:szCs w:val="16"/>
          <w:b w:val="1"/>
          <w:bCs w:val="1"/>
          <w:color w:val="auto"/>
        </w:rPr>
      </w:pPr>
    </w:p>
    <w:p>
      <w:pPr>
        <w:ind w:left="560" w:right="240"/>
        <w:spacing w:after="0" w:line="27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the ordinary course of business, the Company is from time to time, involved in various pending or threatened legal actions. The litigation process is inherently uncertain, and it is possible that the resolution of such matters might have a material adverse effect upon the Company’s consolidated financial condition and/or results of operations. The Company’s management believes, based on current information, matters currently pending or threatened are not expected to have a material adverse effect on the Company’s consolidated financial position or results of operations.</w:t>
      </w:r>
    </w:p>
    <w:p>
      <w:pPr>
        <w:spacing w:after="0" w:line="180" w:lineRule="exact"/>
        <w:rPr>
          <w:rFonts w:ascii="Times New Roman" w:cs="Times New Roman" w:eastAsia="Times New Roman" w:hAnsi="Times New Roman"/>
          <w:sz w:val="16"/>
          <w:szCs w:val="16"/>
          <w:b w:val="1"/>
          <w:bCs w:val="1"/>
          <w:color w:val="auto"/>
        </w:rPr>
      </w:pPr>
    </w:p>
    <w:p>
      <w:pPr>
        <w:ind w:left="560" w:hanging="552"/>
        <w:spacing w:after="0"/>
        <w:tabs>
          <w:tab w:leader="none" w:pos="560" w:val="left"/>
        </w:tabs>
        <w:numPr>
          <w:ilvl w:val="0"/>
          <w:numId w:val="6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RELATED PARTIES</w:t>
      </w:r>
    </w:p>
    <w:p>
      <w:pPr>
        <w:spacing w:after="0" w:line="128" w:lineRule="exact"/>
        <w:rPr>
          <w:rFonts w:ascii="Times New Roman" w:cs="Times New Roman" w:eastAsia="Times New Roman" w:hAnsi="Times New Roman"/>
          <w:sz w:val="16"/>
          <w:szCs w:val="16"/>
          <w:b w:val="1"/>
          <w:bCs w:val="1"/>
          <w:color w:val="auto"/>
        </w:rPr>
      </w:pPr>
    </w:p>
    <w:p>
      <w:pPr>
        <w:ind w:left="5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has engaged in transactions within the ordinary course of business with entities affiliated with its principal equity owners.</w:t>
      </w:r>
    </w:p>
    <w:p>
      <w:pPr>
        <w:spacing w:after="0" w:line="126" w:lineRule="exact"/>
        <w:rPr>
          <w:rFonts w:ascii="Times New Roman" w:cs="Times New Roman" w:eastAsia="Times New Roman" w:hAnsi="Times New Roman"/>
          <w:sz w:val="16"/>
          <w:szCs w:val="16"/>
          <w:b w:val="1"/>
          <w:bCs w:val="1"/>
          <w:color w:val="auto"/>
        </w:rPr>
      </w:pPr>
    </w:p>
    <w:p>
      <w:pPr>
        <w:ind w:left="560" w:right="80"/>
        <w:spacing w:after="0" w:line="29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following table summarizes revenues and expenses with entities affiliated with one of its principal equity owners for the years ended December 31, 2023, 2022 and 2021 (in thousands):</w:t>
      </w:r>
    </w:p>
    <w:p>
      <w:pPr>
        <w:spacing w:after="0" w:line="68" w:lineRule="exact"/>
        <w:rPr>
          <w:sz w:val="20"/>
          <w:szCs w:val="20"/>
          <w:color w:val="auto"/>
        </w:rPr>
      </w:pPr>
    </w:p>
    <w:tbl>
      <w:tblPr>
        <w:tblLayout w:type="fixed"/>
        <w:tblInd w:w="580" w:type="dxa"/>
        <w:tblCellMar>
          <w:top w:w="0" w:type="dxa"/>
          <w:left w:w="0" w:type="dxa"/>
          <w:bottom w:w="0" w:type="dxa"/>
          <w:right w:w="0" w:type="dxa"/>
        </w:tblCellMar>
      </w:tblPr>
      <w:tr>
        <w:trPr>
          <w:trHeight w:val="225"/>
        </w:trPr>
        <w:tc>
          <w:tcPr>
            <w:tcW w:w="682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Borders>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8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3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r>
      <w:tr>
        <w:trPr>
          <w:trHeight w:val="220"/>
        </w:trPr>
        <w:tc>
          <w:tcPr>
            <w:tcW w:w="6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6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Credit card processing</w:t>
            </w:r>
          </w:p>
        </w:tc>
        <w:tc>
          <w:tcPr>
            <w:tcW w:w="740" w:type="dxa"/>
            <w:vAlign w:val="bottom"/>
            <w:shd w:val="clear" w:color="auto" w:fill="CFF0FC"/>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1,051</w:t>
            </w:r>
          </w:p>
        </w:tc>
        <w:tc>
          <w:tcPr>
            <w:tcW w:w="4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00" w:type="dxa"/>
            <w:vAlign w:val="bottom"/>
            <w:shd w:val="clear" w:color="auto" w:fill="CFF0FC"/>
          </w:tcPr>
          <w:p>
            <w:pPr>
              <w:spacing w:after="0"/>
              <w:rPr>
                <w:sz w:val="20"/>
                <w:szCs w:val="20"/>
                <w:color w:val="auto"/>
              </w:rPr>
            </w:pPr>
          </w:p>
        </w:tc>
      </w:tr>
      <w:tr>
        <w:trPr>
          <w:trHeight w:val="221"/>
        </w:trPr>
        <w:tc>
          <w:tcPr>
            <w:tcW w:w="6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6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Employee health insurance benefits</w:t>
            </w:r>
          </w:p>
        </w:tc>
        <w:tc>
          <w:tcPr>
            <w:tcW w:w="74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3,641</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3,166</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3,228</w:t>
            </w:r>
          </w:p>
        </w:tc>
        <w:tc>
          <w:tcPr>
            <w:tcW w:w="100" w:type="dxa"/>
            <w:vAlign w:val="bottom"/>
            <w:shd w:val="clear" w:color="auto" w:fill="CFF0FC"/>
          </w:tcPr>
          <w:p>
            <w:pPr>
              <w:spacing w:after="0"/>
              <w:rPr>
                <w:sz w:val="20"/>
                <w:szCs w:val="20"/>
                <w:color w:val="auto"/>
              </w:rPr>
            </w:pPr>
          </w:p>
        </w:tc>
      </w:tr>
      <w:tr>
        <w:trPr>
          <w:trHeight w:val="220"/>
        </w:trPr>
        <w:tc>
          <w:tcPr>
            <w:tcW w:w="68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Human resources support services</w:t>
            </w:r>
          </w:p>
        </w:tc>
        <w:tc>
          <w:tcPr>
            <w:tcW w:w="7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tcPr>
          <w:p>
            <w:pPr>
              <w:spacing w:after="0"/>
              <w:rPr>
                <w:sz w:val="19"/>
                <w:szCs w:val="19"/>
                <w:color w:val="auto"/>
              </w:rPr>
            </w:pPr>
          </w:p>
        </w:tc>
      </w:tr>
      <w:tr>
        <w:trPr>
          <w:trHeight w:val="239"/>
        </w:trPr>
        <w:tc>
          <w:tcPr>
            <w:tcW w:w="6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Board of director fees for services, including related travel and out-of-pocket reimbursements</w:t>
            </w:r>
          </w:p>
        </w:tc>
        <w:tc>
          <w:tcPr>
            <w:tcW w:w="74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shd w:val="clear" w:color="auto" w:fill="CFF0FC"/>
          </w:tcPr>
          <w:p>
            <w:pPr>
              <w:spacing w:after="0"/>
              <w:rPr>
                <w:sz w:val="20"/>
                <w:szCs w:val="20"/>
                <w:color w:val="auto"/>
              </w:rPr>
            </w:pPr>
          </w:p>
        </w:tc>
      </w:tr>
      <w:tr>
        <w:trPr>
          <w:trHeight w:val="220"/>
        </w:trPr>
        <w:tc>
          <w:tcPr>
            <w:tcW w:w="68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IT development software</w:t>
            </w:r>
          </w:p>
        </w:tc>
        <w:tc>
          <w:tcPr>
            <w:tcW w:w="7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6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Sales tax processing and license fees for tax information</w:t>
            </w:r>
          </w:p>
        </w:tc>
        <w:tc>
          <w:tcPr>
            <w:tcW w:w="74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5401310</wp:posOffset>
            </wp:positionH>
            <wp:positionV relativeFrom="paragraph">
              <wp:posOffset>-1340485</wp:posOffset>
            </wp:positionV>
            <wp:extent cx="93980" cy="18796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93980" cy="187960"/>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-1340485</wp:posOffset>
            </wp:positionV>
            <wp:extent cx="93980" cy="18796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93980" cy="187960"/>
                    </a:xfrm>
                    <a:prstGeom prst="rect">
                      <a:avLst/>
                    </a:prstGeom>
                    <a:noFill/>
                  </pic:spPr>
                </pic:pic>
              </a:graphicData>
            </a:graphic>
          </wp:anchor>
        </w:drawing>
        <w:drawing>
          <wp:anchor simplePos="0" relativeHeight="251657728" behindDoc="1" locked="0" layoutInCell="0" allowOverlap="1">
            <wp:simplePos x="0" y="0"/>
            <wp:positionH relativeFrom="column">
              <wp:posOffset>7064375</wp:posOffset>
            </wp:positionH>
            <wp:positionV relativeFrom="paragraph">
              <wp:posOffset>-1340485</wp:posOffset>
            </wp:positionV>
            <wp:extent cx="85090" cy="18796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5090" cy="187960"/>
                    </a:xfrm>
                    <a:prstGeom prst="rect">
                      <a:avLst/>
                    </a:prstGeom>
                    <a:noFill/>
                  </pic:spPr>
                </pic:pic>
              </a:graphicData>
            </a:graphic>
          </wp:anchor>
        </w:drawing>
      </w:r>
    </w:p>
    <w:p>
      <w:pPr>
        <w:spacing w:after="0" w:line="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Not significant.</w:t>
      </w:r>
    </w:p>
    <w:p>
      <w:pPr>
        <w:spacing w:after="0" w:line="2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Not a related party during the year ended December 31, 2023.</w:t>
      </w:r>
    </w:p>
    <w:p>
      <w:pPr>
        <w:spacing w:after="0" w:line="119" w:lineRule="exact"/>
        <w:rPr>
          <w:sz w:val="20"/>
          <w:szCs w:val="20"/>
          <w:color w:val="auto"/>
        </w:rPr>
      </w:pPr>
    </w:p>
    <w:p>
      <w:pPr>
        <w:ind w:left="520" w:right="160"/>
        <w:spacing w:after="0" w:line="298" w:lineRule="auto"/>
        <w:rPr>
          <w:sz w:val="20"/>
          <w:szCs w:val="20"/>
          <w:color w:val="auto"/>
        </w:rPr>
      </w:pPr>
      <w:r>
        <w:rPr>
          <w:rFonts w:ascii="Times New Roman" w:cs="Times New Roman" w:eastAsia="Times New Roman" w:hAnsi="Times New Roman"/>
          <w:sz w:val="16"/>
          <w:szCs w:val="16"/>
          <w:color w:val="auto"/>
        </w:rPr>
        <w:t>The following table summarizes amounts receivable and payable to entities affiliated with one of its principal equity owners as of December 31, 2023 and 2022 (in thousands):</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91" w:name="page92"/>
    <w:bookmarkEnd w:id="91"/>
    <w:p>
      <w:pPr>
        <w:ind w:left="928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6130290</wp:posOffset>
            </wp:positionH>
            <wp:positionV relativeFrom="paragraph">
              <wp:posOffset>17780</wp:posOffset>
            </wp:positionV>
            <wp:extent cx="93980" cy="18859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7064375</wp:posOffset>
            </wp:positionH>
            <wp:positionV relativeFrom="paragraph">
              <wp:posOffset>17780</wp:posOffset>
            </wp:positionV>
            <wp:extent cx="85090" cy="18859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5090" cy="188595"/>
                    </a:xfrm>
                    <a:prstGeom prst="rect">
                      <a:avLst/>
                    </a:prstGeom>
                    <a:noFill/>
                  </pic:spPr>
                </pic:pic>
              </a:graphicData>
            </a:graphic>
          </wp:anchor>
        </w:drawing>
      </w:r>
    </w:p>
    <w:p>
      <w:pPr>
        <w:spacing w:after="0" w:line="8" w:lineRule="exact"/>
        <w:rPr>
          <w:sz w:val="20"/>
          <w:szCs w:val="20"/>
          <w:color w:val="auto"/>
        </w:rPr>
      </w:pPr>
    </w:p>
    <w:tbl>
      <w:tblPr>
        <w:tblLayout w:type="fixed"/>
        <w:tblInd w:w="560" w:type="dxa"/>
        <w:tblCellMar>
          <w:top w:w="0" w:type="dxa"/>
          <w:left w:w="0" w:type="dxa"/>
          <w:bottom w:w="0" w:type="dxa"/>
          <w:right w:w="0" w:type="dxa"/>
        </w:tblCellMar>
      </w:tblPr>
      <w:tr>
        <w:trPr>
          <w:trHeight w:val="236"/>
        </w:trPr>
        <w:tc>
          <w:tcPr>
            <w:tcW w:w="2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380" w:type="dxa"/>
            <w:vAlign w:val="bottom"/>
            <w:tcBorders>
              <w:top w:val="single" w:sz="8" w:color="auto"/>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Receivables</w:t>
            </w:r>
          </w:p>
        </w:tc>
        <w:tc>
          <w:tcPr>
            <w:tcW w:w="9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7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Credit card processing</w:t>
            </w:r>
          </w:p>
        </w:tc>
        <w:tc>
          <w:tcPr>
            <w:tcW w:w="9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Payables</w:t>
            </w:r>
          </w:p>
        </w:tc>
        <w:tc>
          <w:tcPr>
            <w:tcW w:w="9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20" w:type="dxa"/>
            <w:vAlign w:val="bottom"/>
          </w:tcPr>
          <w:p>
            <w:pPr>
              <w:spacing w:after="0"/>
              <w:rPr>
                <w:sz w:val="19"/>
                <w:szCs w:val="19"/>
                <w:color w:val="auto"/>
              </w:rPr>
            </w:pPr>
          </w:p>
        </w:tc>
        <w:tc>
          <w:tcPr>
            <w:tcW w:w="7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Employee health insurance benefits</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00" w:type="dxa"/>
            <w:vAlign w:val="bottom"/>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78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Human resources support services</w:t>
            </w:r>
          </w:p>
        </w:tc>
        <w:tc>
          <w:tcPr>
            <w:tcW w:w="92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r>
      <w:tr>
        <w:trPr>
          <w:trHeight w:val="220"/>
        </w:trPr>
        <w:tc>
          <w:tcPr>
            <w:tcW w:w="20" w:type="dxa"/>
            <w:vAlign w:val="bottom"/>
          </w:tcPr>
          <w:p>
            <w:pPr>
              <w:spacing w:after="0"/>
              <w:rPr>
                <w:sz w:val="19"/>
                <w:szCs w:val="19"/>
                <w:color w:val="auto"/>
              </w:rPr>
            </w:pPr>
          </w:p>
        </w:tc>
        <w:tc>
          <w:tcPr>
            <w:tcW w:w="7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Sales tax processing and license fees for tax information</w:t>
            </w:r>
          </w:p>
        </w:tc>
        <w:tc>
          <w:tcPr>
            <w:tcW w:w="9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78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Board of director fees for services, including related travel and out-of-pocket reimbursements</w:t>
            </w:r>
          </w:p>
        </w:tc>
        <w:tc>
          <w:tcPr>
            <w:tcW w:w="92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7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IT development software</w:t>
            </w:r>
          </w:p>
        </w:tc>
        <w:tc>
          <w:tcPr>
            <w:tcW w:w="9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r>
      <w:tr>
        <w:trPr>
          <w:trHeight w:val="316"/>
        </w:trPr>
        <w:tc>
          <w:tcPr>
            <w:tcW w:w="7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Not significant.</w:t>
            </w: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7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Not a related party as of December 31 of the year indicated.</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100" w:lineRule="exact"/>
        <w:rPr>
          <w:sz w:val="20"/>
          <w:szCs w:val="20"/>
          <w:color w:val="auto"/>
        </w:rPr>
      </w:pPr>
    </w:p>
    <w:p>
      <w:pPr>
        <w:ind w:left="560" w:right="80"/>
        <w:spacing w:after="0" w:line="298" w:lineRule="auto"/>
        <w:rPr>
          <w:sz w:val="20"/>
          <w:szCs w:val="20"/>
          <w:color w:val="auto"/>
        </w:rPr>
      </w:pPr>
      <w:r>
        <w:rPr>
          <w:rFonts w:ascii="Times New Roman" w:cs="Times New Roman" w:eastAsia="Times New Roman" w:hAnsi="Times New Roman"/>
          <w:sz w:val="16"/>
          <w:szCs w:val="16"/>
          <w:color w:val="auto"/>
        </w:rPr>
        <w:t>As of October 2022, the entity which provides sales tax processing and license fees for tax information is no longer affiliated with a director of the Company and is no longer a related party.</w:t>
      </w:r>
    </w:p>
    <w:p>
      <w:pPr>
        <w:spacing w:after="0" w:line="56" w:lineRule="exact"/>
        <w:rPr>
          <w:sz w:val="20"/>
          <w:szCs w:val="20"/>
          <w:color w:val="auto"/>
        </w:rPr>
      </w:pPr>
    </w:p>
    <w:p>
      <w:pPr>
        <w:ind w:left="560" w:right="200"/>
        <w:spacing w:after="0" w:line="281" w:lineRule="auto"/>
        <w:rPr>
          <w:sz w:val="20"/>
          <w:szCs w:val="20"/>
          <w:color w:val="auto"/>
        </w:rPr>
      </w:pPr>
      <w:r>
        <w:rPr>
          <w:rFonts w:ascii="Times New Roman" w:cs="Times New Roman" w:eastAsia="Times New Roman" w:hAnsi="Times New Roman"/>
          <w:sz w:val="16"/>
          <w:szCs w:val="16"/>
          <w:color w:val="auto"/>
        </w:rPr>
        <w:t>During the year ended December 31, 2023, as part of the secondary offering (see Note 19), the Company entered into a share repurchase agreement with its principal equity owner, pursuant to which the Company agreed to repurchase 32.5 million shares of the Company's common stock at a price equal to the price per share paid by the underwriters, net of commissions and discounts. The aggregate price paid by the Company for the repurchased shares was $328.5 million.</w:t>
      </w:r>
    </w:p>
    <w:p>
      <w:pPr>
        <w:spacing w:after="0" w:line="69" w:lineRule="exact"/>
        <w:rPr>
          <w:sz w:val="20"/>
          <w:szCs w:val="20"/>
          <w:color w:val="auto"/>
        </w:rPr>
      </w:pPr>
    </w:p>
    <w:p>
      <w:pPr>
        <w:ind w:left="560" w:right="100"/>
        <w:spacing w:after="0" w:line="281" w:lineRule="auto"/>
        <w:rPr>
          <w:sz w:val="20"/>
          <w:szCs w:val="20"/>
          <w:color w:val="auto"/>
        </w:rPr>
      </w:pPr>
      <w:r>
        <w:rPr>
          <w:rFonts w:ascii="Times New Roman" w:cs="Times New Roman" w:eastAsia="Times New Roman" w:hAnsi="Times New Roman"/>
          <w:sz w:val="16"/>
          <w:szCs w:val="16"/>
          <w:color w:val="auto"/>
        </w:rPr>
        <w:t>During the year ended December 31, 2021, the Company completed a strategic investment in a limited partnership (the “Investee”) in which the Company invested $10.0 million, plus $0.2 million of related fees and expenses, for an approximate 7% interest (see Note 13). The limited partnership is affiliated with one of the Company’s principal equity owners. The limited partnership recognized no income or loss during the years ended December 31, 2023 and 2022.</w:t>
      </w:r>
    </w:p>
    <w:p>
      <w:pPr>
        <w:spacing w:after="0" w:line="69" w:lineRule="exact"/>
        <w:rPr>
          <w:sz w:val="20"/>
          <w:szCs w:val="20"/>
          <w:color w:val="auto"/>
        </w:rPr>
      </w:pPr>
    </w:p>
    <w:p>
      <w:pPr>
        <w:ind w:left="560" w:right="240"/>
        <w:spacing w:after="0" w:line="298" w:lineRule="auto"/>
        <w:rPr>
          <w:sz w:val="20"/>
          <w:szCs w:val="20"/>
          <w:color w:val="auto"/>
        </w:rPr>
      </w:pPr>
      <w:r>
        <w:rPr>
          <w:rFonts w:ascii="Times New Roman" w:cs="Times New Roman" w:eastAsia="Times New Roman" w:hAnsi="Times New Roman"/>
          <w:sz w:val="16"/>
          <w:szCs w:val="16"/>
          <w:color w:val="auto"/>
        </w:rPr>
        <w:t>During the year ended December 31, 2021 the Company issued 110,679 shares of common stock to a board member for aggregate cash proceeds of $1.0 million, equal to the fair value of the shares at the time of issuance.</w:t>
      </w:r>
    </w:p>
    <w:p>
      <w:pPr>
        <w:spacing w:after="0" w:line="54" w:lineRule="exact"/>
        <w:rPr>
          <w:sz w:val="20"/>
          <w:szCs w:val="20"/>
          <w:color w:val="auto"/>
        </w:rPr>
      </w:pPr>
    </w:p>
    <w:p>
      <w:pPr>
        <w:ind w:left="560" w:hanging="552"/>
        <w:spacing w:after="0"/>
        <w:tabs>
          <w:tab w:leader="none" w:pos="560" w:val="left"/>
        </w:tabs>
        <w:numPr>
          <w:ilvl w:val="0"/>
          <w:numId w:val="6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OTHER INCOME—NET</w:t>
      </w:r>
    </w:p>
    <w:p>
      <w:pPr>
        <w:spacing w:after="0" w:line="128" w:lineRule="exact"/>
        <w:rPr>
          <w:rFonts w:ascii="Times New Roman" w:cs="Times New Roman" w:eastAsia="Times New Roman" w:hAnsi="Times New Roman"/>
          <w:sz w:val="16"/>
          <w:szCs w:val="16"/>
          <w:b w:val="1"/>
          <w:bCs w:val="1"/>
          <w:color w:val="auto"/>
        </w:rPr>
      </w:pPr>
    </w:p>
    <w:p>
      <w:pPr>
        <w:ind w:left="5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Other income—net consists of the following for the years ended December 31 (in thousands):</w:t>
      </w:r>
    </w:p>
    <w:p>
      <w:pPr>
        <w:spacing w:after="0" w:line="30" w:lineRule="exact"/>
        <w:rPr>
          <w:sz w:val="20"/>
          <w:szCs w:val="20"/>
          <w:color w:val="auto"/>
        </w:rPr>
      </w:pPr>
    </w:p>
    <w:tbl>
      <w:tblPr>
        <w:tblLayout w:type="fixed"/>
        <w:tblInd w:w="580" w:type="dxa"/>
        <w:tblCellMar>
          <w:top w:w="0" w:type="dxa"/>
          <w:left w:w="0" w:type="dxa"/>
          <w:bottom w:w="0" w:type="dxa"/>
          <w:right w:w="0" w:type="dxa"/>
        </w:tblCellMar>
      </w:tblPr>
      <w:tr>
        <w:trPr>
          <w:trHeight w:val="225"/>
        </w:trPr>
        <w:tc>
          <w:tcPr>
            <w:tcW w:w="620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2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r>
      <w:tr>
        <w:trPr>
          <w:trHeight w:val="229"/>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gain from change in fair value of derivative instruments</w:t>
            </w:r>
          </w:p>
        </w:tc>
        <w:tc>
          <w:tcPr>
            <w:tcW w:w="82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8"/>
              </w:rPr>
              <w:t>(5,743 )</w:t>
            </w: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5,663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6200" w:type="dxa"/>
            <w:vAlign w:val="bottom"/>
          </w:tcPr>
          <w:p>
            <w:pPr>
              <w:spacing w:after="0"/>
              <w:rPr>
                <w:sz w:val="20"/>
                <w:szCs w:val="20"/>
                <w:color w:val="auto"/>
              </w:rPr>
            </w:pPr>
            <w:r>
              <w:rPr>
                <w:rFonts w:ascii="Times New Roman" w:cs="Times New Roman" w:eastAsia="Times New Roman" w:hAnsi="Times New Roman"/>
                <w:sz w:val="16"/>
                <w:szCs w:val="16"/>
                <w:color w:val="auto"/>
              </w:rPr>
              <w:t>Income from derivative instruments</w:t>
            </w:r>
          </w:p>
        </w:tc>
        <w:tc>
          <w:tcPr>
            <w:tcW w:w="8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6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income–net</w:t>
            </w:r>
          </w:p>
        </w:tc>
        <w:tc>
          <w:tcPr>
            <w:tcW w:w="820" w:type="dxa"/>
            <w:vAlign w:val="bottom"/>
            <w:tcBorders>
              <w:bottom w:val="single" w:sz="8" w:color="auto"/>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1,082</w:t>
            </w:r>
          </w:p>
        </w:tc>
        <w:tc>
          <w:tcPr>
            <w:tcW w:w="2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6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other income–net</w:t>
            </w:r>
          </w:p>
        </w:tc>
        <w:tc>
          <w:tcPr>
            <w:tcW w:w="82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1,799</w:t>
            </w:r>
          </w:p>
        </w:tc>
        <w:tc>
          <w:tcPr>
            <w:tcW w:w="28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6,362</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-179070</wp:posOffset>
            </wp:positionV>
            <wp:extent cx="685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-179070</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-179070</wp:posOffset>
            </wp:positionV>
            <wp:extent cx="5969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560" w:hanging="552"/>
        <w:spacing w:after="0"/>
        <w:tabs>
          <w:tab w:leader="none" w:pos="560" w:val="left"/>
        </w:tabs>
        <w:numPr>
          <w:ilvl w:val="0"/>
          <w:numId w:val="6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NET (LOSS) INCOME PER SHARE</w:t>
      </w:r>
    </w:p>
    <w:p>
      <w:pPr>
        <w:spacing w:after="0" w:line="128" w:lineRule="exact"/>
        <w:rPr>
          <w:rFonts w:ascii="Times New Roman" w:cs="Times New Roman" w:eastAsia="Times New Roman" w:hAnsi="Times New Roman"/>
          <w:sz w:val="16"/>
          <w:szCs w:val="16"/>
          <w:b w:val="1"/>
          <w:bCs w:val="1"/>
          <w:color w:val="auto"/>
        </w:rPr>
      </w:pPr>
    </w:p>
    <w:p>
      <w:pPr>
        <w:ind w:left="560" w:right="40"/>
        <w:spacing w:after="0" w:line="27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calculates basic earnings per share by dividing the net (loss) income by the weighted average number of shares of common stock outstanding for the period. The diluted earnings per share is computed by assuming the exercise, settlement and vesting of all potential dilutive common stock equivalents outstanding for the period using the treasury stock method. We exclude common stock equivalent shares from the calculation if their effect is anti-dilutive. In a period where the Company is in a net loss position, the diluted loss per share is calculated using the basic share count. The 8,625,000 Sponsor Vesting Shares that are issued and outstanding at December 31, 2023, 2022 and 2021 are excluded from the weighted average number of shares of common stock outstanding until the vesting requirement is met and the restriction is removed.</w:t>
      </w:r>
    </w:p>
    <w:p>
      <w:pPr>
        <w:spacing w:after="0" w:line="76" w:lineRule="exact"/>
        <w:rPr>
          <w:rFonts w:ascii="Times New Roman" w:cs="Times New Roman" w:eastAsia="Times New Roman" w:hAnsi="Times New Roman"/>
          <w:sz w:val="16"/>
          <w:szCs w:val="16"/>
          <w:b w:val="1"/>
          <w:bCs w:val="1"/>
          <w:color w:val="auto"/>
        </w:rPr>
      </w:pPr>
    </w:p>
    <w:p>
      <w:pPr>
        <w:ind w:left="560" w:right="200"/>
        <w:spacing w:after="0" w:line="29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following table sets forth a reconciliation of the numerator and denominator used to compute basic earnings per share of common stock (in thousands, except for share and per share data).</w:t>
      </w:r>
    </w:p>
    <w:p>
      <w:pPr>
        <w:spacing w:after="0" w:line="68" w:lineRule="exact"/>
        <w:rPr>
          <w:sz w:val="20"/>
          <w:szCs w:val="20"/>
          <w:color w:val="auto"/>
        </w:rPr>
      </w:pPr>
    </w:p>
    <w:tbl>
      <w:tblPr>
        <w:tblLayout w:type="fixed"/>
        <w:tblInd w:w="580" w:type="dxa"/>
        <w:tblCellMar>
          <w:top w:w="0" w:type="dxa"/>
          <w:left w:w="0" w:type="dxa"/>
          <w:bottom w:w="0" w:type="dxa"/>
          <w:right w:w="0" w:type="dxa"/>
        </w:tblCellMar>
      </w:tblPr>
      <w:tr>
        <w:trPr>
          <w:trHeight w:val="225"/>
        </w:trPr>
        <w:tc>
          <w:tcPr>
            <w:tcW w:w="6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r>
      <w:tr>
        <w:trPr>
          <w:trHeight w:val="230"/>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(90,071 )</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38,406</w:t>
            </w:r>
          </w:p>
        </w:tc>
        <w:tc>
          <w:tcPr>
            <w:tcW w:w="34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(248,919 )</w:t>
            </w:r>
          </w:p>
        </w:tc>
      </w:tr>
      <w:tr>
        <w:trPr>
          <w:trHeight w:val="236"/>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Accretion of redeemable non-controlling interest</w:t>
            </w:r>
          </w:p>
        </w:tc>
        <w:tc>
          <w:tcPr>
            <w:tcW w:w="24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(2,405 )</w:t>
            </w:r>
          </w:p>
        </w:tc>
        <w:tc>
          <w:tcPr>
            <w:tcW w:w="24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6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7"/>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Net (loss) income attributable to common stockholders</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(92,476 )</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38,406</w:t>
            </w:r>
          </w:p>
        </w:tc>
        <w:tc>
          <w:tcPr>
            <w:tcW w:w="34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(248,919 )</w:t>
            </w:r>
          </w:p>
        </w:tc>
      </w:tr>
      <w:tr>
        <w:trPr>
          <w:trHeight w:val="249"/>
        </w:trPr>
        <w:tc>
          <w:tcPr>
            <w:tcW w:w="6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shares of common stock - basic</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617,889,384</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607,760,886</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543,558,222</w:t>
            </w:r>
          </w:p>
        </w:tc>
        <w:tc>
          <w:tcPr>
            <w:tcW w:w="100" w:type="dxa"/>
            <w:vAlign w:val="bottom"/>
          </w:tcPr>
          <w:p>
            <w:pPr>
              <w:spacing w:after="0"/>
              <w:rPr>
                <w:sz w:val="19"/>
                <w:szCs w:val="19"/>
                <w:color w:val="auto"/>
              </w:rPr>
            </w:pPr>
          </w:p>
        </w:tc>
      </w:tr>
      <w:tr>
        <w:trPr>
          <w:trHeight w:val="233"/>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Dilutive effect of stock-based awards</w:t>
            </w:r>
          </w:p>
        </w:tc>
        <w:tc>
          <w:tcPr>
            <w:tcW w:w="24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35,080,710</w:t>
            </w:r>
          </w:p>
        </w:tc>
        <w:tc>
          <w:tcPr>
            <w:tcW w:w="3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2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Weighted average shares of common stock - diluted</w:t>
            </w: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617,889,384</w:t>
            </w:r>
          </w:p>
        </w:tc>
        <w:tc>
          <w:tcPr>
            <w:tcW w:w="34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642,841,596</w:t>
            </w:r>
          </w:p>
        </w:tc>
        <w:tc>
          <w:tcPr>
            <w:tcW w:w="34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543,558,222</w:t>
            </w:r>
          </w:p>
        </w:tc>
        <w:tc>
          <w:tcPr>
            <w:tcW w:w="100" w:type="dxa"/>
            <w:vAlign w:val="bottom"/>
            <w:tcBorders>
              <w:top w:val="single" w:sz="8" w:color="CFF0FC"/>
            </w:tcBorders>
          </w:tcPr>
          <w:p>
            <w:pPr>
              <w:spacing w:after="0"/>
              <w:rPr>
                <w:sz w:val="18"/>
                <w:szCs w:val="18"/>
                <w:color w:val="auto"/>
              </w:rPr>
            </w:pPr>
          </w:p>
        </w:tc>
      </w:tr>
      <w:tr>
        <w:trPr>
          <w:trHeight w:val="249"/>
        </w:trPr>
        <w:tc>
          <w:tcPr>
            <w:tcW w:w="6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income per share attributable to common stockholders:</w:t>
            </w: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(0.15 )</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34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(0.46 )</w:t>
            </w:r>
          </w:p>
        </w:tc>
      </w:tr>
      <w:tr>
        <w:trPr>
          <w:trHeight w:val="239"/>
        </w:trPr>
        <w:tc>
          <w:tcPr>
            <w:tcW w:w="6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(0.15 )</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3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(0.46 )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-1473835</wp:posOffset>
            </wp:positionV>
            <wp:extent cx="6858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-1473835</wp:posOffset>
            </wp:positionV>
            <wp:extent cx="6858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-1473835</wp:posOffset>
            </wp:positionV>
            <wp:extent cx="5969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-736600</wp:posOffset>
            </wp:positionV>
            <wp:extent cx="6858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-736600</wp:posOffset>
            </wp:positionV>
            <wp:extent cx="6858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-736600</wp:posOffset>
            </wp:positionV>
            <wp:extent cx="5969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1" w:right="339" w:bottom="1440" w:gutter="0" w:footer="0" w:header="0"/>
        </w:sectPr>
      </w:pPr>
    </w:p>
    <w:bookmarkStart w:id="92" w:name="page93"/>
    <w:bookmarkEnd w:id="92"/>
    <w:p>
      <w:pPr>
        <w:ind w:left="560" w:right="420"/>
        <w:spacing w:after="0" w:line="298" w:lineRule="auto"/>
        <w:rPr>
          <w:sz w:val="20"/>
          <w:szCs w:val="20"/>
          <w:color w:val="auto"/>
        </w:rPr>
      </w:pPr>
      <w:r>
        <w:rPr>
          <w:rFonts w:ascii="Times New Roman" w:cs="Times New Roman" w:eastAsia="Times New Roman" w:hAnsi="Times New Roman"/>
          <w:sz w:val="16"/>
          <w:szCs w:val="16"/>
          <w:color w:val="auto"/>
        </w:rPr>
        <w:t>Common stock equivalent shares of 33.7 million, 8.1 million, and 32.1 million were excluded from the computation of diluted per share amounts for the years ended December 31, 2023, 2022 and 2021, respectively, because their effect was anti-dilutive.</w:t>
      </w:r>
    </w:p>
    <w:p>
      <w:pPr>
        <w:spacing w:after="0" w:line="162" w:lineRule="exact"/>
        <w:rPr>
          <w:sz w:val="20"/>
          <w:szCs w:val="20"/>
          <w:color w:val="auto"/>
        </w:rPr>
      </w:pPr>
    </w:p>
    <w:p>
      <w:pPr>
        <w:ind w:left="560" w:hanging="552"/>
        <w:spacing w:after="0"/>
        <w:tabs>
          <w:tab w:leader="none" w:pos="560" w:val="left"/>
        </w:tabs>
        <w:numPr>
          <w:ilvl w:val="0"/>
          <w:numId w:val="6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SEGMENT INFORMATION AND INFORMATION ABOUT GEOGRAPHIC AREAS</w:t>
      </w:r>
    </w:p>
    <w:p>
      <w:pPr>
        <w:spacing w:after="0" w:line="128" w:lineRule="exact"/>
        <w:rPr>
          <w:rFonts w:ascii="Times New Roman" w:cs="Times New Roman" w:eastAsia="Times New Roman" w:hAnsi="Times New Roman"/>
          <w:sz w:val="16"/>
          <w:szCs w:val="16"/>
          <w:b w:val="1"/>
          <w:bCs w:val="1"/>
          <w:color w:val="auto"/>
        </w:rPr>
      </w:pPr>
    </w:p>
    <w:p>
      <w:pPr>
        <w:ind w:left="560" w:right="100"/>
        <w:spacing w:after="0" w:line="28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operates in one operating segment. The chief operating decision maker for the Company is the chief executive officer. The chief executive officer reviews financial information presented on a consolidated basis, accompanied by information about revenue by type of service and geographic region, for purposes of allocating resources and evaluating financial performance.</w:t>
      </w:r>
    </w:p>
    <w:p>
      <w:pPr>
        <w:spacing w:after="0" w:line="69" w:lineRule="exact"/>
        <w:rPr>
          <w:rFonts w:ascii="Times New Roman" w:cs="Times New Roman" w:eastAsia="Times New Roman" w:hAnsi="Times New Roman"/>
          <w:sz w:val="16"/>
          <w:szCs w:val="16"/>
          <w:b w:val="1"/>
          <w:bCs w:val="1"/>
          <w:color w:val="auto"/>
        </w:rPr>
      </w:pPr>
    </w:p>
    <w:p>
      <w:pPr>
        <w:ind w:left="5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Revenues by geographic area presented based upon the location of the customer are as follows (in thousands):</w:t>
      </w:r>
    </w:p>
    <w:p>
      <w:pPr>
        <w:spacing w:after="0" w:line="138" w:lineRule="exact"/>
        <w:rPr>
          <w:sz w:val="20"/>
          <w:szCs w:val="20"/>
          <w:color w:val="auto"/>
        </w:rPr>
      </w:pPr>
    </w:p>
    <w:tbl>
      <w:tblPr>
        <w:tblLayout w:type="fixed"/>
        <w:tblInd w:w="580" w:type="dxa"/>
        <w:tblCellMar>
          <w:top w:w="0" w:type="dxa"/>
          <w:left w:w="0" w:type="dxa"/>
          <w:bottom w:w="0" w:type="dxa"/>
          <w:right w:w="0" w:type="dxa"/>
        </w:tblCellMar>
      </w:tblPr>
      <w:tr>
        <w:trPr>
          <w:trHeight w:val="225"/>
        </w:trPr>
        <w:tc>
          <w:tcPr>
            <w:tcW w:w="52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2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3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r>
      <w:tr>
        <w:trPr>
          <w:trHeight w:val="23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1000" w:type="dxa"/>
            <w:vAlign w:val="bottom"/>
            <w:shd w:val="clear" w:color="auto" w:fill="CFF0FC"/>
          </w:tcPr>
          <w:p>
            <w:pPr>
              <w:jc w:val="right"/>
              <w:ind w:right="83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859,548</w:t>
            </w:r>
          </w:p>
        </w:tc>
        <w:tc>
          <w:tcPr>
            <w:tcW w:w="68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774,697</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680,609</w:t>
            </w:r>
          </w:p>
        </w:tc>
        <w:tc>
          <w:tcPr>
            <w:tcW w:w="100" w:type="dxa"/>
            <w:vAlign w:val="bottom"/>
            <w:shd w:val="clear" w:color="auto" w:fill="CFF0FC"/>
          </w:tcPr>
          <w:p>
            <w:pPr>
              <w:spacing w:after="0"/>
              <w:rPr>
                <w:sz w:val="19"/>
                <w:szCs w:val="19"/>
                <w:color w:val="auto"/>
              </w:rPr>
            </w:pPr>
          </w:p>
        </w:tc>
      </w:tr>
      <w:tr>
        <w:trPr>
          <w:trHeight w:val="226"/>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China</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6,830</w:t>
            </w:r>
          </w:p>
        </w:tc>
        <w:tc>
          <w:tcPr>
            <w:tcW w:w="3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7,751</w:t>
            </w:r>
          </w:p>
        </w:tc>
        <w:tc>
          <w:tcPr>
            <w:tcW w:w="3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7,679</w:t>
            </w:r>
          </w:p>
        </w:tc>
        <w:tc>
          <w:tcPr>
            <w:tcW w:w="100" w:type="dxa"/>
            <w:vAlign w:val="bottom"/>
          </w:tcPr>
          <w:p>
            <w:pPr>
              <w:spacing w:after="0"/>
              <w:rPr>
                <w:sz w:val="19"/>
                <w:szCs w:val="19"/>
                <w:color w:val="auto"/>
              </w:rPr>
            </w:pPr>
          </w:p>
        </w:tc>
      </w:tr>
      <w:tr>
        <w:trPr>
          <w:trHeight w:val="266"/>
        </w:trPr>
        <w:tc>
          <w:tcPr>
            <w:tcW w:w="52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 revenues</w:t>
            </w:r>
          </w:p>
        </w:tc>
        <w:tc>
          <w:tcPr>
            <w:tcW w:w="1000" w:type="dxa"/>
            <w:vAlign w:val="bottom"/>
            <w:tcBorders>
              <w:bottom w:val="single" w:sz="8" w:color="auto"/>
            </w:tcBorders>
            <w:shd w:val="clear" w:color="auto" w:fill="CFF0FC"/>
          </w:tcPr>
          <w:p>
            <w:pPr>
              <w:jc w:val="right"/>
              <w:ind w:right="83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866,378</w:t>
            </w:r>
          </w:p>
        </w:tc>
        <w:tc>
          <w:tcPr>
            <w:tcW w:w="32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782,448</w:t>
            </w:r>
          </w:p>
        </w:tc>
        <w:tc>
          <w:tcPr>
            <w:tcW w:w="32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688,288</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-24765</wp:posOffset>
            </wp:positionV>
            <wp:extent cx="685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-7620</wp:posOffset>
            </wp:positionV>
            <wp:extent cx="685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Software, equipment and property, net by geographic area are as follows (in thousands):</w:t>
      </w:r>
    </w:p>
    <w:p>
      <w:pPr>
        <w:spacing w:after="0" w:line="138" w:lineRule="exact"/>
        <w:rPr>
          <w:sz w:val="20"/>
          <w:szCs w:val="20"/>
          <w:color w:val="auto"/>
        </w:rPr>
      </w:pPr>
    </w:p>
    <w:tbl>
      <w:tblPr>
        <w:tblLayout w:type="fixed"/>
        <w:tblInd w:w="580" w:type="dxa"/>
        <w:tblCellMar>
          <w:top w:w="0" w:type="dxa"/>
          <w:left w:w="0" w:type="dxa"/>
          <w:bottom w:w="0" w:type="dxa"/>
          <w:right w:w="0" w:type="dxa"/>
        </w:tblCellMar>
      </w:tblPr>
      <w:tr>
        <w:trPr>
          <w:trHeight w:val="225"/>
        </w:trPr>
        <w:tc>
          <w:tcPr>
            <w:tcW w:w="616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160" w:type="dxa"/>
            <w:vAlign w:val="bottom"/>
          </w:tcPr>
          <w:p>
            <w:pPr>
              <w:spacing w:after="0"/>
              <w:rPr>
                <w:sz w:val="19"/>
                <w:szCs w:val="19"/>
                <w:color w:val="auto"/>
              </w:rPr>
            </w:pPr>
          </w:p>
        </w:tc>
        <w:tc>
          <w:tcPr>
            <w:tcW w:w="13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68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r>
      <w:tr>
        <w:trPr>
          <w:trHeight w:val="230"/>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1320" w:type="dxa"/>
            <w:vAlign w:val="bottom"/>
            <w:shd w:val="clear" w:color="auto" w:fill="CFF0FC"/>
          </w:tcPr>
          <w:p>
            <w:pPr>
              <w:jc w:val="right"/>
              <w:ind w:right="11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160,064</w:t>
            </w:r>
          </w:p>
        </w:tc>
        <w:tc>
          <w:tcPr>
            <w:tcW w:w="960" w:type="dxa"/>
            <w:vAlign w:val="bottom"/>
            <w:gridSpan w:val="2"/>
            <w:shd w:val="clear" w:color="auto" w:fill="CFF0FC"/>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146,398</w:t>
            </w:r>
          </w:p>
        </w:tc>
        <w:tc>
          <w:tcPr>
            <w:tcW w:w="100" w:type="dxa"/>
            <w:vAlign w:val="bottom"/>
            <w:shd w:val="clear" w:color="auto" w:fill="CFF0FC"/>
          </w:tcPr>
          <w:p>
            <w:pPr>
              <w:spacing w:after="0"/>
              <w:rPr>
                <w:sz w:val="19"/>
                <w:szCs w:val="19"/>
                <w:color w:val="auto"/>
              </w:rPr>
            </w:pPr>
          </w:p>
        </w:tc>
      </w:tr>
      <w:tr>
        <w:trPr>
          <w:trHeight w:val="226"/>
        </w:trPr>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China</w:t>
            </w:r>
          </w:p>
        </w:tc>
        <w:tc>
          <w:tcPr>
            <w:tcW w:w="1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4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9"/>
                <w:szCs w:val="19"/>
                <w:color w:val="auto"/>
              </w:rPr>
            </w:pPr>
          </w:p>
        </w:tc>
      </w:tr>
      <w:tr>
        <w:trPr>
          <w:trHeight w:val="266"/>
        </w:trPr>
        <w:tc>
          <w:tcPr>
            <w:tcW w:w="61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 software, equipment and property-net</w:t>
            </w:r>
          </w:p>
        </w:tc>
        <w:tc>
          <w:tcPr>
            <w:tcW w:w="1320" w:type="dxa"/>
            <w:vAlign w:val="bottom"/>
            <w:tcBorders>
              <w:bottom w:val="single" w:sz="8" w:color="auto"/>
            </w:tcBorders>
            <w:shd w:val="clear" w:color="auto" w:fill="CFF0FC"/>
          </w:tcPr>
          <w:p>
            <w:pPr>
              <w:jc w:val="right"/>
              <w:ind w:right="11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160,416</w:t>
            </w:r>
          </w:p>
        </w:tc>
        <w:tc>
          <w:tcPr>
            <w:tcW w:w="420" w:type="dxa"/>
            <w:vAlign w:val="bottom"/>
            <w:tcBorders>
              <w:bottom w:val="single" w:sz="8" w:color="CFF0FC"/>
            </w:tcBorders>
            <w:shd w:val="clear" w:color="auto" w:fill="CFF0FC"/>
          </w:tcPr>
          <w:p>
            <w:pPr>
              <w:spacing w:after="0"/>
              <w:rPr>
                <w:sz w:val="23"/>
                <w:szCs w:val="23"/>
                <w:color w:val="auto"/>
              </w:rPr>
            </w:pPr>
          </w:p>
        </w:tc>
        <w:tc>
          <w:tcPr>
            <w:tcW w:w="540" w:type="dxa"/>
            <w:vAlign w:val="bottom"/>
            <w:tcBorders>
              <w:bottom w:val="single" w:sz="8" w:color="auto"/>
            </w:tcBorders>
            <w:shd w:val="clear" w:color="auto" w:fill="CFF0FC"/>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146,443</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-24765</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-7620</wp:posOffset>
            </wp:positionV>
            <wp:extent cx="685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88" w:lineRule="exact"/>
        <w:rPr>
          <w:sz w:val="20"/>
          <w:szCs w:val="20"/>
          <w:color w:val="auto"/>
        </w:rPr>
      </w:pPr>
    </w:p>
    <w:p>
      <w:pPr>
        <w:ind w:left="560" w:hanging="552"/>
        <w:spacing w:after="0"/>
        <w:tabs>
          <w:tab w:leader="none" w:pos="560" w:val="left"/>
        </w:tabs>
        <w:numPr>
          <w:ilvl w:val="0"/>
          <w:numId w:val="6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GAIN ON SALE OF COST METHOD INVESTMENT</w:t>
      </w:r>
    </w:p>
    <w:p>
      <w:pPr>
        <w:spacing w:after="0" w:line="128" w:lineRule="exact"/>
        <w:rPr>
          <w:rFonts w:ascii="Times New Roman" w:cs="Times New Roman" w:eastAsia="Times New Roman" w:hAnsi="Times New Roman"/>
          <w:sz w:val="16"/>
          <w:szCs w:val="16"/>
          <w:b w:val="1"/>
          <w:bCs w:val="1"/>
          <w:color w:val="auto"/>
        </w:rPr>
      </w:pPr>
    </w:p>
    <w:p>
      <w:pPr>
        <w:ind w:left="560" w:right="280"/>
        <w:spacing w:after="0" w:line="28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During February 2022, the Company received cash proceeds of $3.9 million in exchange for its equity interest in an investee as a result of the acquisition of the investee. The Company had been accounting for its investment using the cost method and recognized a gain of $3.6 million during the year ended December 31, 2023. The investment’s carrying value was $0.3 million at time of the acquisition. The Company no longer has any ownership interest in the investee.</w:t>
      </w:r>
    </w:p>
    <w:p>
      <w:pPr>
        <w:spacing w:after="0" w:line="67" w:lineRule="exact"/>
        <w:rPr>
          <w:rFonts w:ascii="Times New Roman" w:cs="Times New Roman" w:eastAsia="Times New Roman" w:hAnsi="Times New Roman"/>
          <w:sz w:val="16"/>
          <w:szCs w:val="16"/>
          <w:b w:val="1"/>
          <w:bCs w:val="1"/>
          <w:color w:val="auto"/>
        </w:rPr>
      </w:pPr>
    </w:p>
    <w:p>
      <w:pPr>
        <w:ind w:left="560" w:hanging="552"/>
        <w:spacing w:after="0"/>
        <w:tabs>
          <w:tab w:leader="none" w:pos="560" w:val="left"/>
        </w:tabs>
        <w:numPr>
          <w:ilvl w:val="0"/>
          <w:numId w:val="6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SUBSEQUENT EVENT</w:t>
      </w:r>
    </w:p>
    <w:p>
      <w:pPr>
        <w:spacing w:after="0" w:line="127" w:lineRule="exact"/>
        <w:rPr>
          <w:sz w:val="20"/>
          <w:szCs w:val="20"/>
          <w:color w:val="auto"/>
        </w:rPr>
      </w:pPr>
    </w:p>
    <w:p>
      <w:pPr>
        <w:ind w:left="560" w:right="140"/>
        <w:spacing w:after="0" w:line="268" w:lineRule="auto"/>
        <w:rPr>
          <w:sz w:val="20"/>
          <w:szCs w:val="20"/>
          <w:color w:val="auto"/>
        </w:rPr>
      </w:pPr>
      <w:r>
        <w:rPr>
          <w:rFonts w:ascii="Times New Roman" w:cs="Times New Roman" w:eastAsia="Times New Roman" w:hAnsi="Times New Roman"/>
          <w:sz w:val="16"/>
          <w:szCs w:val="16"/>
          <w:i w:val="1"/>
          <w:iCs w:val="1"/>
          <w:color w:val="auto"/>
        </w:rPr>
        <w:t>Secondary Offering</w:t>
      </w:r>
      <w:r>
        <w:rPr>
          <w:rFonts w:ascii="Times New Roman" w:cs="Times New Roman" w:eastAsia="Times New Roman" w:hAnsi="Times New Roman"/>
          <w:sz w:val="16"/>
          <w:szCs w:val="16"/>
          <w:color w:val="auto"/>
        </w:rPr>
        <w:t>—During January 2024, certain existing stockholders completed a secondary offering where the selling stockholders sold 22,000,000 shares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common stock. The Company did not receive any of the proceeds from the sale of the shares by the selling stockholders. In connection with the offering, the Company did not incur significant costs during the year ended December 31, 2023.</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6"/>
          <w:szCs w:val="16"/>
          <w:b w:val="1"/>
          <w:bCs w:val="1"/>
          <w:color w:val="auto"/>
        </w:rPr>
        <w:t>Item 9. Changes in and Disagreements with Accountants on Accounting and Financial Disclosures.</w:t>
      </w:r>
    </w:p>
    <w:p>
      <w:pPr>
        <w:spacing w:after="0" w:line="12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None.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9A. Controls and Procedures.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Evaluation of Disclosure Controls and Procedures</w:t>
      </w:r>
    </w:p>
    <w:p>
      <w:pPr>
        <w:spacing w:after="0" w:line="131" w:lineRule="exact"/>
        <w:rPr>
          <w:sz w:val="20"/>
          <w:szCs w:val="20"/>
          <w:color w:val="auto"/>
        </w:rPr>
      </w:pPr>
    </w:p>
    <w:p>
      <w:pPr>
        <w:ind w:right="40" w:firstLine="1033"/>
        <w:spacing w:after="0" w:line="271" w:lineRule="auto"/>
        <w:rPr>
          <w:sz w:val="20"/>
          <w:szCs w:val="20"/>
          <w:color w:val="auto"/>
        </w:rPr>
      </w:pPr>
      <w:r>
        <w:rPr>
          <w:rFonts w:ascii="Times New Roman" w:cs="Times New Roman" w:eastAsia="Times New Roman" w:hAnsi="Times New Roman"/>
          <w:sz w:val="16"/>
          <w:szCs w:val="16"/>
          <w:color w:val="auto"/>
        </w:rPr>
        <w:t>Our management, with the participation of our CEO and CFO, has evaluated the effectiveness of our disclosure controls and procedures (as defined in Rules 13a-15(e) and 15d-15(e) under the Exchange Act, as of the end of the period covered by this Annual Report on Form 10-K. Based on such evaluation, our CEO and CFO have concluded that as of December 31, 2023,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the rules and forms of the SEC, and that such information is accumulated and communicated to our management, including our CEO and CFO, as appropriate, to allow timely decisions regarding required disclosure.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Management’s Report on Internal Control Over Financial Reporting</w:t>
      </w:r>
    </w:p>
    <w:p>
      <w:pPr>
        <w:spacing w:after="0" w:line="129" w:lineRule="exact"/>
        <w:rPr>
          <w:sz w:val="20"/>
          <w:szCs w:val="20"/>
          <w:color w:val="auto"/>
        </w:rPr>
      </w:pPr>
    </w:p>
    <w:p>
      <w:pPr>
        <w:ind w:right="60" w:firstLine="1033"/>
        <w:spacing w:after="0" w:line="271" w:lineRule="auto"/>
        <w:rPr>
          <w:sz w:val="20"/>
          <w:szCs w:val="20"/>
          <w:color w:val="auto"/>
        </w:rPr>
      </w:pPr>
      <w:r>
        <w:rPr>
          <w:rFonts w:ascii="Times New Roman" w:cs="Times New Roman" w:eastAsia="Times New Roman" w:hAnsi="Times New Roman"/>
          <w:sz w:val="16"/>
          <w:szCs w:val="16"/>
          <w:color w:val="auto"/>
        </w:rPr>
        <w:t>Our management is responsible for establishing and maintaining adequate internal control over financial reporting (as defined in Rules 13a-15(f) and 15(d)-15(f) under the Exchange Act). Under the supervision and with the participation of our management, including our principal executive officer and principal financial officer, we conducted an evaluation of the effectiveness of our internal control over financial reporting based on the guidelines set forth by the Committee of Sponsoring Organizations of the Treadway Commission in Internal Control - Integrated Framework (2013). Based on the evaluation, our management concluded that our internal control over financial reporting was effective as of December 31, 2023. Our management's assessment of the effectiveness of our internal control over financial reporting as of December 31, 2023, has been audited by Deloitte &amp; Touche LLP, an independent registered public accounting firm, as stated in their report which is included herein.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Changes in Internal Control over Financial Reporting</w:t>
      </w:r>
    </w:p>
    <w:p>
      <w:pPr>
        <w:spacing w:after="0" w:line="129" w:lineRule="exact"/>
        <w:rPr>
          <w:sz w:val="20"/>
          <w:szCs w:val="20"/>
          <w:color w:val="auto"/>
        </w:rPr>
      </w:pPr>
    </w:p>
    <w:p>
      <w:pPr>
        <w:ind w:right="80" w:firstLine="1033"/>
        <w:spacing w:after="0" w:line="298" w:lineRule="auto"/>
        <w:rPr>
          <w:sz w:val="20"/>
          <w:szCs w:val="20"/>
          <w:color w:val="auto"/>
        </w:rPr>
      </w:pPr>
      <w:r>
        <w:rPr>
          <w:rFonts w:ascii="Times New Roman" w:cs="Times New Roman" w:eastAsia="Times New Roman" w:hAnsi="Times New Roman"/>
          <w:sz w:val="16"/>
          <w:szCs w:val="16"/>
          <w:color w:val="auto"/>
        </w:rPr>
        <w:t>There was no change in our internal control over financial reporting (as defined in Rules 13a-15(d) and 15d-15(d) under the Exchange Act) during the three months ended December 31, 2023 that has materially affected, or is reasonably likely to materially affect, our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Limitations on the Effectiveness of Controls</w:t>
      </w:r>
    </w:p>
    <w:p>
      <w:pPr>
        <w:spacing w:after="0" w:line="129" w:lineRule="exact"/>
        <w:rPr>
          <w:sz w:val="20"/>
          <w:szCs w:val="20"/>
          <w:color w:val="auto"/>
        </w:rPr>
      </w:pPr>
    </w:p>
    <w:p>
      <w:pPr>
        <w:ind w:right="20" w:firstLine="1033"/>
        <w:spacing w:after="0" w:line="272" w:lineRule="auto"/>
        <w:rPr>
          <w:sz w:val="20"/>
          <w:szCs w:val="20"/>
          <w:color w:val="auto"/>
        </w:rPr>
      </w:pPr>
      <w:r>
        <w:rPr>
          <w:rFonts w:ascii="Times New Roman" w:cs="Times New Roman" w:eastAsia="Times New Roman" w:hAnsi="Times New Roman"/>
          <w:sz w:val="16"/>
          <w:szCs w:val="16"/>
          <w:color w:val="auto"/>
        </w:rPr>
        <w:t>Our management, including our Chief Executive Officer and Chief Financial Officer, does not expect that the Company’s disclosure controls and procedures or the Company’s internal controls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shareholders and the Board of Directors of CCC Intelligent Solutions Holdings Inc.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Internal Control over Financial Reporting</w:t>
      </w:r>
    </w:p>
    <w:p>
      <w:pPr>
        <w:spacing w:after="0" w:line="129"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6"/>
          <w:szCs w:val="16"/>
          <w:color w:val="auto"/>
        </w:rPr>
        <w:t xml:space="preserve">We have audited the internal control over financial reporting of CCC Intelligent Solutions Holdings Inc. and subsidiaries (the “Company”) as of December 31, 2023, based on criteria established in </w:t>
      </w:r>
      <w:r>
        <w:rPr>
          <w:rFonts w:ascii="Times New Roman" w:cs="Times New Roman" w:eastAsia="Times New Roman" w:hAnsi="Times New Roman"/>
          <w:sz w:val="16"/>
          <w:szCs w:val="16"/>
          <w:i w:val="1"/>
          <w:iCs w:val="1"/>
          <w:color w:val="auto"/>
        </w:rPr>
        <w:t>Internal Control — Integrated Framework (2013)</w:t>
      </w:r>
      <w:r>
        <w:rPr>
          <w:rFonts w:ascii="Times New Roman" w:cs="Times New Roman" w:eastAsia="Times New Roman" w:hAnsi="Times New Roman"/>
          <w:sz w:val="16"/>
          <w:szCs w:val="16"/>
          <w:color w:val="auto"/>
        </w:rPr>
        <w:t xml:space="preserve"> issued by the Committee of Sponsoring Organizations of the Treadway Commission (COSO). In our opinion, the Company maintained, in all material respects, effective internal control over financial reporting as of December 31, 2023, based on criteria established in </w:t>
      </w:r>
      <w:r>
        <w:rPr>
          <w:rFonts w:ascii="Times New Roman" w:cs="Times New Roman" w:eastAsia="Times New Roman" w:hAnsi="Times New Roman"/>
          <w:sz w:val="16"/>
          <w:szCs w:val="16"/>
          <w:i w:val="1"/>
          <w:iCs w:val="1"/>
          <w:color w:val="auto"/>
        </w:rPr>
        <w:t xml:space="preserve">Internal Control — Integrated Framework (2013) </w:t>
      </w:r>
      <w:r>
        <w:rPr>
          <w:rFonts w:ascii="Times New Roman" w:cs="Times New Roman" w:eastAsia="Times New Roman" w:hAnsi="Times New Roman"/>
          <w:sz w:val="16"/>
          <w:szCs w:val="16"/>
          <w:color w:val="auto"/>
        </w:rPr>
        <w:t>issued by COSO.</w:t>
      </w:r>
    </w:p>
    <w:p>
      <w:pPr>
        <w:spacing w:after="0" w:line="75"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We have also audited, in accordance with the standards of the Public Company Accounting Oversight Board (United States) (PCAOB), the consolidated financial statements as of and for the year ended December 31, 2023, of the Company and our report dated February 28, 2024, expressed an unqualified opinion on those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129"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4"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6"/>
          <w:szCs w:val="16"/>
          <w:b w:val="1"/>
          <w:bCs w:val="1"/>
          <w:color w:val="auto"/>
        </w:rPr>
        <w:t>Definition and Limitations of Internal Control over Financial Reporting</w:t>
      </w:r>
    </w:p>
    <w:p>
      <w:pPr>
        <w:spacing w:after="0" w:line="129"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2" w:lineRule="exact"/>
        <w:rPr>
          <w:sz w:val="20"/>
          <w:szCs w:val="20"/>
          <w:color w:val="auto"/>
        </w:rPr>
      </w:pPr>
    </w:p>
    <w:p>
      <w:pPr>
        <w:jc w:val="both"/>
        <w:ind w:right="40"/>
        <w:spacing w:after="0" w:line="281"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Deloitte &amp; Touche LLP</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Chicago, IL</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28, 2024</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9B. Other Information</w:t>
      </w:r>
    </w:p>
    <w:p>
      <w:pPr>
        <w:spacing w:after="0" w:line="129" w:lineRule="exact"/>
        <w:rPr>
          <w:sz w:val="20"/>
          <w:szCs w:val="20"/>
          <w:color w:val="auto"/>
        </w:rPr>
      </w:pPr>
    </w:p>
    <w:p>
      <w:pPr>
        <w:ind w:firstLine="1033"/>
        <w:spacing w:after="0" w:line="266" w:lineRule="auto"/>
        <w:rPr>
          <w:sz w:val="20"/>
          <w:szCs w:val="20"/>
          <w:color w:val="auto"/>
        </w:rPr>
      </w:pPr>
      <w:r>
        <w:rPr>
          <w:rFonts w:ascii="Times New Roman" w:cs="Times New Roman" w:eastAsia="Times New Roman" w:hAnsi="Times New Roman"/>
          <w:sz w:val="16"/>
          <w:szCs w:val="16"/>
          <w:color w:val="auto"/>
        </w:rPr>
        <w:t>During the three months ended December 31, 2023, each of Githesh Ramamurthy, Chairman of the Board and Chief Executive Officer of the Company; Brian Herb, Executive Vice President, Chief Financial and Administrative Officer of the Company; Mary Jo Prigge, Executive Vice President, Chief Service Delivery Officer of the Company; Marc Fredman, Senior Vice President, Chief Strategy Officer of the Company; and Rodney Christo, Senior Vice President, Finance and Chief Accounting Officer of the Company, adopted a Rule 10b5-1 trading arrangement intended to satisfy the affirmative defense of Rule 10b5–1(c). The 10b-5-1 trading arrangement was adopted by Mr. Ramamurthy on December 20, 2023 and provides for the sale of up to 6,000,000 shares of the Common Stock of the Company in the period commencing on March 20, 2024 and ending on the earlier of December 2, 2024 or the execution of all trades contemplated by the plan. The 10b-5-1 trading arrangement was adopted by Mr. Herb on November 29, 2023 and provides for the sale of up to 265,173 shares of the Common Stock of the Company in the period commencing on March 7, 2024 and ending on the earlier of November 15, 2024 or the execution of all trades contemplated by the plan. The 10b-5-1 trading arrangement was adopted by Ms. Prigge on November 10, 2023 and provides for the sale of up to 100,000 shares of the Common Stock of the Company in the period commencing on March 11, 2024 and ending on the earlier of November 8, 2024 or the execution of all trades contemplated by the plan. The 10b-5-1 trading arrangement was adopted by Mr. Fredman on November 17, 2023 and provides for the sale of up to 1,124,008 shares of the Common Stock of the Company in the period commencing on March 14, 2024 and ending on the earlier of November 15, 2024 or the execution of all trades contemplated by the plan. The 10b-5-1 trading arrangement was adopted by Mr. Christo on November 30, 2023 and provides for the sale of up to 205,624 shares of the Common Stock of the Company in the period commencing on March 4, 2024 and ending on the earlier of November 29, 2024 or the execution of all trades contemplated by the plan. The number of shares to be sold under each of Mr. Herb's, Mr. Fredman's and Mr. Christo's plan assumes the vesting of the maximum number of shares under performance-based RSUs, the actual number of shares to be sold under each plan will depend on the achievement of the applicable performance conditions under the performance-based RSUs and the number of shares withheld to satisfy tax obligations upon the vesting of the applicable awards.</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9C. Disclosures Regarding Foreign Jurisdictions that Prevent Inspection</w:t>
      </w:r>
    </w:p>
    <w:p>
      <w:pPr>
        <w:spacing w:after="0" w:line="12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6" w:right="35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309" w:right="1440" w:bottom="1440" w:gutter="0" w:footer="0" w:header="0"/>
        </w:sectPr>
      </w:pPr>
    </w:p>
    <w:bookmarkStart w:id="96" w:name="page97"/>
    <w:bookmarkEnd w:id="96"/>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10. Directors, Executive Officers and Corporate Governance.</w:t>
      </w:r>
    </w:p>
    <w:p>
      <w:pPr>
        <w:spacing w:after="0" w:line="129" w:lineRule="exact"/>
        <w:rPr>
          <w:sz w:val="20"/>
          <w:szCs w:val="20"/>
          <w:color w:val="auto"/>
        </w:rPr>
      </w:pPr>
    </w:p>
    <w:p>
      <w:pPr>
        <w:ind w:firstLine="1033"/>
        <w:spacing w:after="0" w:line="298" w:lineRule="auto"/>
        <w:rPr>
          <w:sz w:val="20"/>
          <w:szCs w:val="20"/>
          <w:color w:val="auto"/>
        </w:rPr>
      </w:pPr>
      <w:r>
        <w:rPr>
          <w:rFonts w:ascii="Times New Roman" w:cs="Times New Roman" w:eastAsia="Times New Roman" w:hAnsi="Times New Roman"/>
          <w:sz w:val="16"/>
          <w:szCs w:val="16"/>
          <w:color w:val="auto"/>
        </w:rPr>
        <w:t>The information required by this item is incorporated by reference to the relevant information in our Proxy Statement to be filed in connection with our 2023 Annual Meeting of Stockholders within 120 days after the end of the fiscal year ended December 31,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11. Executive Compensation.</w:t>
      </w:r>
    </w:p>
    <w:p>
      <w:pPr>
        <w:spacing w:after="0" w:line="129" w:lineRule="exact"/>
        <w:rPr>
          <w:sz w:val="20"/>
          <w:szCs w:val="20"/>
          <w:color w:val="auto"/>
        </w:rPr>
      </w:pPr>
    </w:p>
    <w:p>
      <w:pPr>
        <w:ind w:firstLine="1033"/>
        <w:spacing w:after="0" w:line="298" w:lineRule="auto"/>
        <w:rPr>
          <w:sz w:val="20"/>
          <w:szCs w:val="20"/>
          <w:color w:val="auto"/>
        </w:rPr>
      </w:pPr>
      <w:r>
        <w:rPr>
          <w:rFonts w:ascii="Times New Roman" w:cs="Times New Roman" w:eastAsia="Times New Roman" w:hAnsi="Times New Roman"/>
          <w:sz w:val="16"/>
          <w:szCs w:val="16"/>
          <w:color w:val="auto"/>
        </w:rPr>
        <w:t>The information required by this item is incorporated by reference to the relevant information in our Proxy Statement to be filed in connection with our 2023 Annual Meeting of Stockholders within 120 days after the end of the fiscal year ended December 31,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12. Security Ownership of Certain Beneficial Owners and Management and Related Stockholder Matters.</w:t>
      </w:r>
    </w:p>
    <w:p>
      <w:pPr>
        <w:spacing w:after="0" w:line="129" w:lineRule="exact"/>
        <w:rPr>
          <w:sz w:val="20"/>
          <w:szCs w:val="20"/>
          <w:color w:val="auto"/>
        </w:rPr>
      </w:pPr>
    </w:p>
    <w:p>
      <w:pPr>
        <w:ind w:firstLine="1033"/>
        <w:spacing w:after="0" w:line="298" w:lineRule="auto"/>
        <w:rPr>
          <w:sz w:val="20"/>
          <w:szCs w:val="20"/>
          <w:color w:val="auto"/>
        </w:rPr>
      </w:pPr>
      <w:r>
        <w:rPr>
          <w:rFonts w:ascii="Times New Roman" w:cs="Times New Roman" w:eastAsia="Times New Roman" w:hAnsi="Times New Roman"/>
          <w:sz w:val="16"/>
          <w:szCs w:val="16"/>
          <w:color w:val="auto"/>
        </w:rPr>
        <w:t>The information required by this item is incorporated by reference to the relevant information in our Proxy Statement to be filed in connection with our 2023 Annual Meeting of Stockholders within 120 days after the end of the fiscal year ended December 31,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13. Certain Relationships and Related Transactions, and Director Independence.</w:t>
      </w:r>
    </w:p>
    <w:p>
      <w:pPr>
        <w:spacing w:after="0" w:line="129" w:lineRule="exact"/>
        <w:rPr>
          <w:sz w:val="20"/>
          <w:szCs w:val="20"/>
          <w:color w:val="auto"/>
        </w:rPr>
      </w:pPr>
    </w:p>
    <w:p>
      <w:pPr>
        <w:ind w:firstLine="1033"/>
        <w:spacing w:after="0" w:line="298" w:lineRule="auto"/>
        <w:rPr>
          <w:sz w:val="20"/>
          <w:szCs w:val="20"/>
          <w:color w:val="auto"/>
        </w:rPr>
      </w:pPr>
      <w:r>
        <w:rPr>
          <w:rFonts w:ascii="Times New Roman" w:cs="Times New Roman" w:eastAsia="Times New Roman" w:hAnsi="Times New Roman"/>
          <w:sz w:val="16"/>
          <w:szCs w:val="16"/>
          <w:color w:val="auto"/>
        </w:rPr>
        <w:t>The information required by this item is incorporated by reference to the relevant information in our Proxy Statement to be filed in connection with our 2023 Annual Meeting of Stockholders within 120 days after the end of the fiscal year ended December 31,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14. Principal Accounting Fees and Services.</w:t>
      </w:r>
    </w:p>
    <w:p>
      <w:pPr>
        <w:spacing w:after="0" w:line="129" w:lineRule="exact"/>
        <w:rPr>
          <w:sz w:val="20"/>
          <w:szCs w:val="20"/>
          <w:color w:val="auto"/>
        </w:rPr>
      </w:pPr>
    </w:p>
    <w:p>
      <w:pPr>
        <w:ind w:right="320" w:firstLine="1033"/>
        <w:spacing w:after="0" w:line="269" w:lineRule="auto"/>
        <w:rPr>
          <w:sz w:val="20"/>
          <w:szCs w:val="20"/>
          <w:color w:val="auto"/>
        </w:rPr>
      </w:pPr>
      <w:r>
        <w:rPr>
          <w:rFonts w:ascii="Times New Roman" w:cs="Times New Roman" w:eastAsia="Times New Roman" w:hAnsi="Times New Roman"/>
          <w:sz w:val="16"/>
          <w:szCs w:val="16"/>
          <w:color w:val="auto"/>
        </w:rPr>
        <w:t>The information required by this item is incorporated by reference from our Proxy Statement to be filed in connection with our 2023 Annual Meeting of Stockholders within 120 days after the end of the fiscal year ended December 31, 2023.</w:t>
      </w: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8" w:right="35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6"/>
          <w:szCs w:val="16"/>
          <w:b w:val="1"/>
          <w:bCs w:val="1"/>
          <w:color w:val="auto"/>
        </w:rPr>
        <w:t>PART IV</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15. Exhibits, Financial Statement Schedules.</w:t>
      </w:r>
    </w:p>
    <w:p>
      <w:pPr>
        <w:spacing w:after="0" w:line="129" w:lineRule="exact"/>
        <w:rPr>
          <w:sz w:val="20"/>
          <w:szCs w:val="20"/>
          <w:color w:val="auto"/>
        </w:rPr>
      </w:pPr>
    </w:p>
    <w:p>
      <w:pPr>
        <w:ind w:left="1020" w:hanging="503"/>
        <w:spacing w:after="0"/>
        <w:tabs>
          <w:tab w:leader="none" w:pos="10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documents are filed as part of this Annual Report on Form 10-K:</w:t>
      </w:r>
    </w:p>
    <w:p>
      <w:pPr>
        <w:spacing w:after="0" w:line="127" w:lineRule="exact"/>
        <w:rPr>
          <w:sz w:val="20"/>
          <w:szCs w:val="20"/>
          <w:color w:val="auto"/>
        </w:rPr>
      </w:pPr>
    </w:p>
    <w:p>
      <w:pPr>
        <w:ind w:left="1020" w:hanging="503"/>
        <w:spacing w:after="0"/>
        <w:tabs>
          <w:tab w:leader="none" w:pos="102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Consolidated Financial Statements</w:t>
      </w:r>
    </w:p>
    <w:p>
      <w:pPr>
        <w:spacing w:after="0" w:line="126" w:lineRule="exact"/>
        <w:rPr>
          <w:rFonts w:ascii="Times New Roman" w:cs="Times New Roman" w:eastAsia="Times New Roman" w:hAnsi="Times New Roman"/>
          <w:sz w:val="16"/>
          <w:szCs w:val="16"/>
          <w:color w:val="auto"/>
        </w:rPr>
      </w:pPr>
    </w:p>
    <w:p>
      <w:pPr>
        <w:ind w:left="10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consolidated financial statements are filed under Part II, Item 8 of this Annual Report on Form 10-K.</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Statement Schedules</w:t>
      </w:r>
    </w:p>
    <w:p>
      <w:pPr>
        <w:spacing w:after="0" w:line="126" w:lineRule="exact"/>
        <w:rPr>
          <w:rFonts w:ascii="Times New Roman" w:cs="Times New Roman" w:eastAsia="Times New Roman" w:hAnsi="Times New Roman"/>
          <w:sz w:val="16"/>
          <w:szCs w:val="16"/>
          <w:color w:val="auto"/>
        </w:rPr>
      </w:pPr>
    </w:p>
    <w:p>
      <w:pPr>
        <w:ind w:left="1020" w:right="100"/>
        <w:spacing w:after="0" w:line="29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financial statement schedules are omitted because the information called for is not required or is shown either in the consolidated financial statements or in the notes thereto.</w:t>
      </w:r>
    </w:p>
    <w:p>
      <w:pPr>
        <w:spacing w:after="0" w:line="5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Exhibits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340" w:type="dxa"/>
            <w:vAlign w:val="bottom"/>
            <w:gridSpan w:val="26"/>
          </w:tcPr>
          <w:p>
            <w:pPr>
              <w:ind w:left="120"/>
              <w:spacing w:after="0"/>
              <w:rPr>
                <w:sz w:val="20"/>
                <w:szCs w:val="20"/>
                <w:color w:val="auto"/>
              </w:rPr>
            </w:pPr>
            <w:r>
              <w:rPr>
                <w:rFonts w:ascii="Times New Roman" w:cs="Times New Roman" w:eastAsia="Times New Roman" w:hAnsi="Times New Roman"/>
                <w:sz w:val="16"/>
                <w:szCs w:val="16"/>
                <w:color w:val="auto"/>
              </w:rPr>
              <w:t>The exhibits listed in the following Exhibit Index are filed or incorporated by reference as part of this Annual Report on Form 10-K.</w:t>
            </w:r>
          </w:p>
        </w:tc>
      </w:tr>
      <w:tr>
        <w:trPr>
          <w:trHeight w:val="310"/>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40" w:type="dxa"/>
            <w:vAlign w:val="bottom"/>
            <w:gridSpan w:val="20"/>
          </w:tcPr>
          <w:p>
            <w:pPr>
              <w:jc w:val="center"/>
              <w:ind w:right="3280"/>
              <w:spacing w:after="0"/>
              <w:rPr>
                <w:sz w:val="20"/>
                <w:szCs w:val="20"/>
                <w:color w:val="auto"/>
              </w:rPr>
            </w:pPr>
            <w:r>
              <w:rPr>
                <w:rFonts w:ascii="Times New Roman" w:cs="Times New Roman" w:eastAsia="Times New Roman" w:hAnsi="Times New Roman"/>
                <w:sz w:val="16"/>
                <w:szCs w:val="16"/>
                <w:b w:val="1"/>
                <w:bCs w:val="1"/>
                <w:color w:val="auto"/>
              </w:rPr>
              <w:t>EXHIBIT INDEX</w:t>
            </w:r>
          </w:p>
        </w:tc>
      </w:tr>
      <w:tr>
        <w:trPr>
          <w:trHeight w:val="409"/>
        </w:trPr>
        <w:tc>
          <w:tcPr>
            <w:tcW w:w="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5"/>
        </w:trPr>
        <w:tc>
          <w:tcPr>
            <w:tcW w:w="20" w:type="dxa"/>
            <w:vAlign w:val="bottom"/>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140" w:type="dxa"/>
            <w:vAlign w:val="bottom"/>
          </w:tcPr>
          <w:p>
            <w:pPr>
              <w:spacing w:after="0"/>
              <w:rPr>
                <w:sz w:val="19"/>
                <w:szCs w:val="19"/>
                <w:color w:val="auto"/>
              </w:rPr>
            </w:pPr>
          </w:p>
        </w:tc>
        <w:tc>
          <w:tcPr>
            <w:tcW w:w="10180" w:type="dxa"/>
            <w:vAlign w:val="bottom"/>
            <w:tcBorders>
              <w:bottom w:val="single" w:sz="8" w:color="auto"/>
            </w:tcBorders>
            <w:gridSpan w:val="24"/>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20" w:type="dxa"/>
            <w:vAlign w:val="bottom"/>
          </w:tcPr>
          <w:p>
            <w:pPr>
              <w:spacing w:after="0"/>
              <w:rPr>
                <w:sz w:val="19"/>
                <w:szCs w:val="19"/>
                <w:color w:val="auto"/>
              </w:rPr>
            </w:pPr>
          </w:p>
        </w:tc>
      </w:tr>
      <w:tr>
        <w:trPr>
          <w:trHeight w:val="392"/>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2.1*</w:t>
            </w:r>
          </w:p>
        </w:tc>
        <w:tc>
          <w:tcPr>
            <w:tcW w:w="140" w:type="dxa"/>
            <w:vAlign w:val="bottom"/>
          </w:tcPr>
          <w:p>
            <w:pPr>
              <w:spacing w:after="0"/>
              <w:rPr>
                <w:sz w:val="24"/>
                <w:szCs w:val="24"/>
                <w:color w:val="auto"/>
              </w:rPr>
            </w:pPr>
          </w:p>
        </w:tc>
        <w:tc>
          <w:tcPr>
            <w:tcW w:w="8320" w:type="dxa"/>
            <w:vAlign w:val="bottom"/>
            <w:tcBorders>
              <w:bottom w:val="single" w:sz="8" w:color="0000FF"/>
            </w:tcBorders>
            <w:gridSpan w:val="11"/>
          </w:tcPr>
          <w:p>
            <w:pPr>
              <w:spacing w:after="0"/>
              <w:rPr>
                <w:rFonts w:ascii="Times New Roman" w:cs="Times New Roman" w:eastAsia="Times New Roman" w:hAnsi="Times New Roman"/>
                <w:sz w:val="16"/>
                <w:szCs w:val="16"/>
                <w:color w:val="0000FF"/>
              </w:rPr>
            </w:pPr>
            <w:hyperlink r:id="rId448">
              <w:r>
                <w:rPr>
                  <w:rFonts w:ascii="Times New Roman" w:cs="Times New Roman" w:eastAsia="Times New Roman" w:hAnsi="Times New Roman"/>
                  <w:sz w:val="16"/>
                  <w:szCs w:val="16"/>
                  <w:color w:val="0000FF"/>
                </w:rPr>
                <w:t>Business Combination Agreement, dated as of February 2, 2021, by and among Dragoneer Growth Opportunities Corp., Chariot</w:t>
              </w:r>
            </w:hyperlink>
          </w:p>
        </w:tc>
        <w:tc>
          <w:tcPr>
            <w:tcW w:w="20" w:type="dxa"/>
            <w:vAlign w:val="bottom"/>
            <w:tcBorders>
              <w:bottom w:val="single" w:sz="8" w:color="0000EE"/>
            </w:tcBorders>
          </w:tcPr>
          <w:p>
            <w:pPr>
              <w:spacing w:after="0"/>
              <w:rPr>
                <w:sz w:val="24"/>
                <w:szCs w:val="24"/>
                <w:color w:val="auto"/>
              </w:rPr>
            </w:pPr>
          </w:p>
        </w:tc>
        <w:tc>
          <w:tcPr>
            <w:tcW w:w="1860" w:type="dxa"/>
            <w:vAlign w:val="bottom"/>
            <w:gridSpan w:val="13"/>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80" w:type="dxa"/>
            <w:vAlign w:val="bottom"/>
            <w:tcBorders>
              <w:bottom w:val="single" w:sz="8" w:color="0000FF"/>
            </w:tcBorders>
            <w:gridSpan w:val="13"/>
          </w:tcPr>
          <w:p>
            <w:pPr>
              <w:spacing w:after="0" w:line="183" w:lineRule="exact"/>
              <w:rPr>
                <w:rFonts w:ascii="Times New Roman" w:cs="Times New Roman" w:eastAsia="Times New Roman" w:hAnsi="Times New Roman"/>
                <w:sz w:val="16"/>
                <w:szCs w:val="16"/>
                <w:color w:val="0000FF"/>
              </w:rPr>
            </w:pPr>
            <w:hyperlink r:id="rId448">
              <w:r>
                <w:rPr>
                  <w:rFonts w:ascii="Times New Roman" w:cs="Times New Roman" w:eastAsia="Times New Roman" w:hAnsi="Times New Roman"/>
                  <w:sz w:val="16"/>
                  <w:szCs w:val="16"/>
                  <w:color w:val="0000FF"/>
                </w:rPr>
                <w:t>Opportunity Merger Sub, Inc., and Cypress Holdings, Inc. (incorporated by reference to Annex A to the Proxy Statement/Prospectus).</w:t>
              </w:r>
            </w:hyperlink>
          </w:p>
        </w:tc>
        <w:tc>
          <w:tcPr>
            <w:tcW w:w="20" w:type="dxa"/>
            <w:vAlign w:val="bottom"/>
            <w:tcBorders>
              <w:bottom w:val="single" w:sz="8" w:color="0000EE"/>
            </w:tcBorders>
          </w:tcPr>
          <w:p>
            <w:pPr>
              <w:spacing w:after="0"/>
              <w:rPr>
                <w:sz w:val="15"/>
                <w:szCs w:val="15"/>
                <w:color w:val="auto"/>
              </w:rPr>
            </w:pPr>
          </w:p>
        </w:tc>
        <w:tc>
          <w:tcPr>
            <w:tcW w:w="1500" w:type="dxa"/>
            <w:vAlign w:val="bottom"/>
            <w:gridSpan w:val="11"/>
          </w:tcPr>
          <w:p>
            <w:pPr>
              <w:spacing w:after="0"/>
              <w:rPr>
                <w:sz w:val="15"/>
                <w:szCs w:val="15"/>
                <w:color w:val="auto"/>
              </w:rPr>
            </w:pPr>
          </w:p>
        </w:tc>
      </w:tr>
      <w:tr>
        <w:trPr>
          <w:trHeight w:val="412"/>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2.2</w:t>
            </w:r>
          </w:p>
        </w:tc>
        <w:tc>
          <w:tcPr>
            <w:tcW w:w="140" w:type="dxa"/>
            <w:vAlign w:val="bottom"/>
          </w:tcPr>
          <w:p>
            <w:pPr>
              <w:spacing w:after="0"/>
              <w:rPr>
                <w:sz w:val="24"/>
                <w:szCs w:val="24"/>
                <w:color w:val="auto"/>
              </w:rPr>
            </w:pPr>
          </w:p>
        </w:tc>
        <w:tc>
          <w:tcPr>
            <w:tcW w:w="9840" w:type="dxa"/>
            <w:vAlign w:val="bottom"/>
            <w:tcBorders>
              <w:bottom w:val="single" w:sz="8" w:color="0000FF"/>
            </w:tcBorders>
            <w:gridSpan w:val="19"/>
          </w:tcPr>
          <w:p>
            <w:pPr>
              <w:spacing w:after="0"/>
              <w:rPr>
                <w:rFonts w:ascii="Times New Roman" w:cs="Times New Roman" w:eastAsia="Times New Roman" w:hAnsi="Times New Roman"/>
                <w:sz w:val="16"/>
                <w:szCs w:val="16"/>
                <w:color w:val="0000FF"/>
              </w:rPr>
            </w:pPr>
            <w:hyperlink r:id="rId449">
              <w:r>
                <w:rPr>
                  <w:rFonts w:ascii="Times New Roman" w:cs="Times New Roman" w:eastAsia="Times New Roman" w:hAnsi="Times New Roman"/>
                  <w:sz w:val="16"/>
                  <w:szCs w:val="16"/>
                  <w:color w:val="0000FF"/>
                </w:rPr>
                <w:t>Amendment No. 1 to the Business Combination Agreement, dated as of April 22, 2020, by and among Dragoneer Growth Opportunities Corp., Chariot</w:t>
              </w:r>
            </w:hyperlink>
          </w:p>
        </w:tc>
        <w:tc>
          <w:tcPr>
            <w:tcW w:w="360" w:type="dxa"/>
            <w:vAlign w:val="bottom"/>
            <w:gridSpan w:val="6"/>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0" w:type="dxa"/>
            <w:vAlign w:val="bottom"/>
            <w:tcBorders>
              <w:bottom w:val="single" w:sz="8" w:color="0000FF"/>
            </w:tcBorders>
            <w:gridSpan w:val="15"/>
          </w:tcPr>
          <w:p>
            <w:pPr>
              <w:spacing w:after="0" w:line="183" w:lineRule="exact"/>
              <w:rPr>
                <w:rFonts w:ascii="Times New Roman" w:cs="Times New Roman" w:eastAsia="Times New Roman" w:hAnsi="Times New Roman"/>
                <w:sz w:val="16"/>
                <w:szCs w:val="16"/>
                <w:color w:val="0000FF"/>
              </w:rPr>
            </w:pPr>
            <w:hyperlink r:id="rId449">
              <w:r>
                <w:rPr>
                  <w:rFonts w:ascii="Times New Roman" w:cs="Times New Roman" w:eastAsia="Times New Roman" w:hAnsi="Times New Roman"/>
                  <w:sz w:val="16"/>
                  <w:szCs w:val="16"/>
                  <w:color w:val="0000FF"/>
                </w:rPr>
                <w:t>Opportunity Merger Sub, Inc., and Cypress Holdings, Inc. (incorporated by reference to Annex AA to the Proxy Statement/Prospectus).</w:t>
              </w:r>
            </w:hyperlink>
          </w:p>
        </w:tc>
        <w:tc>
          <w:tcPr>
            <w:tcW w:w="1400" w:type="dxa"/>
            <w:vAlign w:val="bottom"/>
            <w:gridSpan w:val="10"/>
          </w:tcPr>
          <w:p>
            <w:pPr>
              <w:spacing w:after="0"/>
              <w:rPr>
                <w:sz w:val="15"/>
                <w:szCs w:val="15"/>
                <w:color w:val="auto"/>
              </w:rPr>
            </w:pPr>
          </w:p>
        </w:tc>
      </w:tr>
      <w:tr>
        <w:trPr>
          <w:trHeight w:val="412"/>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2.3</w:t>
            </w:r>
          </w:p>
        </w:tc>
        <w:tc>
          <w:tcPr>
            <w:tcW w:w="140" w:type="dxa"/>
            <w:vAlign w:val="bottom"/>
          </w:tcPr>
          <w:p>
            <w:pPr>
              <w:spacing w:after="0"/>
              <w:rPr>
                <w:sz w:val="24"/>
                <w:szCs w:val="24"/>
                <w:color w:val="auto"/>
              </w:rPr>
            </w:pPr>
          </w:p>
        </w:tc>
        <w:tc>
          <w:tcPr>
            <w:tcW w:w="10180" w:type="dxa"/>
            <w:vAlign w:val="bottom"/>
            <w:tcBorders>
              <w:bottom w:val="single" w:sz="8" w:color="0000FF"/>
            </w:tcBorders>
            <w:gridSpan w:val="24"/>
          </w:tcPr>
          <w:p>
            <w:pPr>
              <w:spacing w:after="0"/>
              <w:rPr>
                <w:rFonts w:ascii="Times New Roman" w:cs="Times New Roman" w:eastAsia="Times New Roman" w:hAnsi="Times New Roman"/>
                <w:sz w:val="16"/>
                <w:szCs w:val="16"/>
                <w:color w:val="0000FF"/>
              </w:rPr>
            </w:pPr>
            <w:hyperlink r:id="rId450">
              <w:r>
                <w:rPr>
                  <w:rFonts w:ascii="Times New Roman" w:cs="Times New Roman" w:eastAsia="Times New Roman" w:hAnsi="Times New Roman"/>
                  <w:sz w:val="16"/>
                  <w:szCs w:val="16"/>
                  <w:color w:val="0000FF"/>
                </w:rPr>
                <w:t>Amendment No. 2 to the Business Combination Agreement, dated July 6, 2021, by and among Dragoneer Growth Opportunities Corp., Chariot Opportunity</w:t>
              </w:r>
            </w:hyperlink>
          </w:p>
        </w:tc>
        <w:tc>
          <w:tcPr>
            <w:tcW w:w="2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0" w:type="dxa"/>
            <w:vAlign w:val="bottom"/>
            <w:gridSpan w:val="25"/>
          </w:tcPr>
          <w:p>
            <w:pPr>
              <w:spacing w:after="0" w:line="183" w:lineRule="exact"/>
              <w:rPr>
                <w:rFonts w:ascii="Times New Roman" w:cs="Times New Roman" w:eastAsia="Times New Roman" w:hAnsi="Times New Roman"/>
                <w:sz w:val="16"/>
                <w:szCs w:val="16"/>
                <w:color w:val="0000FF"/>
              </w:rPr>
            </w:pPr>
            <w:hyperlink r:id="rId450">
              <w:r>
                <w:rPr>
                  <w:rFonts w:ascii="Times New Roman" w:cs="Times New Roman" w:eastAsia="Times New Roman" w:hAnsi="Times New Roman"/>
                  <w:sz w:val="16"/>
                  <w:szCs w:val="16"/>
                  <w:color w:val="0000FF"/>
                </w:rPr>
                <w:t>Merger Sub, Inc., and Cypress Holdings, Inc. (incorporated by reference to Annex AAA to the Proxy Statement/Prospectus).</w:t>
              </w:r>
            </w:hyperlink>
          </w:p>
        </w:tc>
      </w:tr>
      <w:tr>
        <w:trPr>
          <w:trHeight w:val="20"/>
        </w:trPr>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60" w:type="dxa"/>
            <w:vAlign w:val="bottom"/>
            <w:tcBorders>
              <w:right w:val="single" w:sz="8" w:color="0000EE"/>
            </w:tcBorders>
            <w:shd w:val="clear" w:color="auto" w:fill="0000FF"/>
          </w:tcPr>
          <w:p>
            <w:pPr>
              <w:spacing w:after="0" w:line="20" w:lineRule="exact"/>
              <w:rPr>
                <w:sz w:val="1"/>
                <w:szCs w:val="1"/>
                <w:color w:val="auto"/>
              </w:rPr>
            </w:pPr>
          </w:p>
        </w:tc>
        <w:tc>
          <w:tcPr>
            <w:tcW w:w="13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3.1</w:t>
            </w:r>
          </w:p>
        </w:tc>
        <w:tc>
          <w:tcPr>
            <w:tcW w:w="140" w:type="dxa"/>
            <w:vAlign w:val="bottom"/>
          </w:tcPr>
          <w:p>
            <w:pPr>
              <w:spacing w:after="0"/>
              <w:rPr>
                <w:sz w:val="24"/>
                <w:szCs w:val="24"/>
                <w:color w:val="auto"/>
              </w:rPr>
            </w:pPr>
          </w:p>
        </w:tc>
        <w:tc>
          <w:tcPr>
            <w:tcW w:w="10180" w:type="dxa"/>
            <w:vAlign w:val="bottom"/>
            <w:tcBorders>
              <w:bottom w:val="single" w:sz="8" w:color="0000FF"/>
            </w:tcBorders>
            <w:gridSpan w:val="24"/>
          </w:tcPr>
          <w:p>
            <w:pPr>
              <w:spacing w:after="0"/>
              <w:rPr>
                <w:rFonts w:ascii="Times New Roman" w:cs="Times New Roman" w:eastAsia="Times New Roman" w:hAnsi="Times New Roman"/>
                <w:sz w:val="16"/>
                <w:szCs w:val="16"/>
                <w:color w:val="0000FF"/>
              </w:rPr>
            </w:pPr>
            <w:hyperlink r:id="rId451">
              <w:r>
                <w:rPr>
                  <w:rFonts w:ascii="Times New Roman" w:cs="Times New Roman" w:eastAsia="Times New Roman" w:hAnsi="Times New Roman"/>
                  <w:sz w:val="16"/>
                  <w:szCs w:val="16"/>
                  <w:color w:val="0000FF"/>
                </w:rPr>
                <w:t>Certificate of Incorporation of CCC Intelligent Solutions Holdings Inc. (incorporated by reference to Exhibit 3.2 of the Current Report on Form 8-K filed by</w:t>
              </w:r>
            </w:hyperlink>
          </w:p>
        </w:tc>
        <w:tc>
          <w:tcPr>
            <w:tcW w:w="2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tcBorders>
              <w:bottom w:val="single" w:sz="8" w:color="0000FF"/>
            </w:tcBorders>
            <w:gridSpan w:val="4"/>
          </w:tcPr>
          <w:p>
            <w:pPr>
              <w:spacing w:after="0" w:line="183" w:lineRule="exact"/>
              <w:rPr>
                <w:rFonts w:ascii="Times New Roman" w:cs="Times New Roman" w:eastAsia="Times New Roman" w:hAnsi="Times New Roman"/>
                <w:sz w:val="16"/>
                <w:szCs w:val="16"/>
                <w:color w:val="0000FF"/>
              </w:rPr>
            </w:pPr>
            <w:hyperlink r:id="rId451">
              <w:r>
                <w:rPr>
                  <w:rFonts w:ascii="Times New Roman" w:cs="Times New Roman" w:eastAsia="Times New Roman" w:hAnsi="Times New Roman"/>
                  <w:sz w:val="16"/>
                  <w:szCs w:val="16"/>
                  <w:color w:val="0000FF"/>
                </w:rPr>
                <w:t>the Registrant on August 5, 2021).</w:t>
              </w:r>
            </w:hyperlink>
          </w:p>
        </w:tc>
        <w:tc>
          <w:tcPr>
            <w:tcW w:w="20" w:type="dxa"/>
            <w:vAlign w:val="bottom"/>
            <w:tcBorders>
              <w:bottom w:val="single" w:sz="8" w:color="0000EE"/>
            </w:tcBorders>
          </w:tcPr>
          <w:p>
            <w:pPr>
              <w:spacing w:after="0"/>
              <w:rPr>
                <w:sz w:val="15"/>
                <w:szCs w:val="15"/>
                <w:color w:val="auto"/>
              </w:rPr>
            </w:pPr>
          </w:p>
        </w:tc>
        <w:tc>
          <w:tcPr>
            <w:tcW w:w="7940" w:type="dxa"/>
            <w:vAlign w:val="bottom"/>
            <w:gridSpan w:val="20"/>
          </w:tcPr>
          <w:p>
            <w:pPr>
              <w:spacing w:after="0"/>
              <w:rPr>
                <w:sz w:val="15"/>
                <w:szCs w:val="15"/>
                <w:color w:val="auto"/>
              </w:rPr>
            </w:pPr>
          </w:p>
        </w:tc>
      </w:tr>
      <w:tr>
        <w:trPr>
          <w:trHeight w:val="412"/>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3.2</w:t>
            </w:r>
          </w:p>
        </w:tc>
        <w:tc>
          <w:tcPr>
            <w:tcW w:w="140" w:type="dxa"/>
            <w:vAlign w:val="bottom"/>
          </w:tcPr>
          <w:p>
            <w:pPr>
              <w:spacing w:after="0"/>
              <w:rPr>
                <w:sz w:val="24"/>
                <w:szCs w:val="24"/>
                <w:color w:val="auto"/>
              </w:rPr>
            </w:pPr>
          </w:p>
        </w:tc>
        <w:tc>
          <w:tcPr>
            <w:tcW w:w="10060" w:type="dxa"/>
            <w:vAlign w:val="bottom"/>
            <w:tcBorders>
              <w:bottom w:val="single" w:sz="8" w:color="0000FF"/>
            </w:tcBorders>
            <w:gridSpan w:val="23"/>
          </w:tcPr>
          <w:p>
            <w:pPr>
              <w:spacing w:after="0"/>
              <w:rPr>
                <w:rFonts w:ascii="Times New Roman" w:cs="Times New Roman" w:eastAsia="Times New Roman" w:hAnsi="Times New Roman"/>
                <w:sz w:val="16"/>
                <w:szCs w:val="16"/>
                <w:color w:val="0000FF"/>
              </w:rPr>
            </w:pPr>
            <w:hyperlink r:id="rId452">
              <w:r>
                <w:rPr>
                  <w:rFonts w:ascii="Times New Roman" w:cs="Times New Roman" w:eastAsia="Times New Roman" w:hAnsi="Times New Roman"/>
                  <w:sz w:val="16"/>
                  <w:szCs w:val="16"/>
                  <w:color w:val="0000FF"/>
                </w:rPr>
                <w:t>Bylaws of CCC Intelligent Solutions Holdings Inc. (incorporated by reference to Exhibit 3.3 of the Current Report on Form 8-K filed by the Registrant on</w:t>
              </w:r>
            </w:hyperlink>
          </w:p>
        </w:tc>
        <w:tc>
          <w:tcPr>
            <w:tcW w:w="140" w:type="dxa"/>
            <w:vAlign w:val="bottom"/>
            <w:gridSpan w:val="2"/>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0" w:type="dxa"/>
            <w:vAlign w:val="bottom"/>
            <w:gridSpan w:val="25"/>
          </w:tcPr>
          <w:p>
            <w:pPr>
              <w:spacing w:after="0" w:line="183" w:lineRule="exact"/>
              <w:rPr>
                <w:rFonts w:ascii="Times New Roman" w:cs="Times New Roman" w:eastAsia="Times New Roman" w:hAnsi="Times New Roman"/>
                <w:sz w:val="16"/>
                <w:szCs w:val="16"/>
                <w:color w:val="0000FF"/>
              </w:rPr>
            </w:pPr>
            <w:hyperlink r:id="rId452">
              <w:r>
                <w:rPr>
                  <w:rFonts w:ascii="Times New Roman" w:cs="Times New Roman" w:eastAsia="Times New Roman" w:hAnsi="Times New Roman"/>
                  <w:sz w:val="16"/>
                  <w:szCs w:val="16"/>
                  <w:color w:val="0000FF"/>
                </w:rPr>
                <w:t>August 5, 2021).</w:t>
              </w:r>
            </w:hyperlink>
          </w:p>
        </w:tc>
      </w:tr>
      <w:tr>
        <w:trPr>
          <w:trHeight w:val="20"/>
        </w:trPr>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2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4.1</w:t>
            </w:r>
          </w:p>
        </w:tc>
        <w:tc>
          <w:tcPr>
            <w:tcW w:w="140" w:type="dxa"/>
            <w:vAlign w:val="bottom"/>
          </w:tcPr>
          <w:p>
            <w:pPr>
              <w:spacing w:after="0"/>
              <w:rPr>
                <w:sz w:val="24"/>
                <w:szCs w:val="24"/>
                <w:color w:val="auto"/>
              </w:rPr>
            </w:pPr>
          </w:p>
        </w:tc>
        <w:tc>
          <w:tcPr>
            <w:tcW w:w="10200" w:type="dxa"/>
            <w:vAlign w:val="bottom"/>
            <w:gridSpan w:val="25"/>
          </w:tcPr>
          <w:p>
            <w:pPr>
              <w:spacing w:after="0"/>
              <w:rPr>
                <w:sz w:val="20"/>
                <w:szCs w:val="20"/>
                <w:color w:val="auto"/>
              </w:rPr>
            </w:pPr>
            <w:r>
              <w:rPr>
                <w:rFonts w:ascii="Times New Roman" w:cs="Times New Roman" w:eastAsia="Times New Roman" w:hAnsi="Times New Roman"/>
                <w:sz w:val="16"/>
                <w:szCs w:val="16"/>
                <w:color w:val="0000FF"/>
              </w:rPr>
              <w:t>Description of Securities (incorporated by reference to Exhibit 4.1 of the Annual Report on Form 10-K filed by the Registrant on March 1, 2022).</w:t>
            </w:r>
          </w:p>
        </w:tc>
      </w:tr>
      <w:tr>
        <w:trPr>
          <w:trHeight w:val="20"/>
        </w:trPr>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gridSpan w:val="2"/>
            <w:shd w:val="clear" w:color="auto" w:fill="0000FF"/>
          </w:tcPr>
          <w:p>
            <w:pPr>
              <w:spacing w:after="0" w:line="20" w:lineRule="exact"/>
              <w:rPr>
                <w:sz w:val="1"/>
                <w:szCs w:val="1"/>
                <w:color w:val="auto"/>
              </w:rPr>
            </w:pPr>
          </w:p>
        </w:tc>
        <w:tc>
          <w:tcPr>
            <w:tcW w:w="37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520" w:type="dxa"/>
            <w:vAlign w:val="bottom"/>
            <w:tcBorders>
              <w:right w:val="single" w:sz="8" w:color="0000EE"/>
            </w:tcBorders>
            <w:gridSpan w:val="7"/>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4.2</w:t>
            </w:r>
          </w:p>
        </w:tc>
        <w:tc>
          <w:tcPr>
            <w:tcW w:w="140" w:type="dxa"/>
            <w:vAlign w:val="bottom"/>
          </w:tcPr>
          <w:p>
            <w:pPr>
              <w:spacing w:after="0"/>
              <w:rPr>
                <w:sz w:val="24"/>
                <w:szCs w:val="24"/>
                <w:color w:val="auto"/>
              </w:rPr>
            </w:pPr>
          </w:p>
        </w:tc>
        <w:tc>
          <w:tcPr>
            <w:tcW w:w="9860" w:type="dxa"/>
            <w:vAlign w:val="bottom"/>
            <w:tcBorders>
              <w:bottom w:val="single" w:sz="8" w:color="0000FF"/>
            </w:tcBorders>
            <w:gridSpan w:val="20"/>
          </w:tcPr>
          <w:p>
            <w:pPr>
              <w:spacing w:after="0"/>
              <w:rPr>
                <w:rFonts w:ascii="Times New Roman" w:cs="Times New Roman" w:eastAsia="Times New Roman" w:hAnsi="Times New Roman"/>
                <w:sz w:val="16"/>
                <w:szCs w:val="16"/>
                <w:color w:val="0000FF"/>
              </w:rPr>
            </w:pPr>
            <w:hyperlink r:id="rId453">
              <w:r>
                <w:rPr>
                  <w:rFonts w:ascii="Times New Roman" w:cs="Times New Roman" w:eastAsia="Times New Roman" w:hAnsi="Times New Roman"/>
                  <w:sz w:val="16"/>
                  <w:szCs w:val="16"/>
                  <w:color w:val="0000FF"/>
                </w:rPr>
                <w:t>Specimen Warrant Certificate (incorporated by reference to Exhibit 4.3 to the Registration Statement on Form S-1 filed by the Registrant on August 11,</w:t>
              </w:r>
            </w:hyperlink>
          </w:p>
        </w:tc>
        <w:tc>
          <w:tcPr>
            <w:tcW w:w="340" w:type="dxa"/>
            <w:vAlign w:val="bottom"/>
            <w:gridSpan w:val="5"/>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gridSpan w:val="2"/>
          </w:tcPr>
          <w:p>
            <w:pPr>
              <w:ind w:left="140"/>
              <w:spacing w:after="0" w:line="183" w:lineRule="exact"/>
              <w:rPr>
                <w:rFonts w:ascii="Times New Roman" w:cs="Times New Roman" w:eastAsia="Times New Roman" w:hAnsi="Times New Roman"/>
                <w:sz w:val="16"/>
                <w:szCs w:val="16"/>
                <w:color w:val="0000FF"/>
                <w:w w:val="91"/>
              </w:rPr>
            </w:pPr>
            <w:hyperlink r:id="rId453">
              <w:r>
                <w:rPr>
                  <w:rFonts w:ascii="Times New Roman" w:cs="Times New Roman" w:eastAsia="Times New Roman" w:hAnsi="Times New Roman"/>
                  <w:sz w:val="16"/>
                  <w:szCs w:val="16"/>
                  <w:color w:val="0000FF"/>
                  <w:w w:val="91"/>
                </w:rPr>
                <w:t>2020).</w:t>
              </w:r>
            </w:hyperlink>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0" w:type="dxa"/>
            <w:vAlign w:val="bottom"/>
            <w:tcBorders>
              <w:left w:val="single" w:sz="8" w:color="0000EE"/>
            </w:tcBorders>
            <w:gridSpan w:val="2"/>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80" w:type="dxa"/>
            <w:vAlign w:val="bottom"/>
            <w:gridSpan w:val="8"/>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4.3</w:t>
            </w:r>
          </w:p>
        </w:tc>
        <w:tc>
          <w:tcPr>
            <w:tcW w:w="140" w:type="dxa"/>
            <w:vAlign w:val="bottom"/>
          </w:tcPr>
          <w:p>
            <w:pPr>
              <w:spacing w:after="0"/>
              <w:rPr>
                <w:sz w:val="24"/>
                <w:szCs w:val="24"/>
                <w:color w:val="auto"/>
              </w:rPr>
            </w:pPr>
          </w:p>
        </w:tc>
        <w:tc>
          <w:tcPr>
            <w:tcW w:w="10200" w:type="dxa"/>
            <w:vAlign w:val="bottom"/>
            <w:gridSpan w:val="25"/>
          </w:tcPr>
          <w:p>
            <w:pPr>
              <w:spacing w:after="0"/>
              <w:rPr>
                <w:rFonts w:ascii="Times New Roman" w:cs="Times New Roman" w:eastAsia="Times New Roman" w:hAnsi="Times New Roman"/>
                <w:sz w:val="16"/>
                <w:szCs w:val="16"/>
                <w:color w:val="0000FF"/>
              </w:rPr>
            </w:pPr>
            <w:hyperlink r:id="rId454">
              <w:r>
                <w:rPr>
                  <w:rFonts w:ascii="Times New Roman" w:cs="Times New Roman" w:eastAsia="Times New Roman" w:hAnsi="Times New Roman"/>
                  <w:sz w:val="16"/>
                  <w:szCs w:val="16"/>
                  <w:color w:val="0000FF"/>
                </w:rPr>
                <w:t>Warrant Agreement between Continental Stock Transfer &amp; Trust Company and Dragoneer Growth Opportunities Corp., dated August 13, 2020 (incorporated</w:t>
              </w:r>
            </w:hyperlink>
          </w:p>
        </w:tc>
      </w:tr>
      <w:tr>
        <w:trPr>
          <w:trHeight w:val="183"/>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940" w:type="dxa"/>
            <w:vAlign w:val="bottom"/>
            <w:tcBorders>
              <w:top w:val="single" w:sz="8" w:color="0000FF"/>
              <w:bottom w:val="single" w:sz="8" w:color="0000FF"/>
            </w:tcBorders>
            <w:gridSpan w:val="9"/>
          </w:tcPr>
          <w:p>
            <w:pPr>
              <w:spacing w:after="0" w:line="183" w:lineRule="exact"/>
              <w:rPr>
                <w:rFonts w:ascii="Times New Roman" w:cs="Times New Roman" w:eastAsia="Times New Roman" w:hAnsi="Times New Roman"/>
                <w:sz w:val="16"/>
                <w:szCs w:val="16"/>
                <w:color w:val="0000FF"/>
              </w:rPr>
            </w:pPr>
            <w:hyperlink r:id="rId454">
              <w:r>
                <w:rPr>
                  <w:rFonts w:ascii="Times New Roman" w:cs="Times New Roman" w:eastAsia="Times New Roman" w:hAnsi="Times New Roman"/>
                  <w:sz w:val="16"/>
                  <w:szCs w:val="16"/>
                  <w:color w:val="0000FF"/>
                </w:rPr>
                <w:t>by reference to Exhibit 4.1 to the Current Report on Form 8-K filed by the Registrant on August 19, 2020).</w:t>
              </w:r>
            </w:hyperlink>
          </w:p>
        </w:tc>
        <w:tc>
          <w:tcPr>
            <w:tcW w:w="3240" w:type="dxa"/>
            <w:vAlign w:val="bottom"/>
            <w:tcBorders>
              <w:top w:val="single" w:sz="8" w:color="0000FF"/>
            </w:tcBorders>
            <w:gridSpan w:val="15"/>
          </w:tcPr>
          <w:p>
            <w:pPr>
              <w:spacing w:after="0"/>
              <w:rPr>
                <w:sz w:val="15"/>
                <w:szCs w:val="15"/>
                <w:color w:val="auto"/>
              </w:rPr>
            </w:pPr>
          </w:p>
        </w:tc>
        <w:tc>
          <w:tcPr>
            <w:tcW w:w="20" w:type="dxa"/>
            <w:vAlign w:val="bottom"/>
          </w:tcPr>
          <w:p>
            <w:pPr>
              <w:spacing w:after="0"/>
              <w:rPr>
                <w:sz w:val="15"/>
                <w:szCs w:val="15"/>
                <w:color w:val="auto"/>
              </w:rPr>
            </w:pPr>
          </w:p>
        </w:tc>
      </w:tr>
      <w:tr>
        <w:trPr>
          <w:trHeight w:val="412"/>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w:t>
            </w:r>
          </w:p>
        </w:tc>
        <w:tc>
          <w:tcPr>
            <w:tcW w:w="140" w:type="dxa"/>
            <w:vAlign w:val="bottom"/>
          </w:tcPr>
          <w:p>
            <w:pPr>
              <w:spacing w:after="0"/>
              <w:rPr>
                <w:sz w:val="24"/>
                <w:szCs w:val="24"/>
                <w:color w:val="auto"/>
              </w:rPr>
            </w:pPr>
          </w:p>
        </w:tc>
        <w:tc>
          <w:tcPr>
            <w:tcW w:w="6860" w:type="dxa"/>
            <w:vAlign w:val="bottom"/>
            <w:tcBorders>
              <w:bottom w:val="single" w:sz="8" w:color="0000FF"/>
            </w:tcBorders>
            <w:gridSpan w:val="8"/>
          </w:tcPr>
          <w:p>
            <w:pPr>
              <w:spacing w:after="0"/>
              <w:rPr>
                <w:rFonts w:ascii="Times New Roman" w:cs="Times New Roman" w:eastAsia="Times New Roman" w:hAnsi="Times New Roman"/>
                <w:sz w:val="16"/>
                <w:szCs w:val="16"/>
                <w:color w:val="0000FF"/>
              </w:rPr>
            </w:pPr>
            <w:hyperlink r:id="rId455">
              <w:r>
                <w:rPr>
                  <w:rFonts w:ascii="Times New Roman" w:cs="Times New Roman" w:eastAsia="Times New Roman" w:hAnsi="Times New Roman"/>
                  <w:sz w:val="16"/>
                  <w:szCs w:val="16"/>
                  <w:color w:val="0000FF"/>
                </w:rPr>
                <w:t>Shareholder Rights Agreement (incorporated by reference to Annex I to the Proxy Statement/Prospectus).</w:t>
              </w:r>
            </w:hyperlink>
          </w:p>
        </w:tc>
        <w:tc>
          <w:tcPr>
            <w:tcW w:w="3340" w:type="dxa"/>
            <w:vAlign w:val="bottom"/>
            <w:gridSpan w:val="17"/>
          </w:tcPr>
          <w:p>
            <w:pPr>
              <w:spacing w:after="0"/>
              <w:rPr>
                <w:sz w:val="24"/>
                <w:szCs w:val="24"/>
                <w:color w:val="auto"/>
              </w:rPr>
            </w:pPr>
          </w:p>
        </w:tc>
      </w:tr>
      <w:tr>
        <w:trPr>
          <w:trHeight w:val="412"/>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10.2†</w:t>
            </w:r>
          </w:p>
        </w:tc>
        <w:tc>
          <w:tcPr>
            <w:tcW w:w="140" w:type="dxa"/>
            <w:vAlign w:val="bottom"/>
          </w:tcPr>
          <w:p>
            <w:pPr>
              <w:spacing w:after="0"/>
              <w:rPr>
                <w:sz w:val="24"/>
                <w:szCs w:val="24"/>
                <w:color w:val="auto"/>
              </w:rPr>
            </w:pPr>
          </w:p>
        </w:tc>
        <w:tc>
          <w:tcPr>
            <w:tcW w:w="10200" w:type="dxa"/>
            <w:vAlign w:val="bottom"/>
            <w:gridSpan w:val="25"/>
          </w:tcPr>
          <w:p>
            <w:pPr>
              <w:spacing w:after="0"/>
              <w:rPr>
                <w:rFonts w:ascii="Times New Roman" w:cs="Times New Roman" w:eastAsia="Times New Roman" w:hAnsi="Times New Roman"/>
                <w:sz w:val="16"/>
                <w:szCs w:val="16"/>
                <w:color w:val="0000FF"/>
              </w:rPr>
            </w:pPr>
            <w:hyperlink r:id="rId456">
              <w:r>
                <w:rPr>
                  <w:rFonts w:ascii="Times New Roman" w:cs="Times New Roman" w:eastAsia="Times New Roman" w:hAnsi="Times New Roman"/>
                  <w:sz w:val="16"/>
                  <w:szCs w:val="16"/>
                  <w:color w:val="0000FF"/>
                </w:rPr>
                <w:t>CCC 2021 Equity Incentive Plan (incorporated by reference to Exhibit 10.1 of the Registration Statement on Form S-8 filed by the Registrant on October 14,</w:t>
              </w:r>
            </w:hyperlink>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gridSpan w:val="2"/>
          </w:tcPr>
          <w:p>
            <w:pPr>
              <w:ind w:left="140"/>
              <w:spacing w:after="0" w:line="183" w:lineRule="exact"/>
              <w:rPr>
                <w:rFonts w:ascii="Times New Roman" w:cs="Times New Roman" w:eastAsia="Times New Roman" w:hAnsi="Times New Roman"/>
                <w:sz w:val="16"/>
                <w:szCs w:val="16"/>
                <w:color w:val="0000FF"/>
                <w:w w:val="91"/>
              </w:rPr>
            </w:pPr>
            <w:hyperlink r:id="rId456">
              <w:r>
                <w:rPr>
                  <w:rFonts w:ascii="Times New Roman" w:cs="Times New Roman" w:eastAsia="Times New Roman" w:hAnsi="Times New Roman"/>
                  <w:sz w:val="16"/>
                  <w:szCs w:val="16"/>
                  <w:color w:val="0000FF"/>
                  <w:w w:val="91"/>
                </w:rPr>
                <w:t>2021).</w:t>
              </w:r>
            </w:hyperlink>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20" w:type="dxa"/>
            <w:vAlign w:val="bottom"/>
            <w:gridSpan w:val="1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412"/>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10.3</w:t>
            </w:r>
          </w:p>
        </w:tc>
        <w:tc>
          <w:tcPr>
            <w:tcW w:w="140" w:type="dxa"/>
            <w:vAlign w:val="bottom"/>
          </w:tcPr>
          <w:p>
            <w:pPr>
              <w:spacing w:after="0"/>
              <w:rPr>
                <w:sz w:val="24"/>
                <w:szCs w:val="24"/>
                <w:color w:val="auto"/>
              </w:rPr>
            </w:pPr>
          </w:p>
        </w:tc>
        <w:tc>
          <w:tcPr>
            <w:tcW w:w="10060" w:type="dxa"/>
            <w:vAlign w:val="bottom"/>
            <w:tcBorders>
              <w:bottom w:val="single" w:sz="8" w:color="0000FF"/>
            </w:tcBorders>
            <w:gridSpan w:val="23"/>
          </w:tcPr>
          <w:p>
            <w:pPr>
              <w:spacing w:after="0"/>
              <w:rPr>
                <w:rFonts w:ascii="Times New Roman" w:cs="Times New Roman" w:eastAsia="Times New Roman" w:hAnsi="Times New Roman"/>
                <w:sz w:val="16"/>
                <w:szCs w:val="16"/>
                <w:color w:val="0000FF"/>
              </w:rPr>
            </w:pPr>
            <w:hyperlink r:id="rId457">
              <w:r>
                <w:rPr>
                  <w:rFonts w:ascii="Times New Roman" w:cs="Times New Roman" w:eastAsia="Times New Roman" w:hAnsi="Times New Roman"/>
                  <w:sz w:val="16"/>
                  <w:szCs w:val="16"/>
                  <w:color w:val="0000FF"/>
                </w:rPr>
                <w:t>Credit Agreement, dated as of September 21, 2021, by and among CCC Intelligent Solutions Inc., CCC, Bank of America, N.A., as Administrative Agent,</w:t>
              </w:r>
            </w:hyperlink>
          </w:p>
        </w:tc>
        <w:tc>
          <w:tcPr>
            <w:tcW w:w="140" w:type="dxa"/>
            <w:vAlign w:val="bottom"/>
            <w:gridSpan w:val="2"/>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20" w:type="dxa"/>
            <w:vAlign w:val="bottom"/>
            <w:tcBorders>
              <w:bottom w:val="single" w:sz="8" w:color="0000FF"/>
            </w:tcBorders>
            <w:gridSpan w:val="21"/>
          </w:tcPr>
          <w:p>
            <w:pPr>
              <w:spacing w:after="0" w:line="183" w:lineRule="exact"/>
              <w:rPr>
                <w:rFonts w:ascii="Times New Roman" w:cs="Times New Roman" w:eastAsia="Times New Roman" w:hAnsi="Times New Roman"/>
                <w:sz w:val="16"/>
                <w:szCs w:val="16"/>
                <w:color w:val="0000FF"/>
              </w:rPr>
            </w:pPr>
            <w:hyperlink r:id="rId457">
              <w:r>
                <w:rPr>
                  <w:rFonts w:ascii="Times New Roman" w:cs="Times New Roman" w:eastAsia="Times New Roman" w:hAnsi="Times New Roman"/>
                  <w:sz w:val="16"/>
                  <w:szCs w:val="16"/>
                  <w:color w:val="0000FF"/>
                </w:rPr>
                <w:t>Collateral Agent and Swingline Lender, and each lender and issuing bank from time to time party thereto (incorporated by reference to Exhibit 10.1 of the</w:t>
              </w:r>
            </w:hyperlink>
          </w:p>
        </w:tc>
        <w:tc>
          <w:tcPr>
            <w:tcW w:w="180" w:type="dxa"/>
            <w:vAlign w:val="bottom"/>
            <w:gridSpan w:val="4"/>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980" w:type="dxa"/>
            <w:vAlign w:val="bottom"/>
            <w:tcBorders>
              <w:bottom w:val="single" w:sz="8" w:color="0000FF"/>
            </w:tcBorders>
            <w:gridSpan w:val="6"/>
          </w:tcPr>
          <w:p>
            <w:pPr>
              <w:spacing w:after="0" w:line="183" w:lineRule="exact"/>
              <w:rPr>
                <w:rFonts w:ascii="Times New Roman" w:cs="Times New Roman" w:eastAsia="Times New Roman" w:hAnsi="Times New Roman"/>
                <w:sz w:val="16"/>
                <w:szCs w:val="16"/>
                <w:color w:val="0000FF"/>
              </w:rPr>
            </w:pPr>
            <w:hyperlink r:id="rId457">
              <w:r>
                <w:rPr>
                  <w:rFonts w:ascii="Times New Roman" w:cs="Times New Roman" w:eastAsia="Times New Roman" w:hAnsi="Times New Roman"/>
                  <w:sz w:val="16"/>
                  <w:szCs w:val="16"/>
                  <w:color w:val="0000FF"/>
                </w:rPr>
                <w:t>Current Report on Form 8-K filed by the Registrant on September 24, 2021).</w:t>
              </w:r>
            </w:hyperlink>
          </w:p>
        </w:tc>
        <w:tc>
          <w:tcPr>
            <w:tcW w:w="20" w:type="dxa"/>
            <w:vAlign w:val="bottom"/>
            <w:tcBorders>
              <w:bottom w:val="single" w:sz="8" w:color="0000EE"/>
            </w:tcBorders>
          </w:tcPr>
          <w:p>
            <w:pPr>
              <w:spacing w:after="0"/>
              <w:rPr>
                <w:sz w:val="15"/>
                <w:szCs w:val="15"/>
                <w:color w:val="auto"/>
              </w:rPr>
            </w:pPr>
          </w:p>
        </w:tc>
        <w:tc>
          <w:tcPr>
            <w:tcW w:w="5200" w:type="dxa"/>
            <w:vAlign w:val="bottom"/>
            <w:gridSpan w:val="18"/>
          </w:tcPr>
          <w:p>
            <w:pPr>
              <w:spacing w:after="0"/>
              <w:rPr>
                <w:sz w:val="15"/>
                <w:szCs w:val="15"/>
                <w:color w:val="auto"/>
              </w:rPr>
            </w:pPr>
          </w:p>
        </w:tc>
      </w:tr>
      <w:tr>
        <w:trPr>
          <w:trHeight w:val="628"/>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140" w:type="dxa"/>
            <w:vAlign w:val="bottom"/>
          </w:tcPr>
          <w:p>
            <w:pPr>
              <w:spacing w:after="0"/>
              <w:rPr>
                <w:sz w:val="24"/>
                <w:szCs w:val="24"/>
                <w:color w:val="auto"/>
              </w:rPr>
            </w:pPr>
          </w:p>
        </w:tc>
        <w:tc>
          <w:tcPr>
            <w:tcW w:w="9720" w:type="dxa"/>
            <w:vAlign w:val="bottom"/>
            <w:tcBorders>
              <w:bottom w:val="single" w:sz="8" w:color="0000FF"/>
            </w:tcBorders>
            <w:gridSpan w:val="18"/>
          </w:tcPr>
          <w:p>
            <w:pPr>
              <w:spacing w:after="0"/>
              <w:rPr>
                <w:rFonts w:ascii="Times New Roman" w:cs="Times New Roman" w:eastAsia="Times New Roman" w:hAnsi="Times New Roman"/>
                <w:sz w:val="16"/>
                <w:szCs w:val="16"/>
                <w:color w:val="0000FF"/>
              </w:rPr>
            </w:pPr>
            <w:hyperlink r:id="rId458">
              <w:r>
                <w:rPr>
                  <w:rFonts w:ascii="Times New Roman" w:cs="Times New Roman" w:eastAsia="Times New Roman" w:hAnsi="Times New Roman"/>
                  <w:sz w:val="16"/>
                  <w:szCs w:val="16"/>
                  <w:color w:val="0000FF"/>
                </w:rPr>
                <w:t>Amendment No. 1 to the Credit Agreement, dated as of May 19, 2023, by and between CCC Intelligent Solutions Inc. and Bank of America, N.A., as</w:t>
              </w:r>
            </w:hyperlink>
          </w:p>
        </w:tc>
        <w:tc>
          <w:tcPr>
            <w:tcW w:w="480" w:type="dxa"/>
            <w:vAlign w:val="bottom"/>
            <w:gridSpan w:val="7"/>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0" w:type="dxa"/>
            <w:vAlign w:val="bottom"/>
            <w:gridSpan w:val="25"/>
          </w:tcPr>
          <w:p>
            <w:pPr>
              <w:spacing w:after="0" w:line="183" w:lineRule="exact"/>
              <w:rPr>
                <w:rFonts w:ascii="Times New Roman" w:cs="Times New Roman" w:eastAsia="Times New Roman" w:hAnsi="Times New Roman"/>
                <w:sz w:val="16"/>
                <w:szCs w:val="16"/>
                <w:color w:val="0000FF"/>
              </w:rPr>
            </w:pPr>
            <w:hyperlink r:id="rId458">
              <w:r>
                <w:rPr>
                  <w:rFonts w:ascii="Times New Roman" w:cs="Times New Roman" w:eastAsia="Times New Roman" w:hAnsi="Times New Roman"/>
                  <w:sz w:val="16"/>
                  <w:szCs w:val="16"/>
                  <w:color w:val="0000FF"/>
                </w:rPr>
                <w:t>Administrative Agent (incorporated by reference to Exhibit 10.1 to the Quarterly Report on Form 10-Q filed by the Registrant on August 1, 2023).</w:t>
              </w:r>
            </w:hyperlink>
          </w:p>
        </w:tc>
      </w:tr>
      <w:tr>
        <w:trPr>
          <w:trHeight w:val="20"/>
        </w:trPr>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8300" w:type="dxa"/>
            <w:vAlign w:val="bottom"/>
            <w:tcBorders>
              <w:right w:val="single" w:sz="8" w:color="0000EE"/>
            </w:tcBorders>
            <w:gridSpan w:val="14"/>
            <w:shd w:val="clear" w:color="auto" w:fill="0000FF"/>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412"/>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10.5†</w:t>
            </w:r>
          </w:p>
        </w:tc>
        <w:tc>
          <w:tcPr>
            <w:tcW w:w="140" w:type="dxa"/>
            <w:vAlign w:val="bottom"/>
          </w:tcPr>
          <w:p>
            <w:pPr>
              <w:spacing w:after="0"/>
              <w:rPr>
                <w:sz w:val="24"/>
                <w:szCs w:val="24"/>
                <w:color w:val="auto"/>
              </w:rPr>
            </w:pPr>
          </w:p>
        </w:tc>
        <w:tc>
          <w:tcPr>
            <w:tcW w:w="10040" w:type="dxa"/>
            <w:vAlign w:val="bottom"/>
            <w:tcBorders>
              <w:bottom w:val="single" w:sz="8" w:color="0000FF"/>
            </w:tcBorders>
            <w:gridSpan w:val="22"/>
          </w:tcPr>
          <w:p>
            <w:pPr>
              <w:spacing w:after="0"/>
              <w:rPr>
                <w:rFonts w:ascii="Times New Roman" w:cs="Times New Roman" w:eastAsia="Times New Roman" w:hAnsi="Times New Roman"/>
                <w:sz w:val="16"/>
                <w:szCs w:val="16"/>
                <w:color w:val="0000FF"/>
              </w:rPr>
            </w:pPr>
            <w:hyperlink r:id="rId459">
              <w:r>
                <w:rPr>
                  <w:rFonts w:ascii="Times New Roman" w:cs="Times New Roman" w:eastAsia="Times New Roman" w:hAnsi="Times New Roman"/>
                  <w:sz w:val="16"/>
                  <w:szCs w:val="16"/>
                  <w:color w:val="0000FF"/>
                </w:rPr>
                <w:t>CCC 2021 Employee Stock Purchase Plan (incorporated by reference to Exhibit 10.2 of the Registration Statement on Form S-8 filed by the Registrant on</w:t>
              </w:r>
            </w:hyperlink>
          </w:p>
        </w:tc>
        <w:tc>
          <w:tcPr>
            <w:tcW w:w="160" w:type="dxa"/>
            <w:vAlign w:val="bottom"/>
            <w:gridSpan w:val="3"/>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Borders>
              <w:bottom w:val="single" w:sz="8" w:color="0000FF"/>
            </w:tcBorders>
            <w:gridSpan w:val="3"/>
          </w:tcPr>
          <w:p>
            <w:pPr>
              <w:spacing w:after="0" w:line="183" w:lineRule="exact"/>
              <w:rPr>
                <w:rFonts w:ascii="Times New Roman" w:cs="Times New Roman" w:eastAsia="Times New Roman" w:hAnsi="Times New Roman"/>
                <w:sz w:val="16"/>
                <w:szCs w:val="16"/>
                <w:color w:val="0000FF"/>
                <w:w w:val="99"/>
              </w:rPr>
            </w:pPr>
            <w:hyperlink r:id="rId459">
              <w:r>
                <w:rPr>
                  <w:rFonts w:ascii="Times New Roman" w:cs="Times New Roman" w:eastAsia="Times New Roman" w:hAnsi="Times New Roman"/>
                  <w:sz w:val="16"/>
                  <w:szCs w:val="16"/>
                  <w:color w:val="0000FF"/>
                  <w:w w:val="99"/>
                </w:rPr>
                <w:t>October 14, 2021).</w:t>
              </w:r>
            </w:hyperlink>
          </w:p>
        </w:tc>
        <w:tc>
          <w:tcPr>
            <w:tcW w:w="8980" w:type="dxa"/>
            <w:vAlign w:val="bottom"/>
            <w:gridSpan w:val="22"/>
          </w:tcPr>
          <w:p>
            <w:pPr>
              <w:spacing w:after="0"/>
              <w:rPr>
                <w:sz w:val="15"/>
                <w:szCs w:val="15"/>
                <w:color w:val="auto"/>
              </w:rPr>
            </w:pPr>
          </w:p>
        </w:tc>
      </w:tr>
      <w:tr>
        <w:trPr>
          <w:trHeight w:val="466"/>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120" w:type="dxa"/>
            <w:vAlign w:val="bottom"/>
            <w:gridSpan w:val="7"/>
          </w:tcPr>
          <w:p>
            <w:pPr>
              <w:jc w:val="right"/>
              <w:ind w:right="219"/>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98" w:name="page99"/>
    <w:bookmarkEnd w:id="98"/>
    <w:tbl>
      <w:tblPr>
        <w:tblLayout w:type="fixed"/>
        <w:tblInd w:w="20" w:type="dxa"/>
        <w:tblCellMar>
          <w:top w:w="0" w:type="dxa"/>
          <w:left w:w="0" w:type="dxa"/>
          <w:bottom w:w="0" w:type="dxa"/>
          <w:right w:w="0" w:type="dxa"/>
        </w:tblCellMar>
      </w:tblPr>
      <w:tr>
        <w:trPr>
          <w:trHeight w:val="184"/>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10.6**†</w:t>
            </w:r>
          </w:p>
        </w:tc>
        <w:tc>
          <w:tcPr>
            <w:tcW w:w="10180" w:type="dxa"/>
            <w:vAlign w:val="bottom"/>
            <w:tcBorders>
              <w:bottom w:val="single" w:sz="8" w:color="0000FF"/>
            </w:tcBorders>
            <w:gridSpan w:val="22"/>
          </w:tcPr>
          <w:p>
            <w:pPr>
              <w:spacing w:after="0"/>
              <w:rPr>
                <w:rFonts w:ascii="Times New Roman" w:cs="Times New Roman" w:eastAsia="Times New Roman" w:hAnsi="Times New Roman"/>
                <w:sz w:val="16"/>
                <w:szCs w:val="16"/>
                <w:color w:val="0000FF"/>
              </w:rPr>
            </w:pPr>
            <w:hyperlink r:id="rId462">
              <w:r>
                <w:rPr>
                  <w:rFonts w:ascii="Times New Roman" w:cs="Times New Roman" w:eastAsia="Times New Roman" w:hAnsi="Times New Roman"/>
                  <w:sz w:val="16"/>
                  <w:szCs w:val="16"/>
                  <w:color w:val="0000FF"/>
                </w:rPr>
                <w:t>Employment Agreement, dated April 27, 2017, by and between CCC Information Services Inc. (as successor by merger to Cypress Intermediate Holdings II,</w:t>
              </w:r>
            </w:hyperlink>
          </w:p>
        </w:tc>
      </w:tr>
      <w:tr>
        <w:trPr>
          <w:trHeight w:val="183"/>
        </w:trPr>
        <w:tc>
          <w:tcPr>
            <w:tcW w:w="1020" w:type="dxa"/>
            <w:vAlign w:val="bottom"/>
          </w:tcPr>
          <w:p>
            <w:pPr>
              <w:spacing w:after="0"/>
              <w:rPr>
                <w:sz w:val="15"/>
                <w:szCs w:val="15"/>
                <w:color w:val="auto"/>
              </w:rPr>
            </w:pPr>
          </w:p>
        </w:tc>
        <w:tc>
          <w:tcPr>
            <w:tcW w:w="10180" w:type="dxa"/>
            <w:vAlign w:val="bottom"/>
            <w:gridSpan w:val="22"/>
          </w:tcPr>
          <w:p>
            <w:pPr>
              <w:spacing w:after="0" w:line="183" w:lineRule="exact"/>
              <w:rPr>
                <w:rFonts w:ascii="Times New Roman" w:cs="Times New Roman" w:eastAsia="Times New Roman" w:hAnsi="Times New Roman"/>
                <w:sz w:val="16"/>
                <w:szCs w:val="16"/>
                <w:color w:val="0000FF"/>
              </w:rPr>
            </w:pPr>
            <w:hyperlink r:id="rId462">
              <w:r>
                <w:rPr>
                  <w:rFonts w:ascii="Times New Roman" w:cs="Times New Roman" w:eastAsia="Times New Roman" w:hAnsi="Times New Roman"/>
                  <w:sz w:val="16"/>
                  <w:szCs w:val="16"/>
                  <w:color w:val="0000FF"/>
                </w:rPr>
                <w:t>Inc.) and Githesh Ramamurthy (incorporated by reference to Exhibit 10.13 to the Registration Statement on Form S-4 filed by the Registrant on March 29,</w:t>
              </w:r>
            </w:hyperlink>
          </w:p>
        </w:tc>
      </w:tr>
      <w:tr>
        <w:trPr>
          <w:trHeight w:val="183"/>
        </w:trPr>
        <w:tc>
          <w:tcPr>
            <w:tcW w:w="1020" w:type="dxa"/>
            <w:vAlign w:val="bottom"/>
          </w:tcPr>
          <w:p>
            <w:pPr>
              <w:spacing w:after="0"/>
              <w:rPr>
                <w:sz w:val="15"/>
                <w:szCs w:val="15"/>
                <w:color w:val="auto"/>
              </w:rPr>
            </w:pPr>
          </w:p>
        </w:tc>
        <w:tc>
          <w:tcPr>
            <w:tcW w:w="420" w:type="dxa"/>
            <w:vAlign w:val="bottom"/>
            <w:tcBorders>
              <w:top w:val="single" w:sz="8" w:color="0000FF"/>
              <w:bottom w:val="single" w:sz="8" w:color="0000FF"/>
            </w:tcBorders>
          </w:tcPr>
          <w:p>
            <w:pPr>
              <w:spacing w:after="0" w:line="183" w:lineRule="exact"/>
              <w:rPr>
                <w:rFonts w:ascii="Times New Roman" w:cs="Times New Roman" w:eastAsia="Times New Roman" w:hAnsi="Times New Roman"/>
                <w:sz w:val="16"/>
                <w:szCs w:val="16"/>
                <w:color w:val="0000FF"/>
                <w:w w:val="96"/>
              </w:rPr>
            </w:pPr>
            <w:hyperlink r:id="rId462">
              <w:r>
                <w:rPr>
                  <w:rFonts w:ascii="Times New Roman" w:cs="Times New Roman" w:eastAsia="Times New Roman" w:hAnsi="Times New Roman"/>
                  <w:sz w:val="16"/>
                  <w:szCs w:val="16"/>
                  <w:color w:val="0000FF"/>
                  <w:w w:val="96"/>
                </w:rPr>
                <w:t>2021).</w:t>
              </w:r>
            </w:hyperlink>
          </w:p>
        </w:tc>
        <w:tc>
          <w:tcPr>
            <w:tcW w:w="20" w:type="dxa"/>
            <w:vAlign w:val="bottom"/>
            <w:tcBorders>
              <w:top w:val="single" w:sz="8" w:color="0000FF"/>
              <w:bottom w:val="single" w:sz="8" w:color="0000EE"/>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82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1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1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8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4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8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120" w:type="dxa"/>
            <w:vAlign w:val="bottom"/>
          </w:tcPr>
          <w:p>
            <w:pPr>
              <w:spacing w:after="0"/>
              <w:rPr>
                <w:sz w:val="15"/>
                <w:szCs w:val="15"/>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10.7†</w:t>
            </w:r>
          </w:p>
        </w:tc>
        <w:tc>
          <w:tcPr>
            <w:tcW w:w="10180" w:type="dxa"/>
            <w:vAlign w:val="bottom"/>
            <w:tcBorders>
              <w:bottom w:val="single" w:sz="8" w:color="0000FF"/>
            </w:tcBorders>
            <w:gridSpan w:val="22"/>
          </w:tcPr>
          <w:p>
            <w:pPr>
              <w:spacing w:after="0"/>
              <w:rPr>
                <w:rFonts w:ascii="Times New Roman" w:cs="Times New Roman" w:eastAsia="Times New Roman" w:hAnsi="Times New Roman"/>
                <w:sz w:val="16"/>
                <w:szCs w:val="16"/>
                <w:color w:val="0000FF"/>
              </w:rPr>
            </w:pPr>
            <w:hyperlink r:id="rId463">
              <w:r>
                <w:rPr>
                  <w:rFonts w:ascii="Times New Roman" w:cs="Times New Roman" w:eastAsia="Times New Roman" w:hAnsi="Times New Roman"/>
                  <w:sz w:val="16"/>
                  <w:szCs w:val="16"/>
                  <w:color w:val="0000FF"/>
                </w:rPr>
                <w:t>Employment Agreement, dated January 8, 2020, by and between CCC Information Services Inc. and Brian Herb (incorporated by reference to Exhibit 10.15</w:t>
              </w:r>
            </w:hyperlink>
          </w:p>
        </w:tc>
      </w:tr>
      <w:tr>
        <w:trPr>
          <w:trHeight w:val="183"/>
        </w:trPr>
        <w:tc>
          <w:tcPr>
            <w:tcW w:w="1020" w:type="dxa"/>
            <w:vAlign w:val="bottom"/>
          </w:tcPr>
          <w:p>
            <w:pPr>
              <w:spacing w:after="0"/>
              <w:rPr>
                <w:sz w:val="15"/>
                <w:szCs w:val="15"/>
                <w:color w:val="auto"/>
              </w:rPr>
            </w:pPr>
          </w:p>
        </w:tc>
        <w:tc>
          <w:tcPr>
            <w:tcW w:w="5600" w:type="dxa"/>
            <w:vAlign w:val="bottom"/>
            <w:tcBorders>
              <w:bottom w:val="single" w:sz="8" w:color="0000FF"/>
            </w:tcBorders>
            <w:gridSpan w:val="10"/>
          </w:tcPr>
          <w:p>
            <w:pPr>
              <w:spacing w:after="0" w:line="183" w:lineRule="exact"/>
              <w:rPr>
                <w:rFonts w:ascii="Times New Roman" w:cs="Times New Roman" w:eastAsia="Times New Roman" w:hAnsi="Times New Roman"/>
                <w:sz w:val="16"/>
                <w:szCs w:val="16"/>
                <w:color w:val="0000FF"/>
              </w:rPr>
            </w:pPr>
            <w:hyperlink r:id="rId463">
              <w:r>
                <w:rPr>
                  <w:rFonts w:ascii="Times New Roman" w:cs="Times New Roman" w:eastAsia="Times New Roman" w:hAnsi="Times New Roman"/>
                  <w:sz w:val="16"/>
                  <w:szCs w:val="16"/>
                  <w:color w:val="0000FF"/>
                </w:rPr>
                <w:t>to the Registration Statement on Form S-4 filed by the Registrant on March 29, 2021).</w:t>
              </w:r>
            </w:hyperlink>
          </w:p>
        </w:tc>
        <w:tc>
          <w:tcPr>
            <w:tcW w:w="20" w:type="dxa"/>
            <w:vAlign w:val="bottom"/>
            <w:tcBorders>
              <w:bottom w:val="single" w:sz="8" w:color="0000EE"/>
            </w:tcBorders>
          </w:tcPr>
          <w:p>
            <w:pPr>
              <w:spacing w:after="0"/>
              <w:rPr>
                <w:sz w:val="15"/>
                <w:szCs w:val="15"/>
                <w:color w:val="auto"/>
              </w:rPr>
            </w:pPr>
          </w:p>
        </w:tc>
        <w:tc>
          <w:tcPr>
            <w:tcW w:w="4560" w:type="dxa"/>
            <w:vAlign w:val="bottom"/>
            <w:gridSpan w:val="11"/>
          </w:tcPr>
          <w:p>
            <w:pPr>
              <w:spacing w:after="0"/>
              <w:rPr>
                <w:sz w:val="15"/>
                <w:szCs w:val="15"/>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10.8†</w:t>
            </w:r>
          </w:p>
        </w:tc>
        <w:tc>
          <w:tcPr>
            <w:tcW w:w="1018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6"/>
                <w:szCs w:val="16"/>
                <w:color w:val="0000FF"/>
              </w:rPr>
              <w:t>Employment Agreement, dated April 27, 2017, by and between CCC Information Services Inc. (as successor by merger to Cypress Intermediate Holdings II,</w:t>
            </w:r>
          </w:p>
        </w:tc>
      </w:tr>
      <w:tr>
        <w:trPr>
          <w:trHeight w:val="183"/>
        </w:trPr>
        <w:tc>
          <w:tcPr>
            <w:tcW w:w="1020" w:type="dxa"/>
            <w:vAlign w:val="bottom"/>
          </w:tcPr>
          <w:p>
            <w:pPr>
              <w:spacing w:after="0"/>
              <w:rPr>
                <w:sz w:val="15"/>
                <w:szCs w:val="15"/>
                <w:color w:val="auto"/>
              </w:rPr>
            </w:pPr>
          </w:p>
        </w:tc>
        <w:tc>
          <w:tcPr>
            <w:tcW w:w="10180" w:type="dxa"/>
            <w:vAlign w:val="bottom"/>
            <w:gridSpan w:val="22"/>
          </w:tcPr>
          <w:p>
            <w:pPr>
              <w:spacing w:after="0" w:line="183" w:lineRule="exact"/>
              <w:rPr>
                <w:sz w:val="20"/>
                <w:szCs w:val="20"/>
                <w:color w:val="auto"/>
              </w:rPr>
            </w:pPr>
            <w:r>
              <w:rPr>
                <w:rFonts w:ascii="Times New Roman" w:cs="Times New Roman" w:eastAsia="Times New Roman" w:hAnsi="Times New Roman"/>
                <w:sz w:val="16"/>
                <w:szCs w:val="16"/>
                <w:color w:val="0000FF"/>
              </w:rPr>
              <w:t>Inc.) and Mary Jo Prigge.</w:t>
            </w:r>
          </w:p>
        </w:tc>
      </w:tr>
      <w:tr>
        <w:trPr>
          <w:trHeight w:val="20"/>
        </w:trPr>
        <w:tc>
          <w:tcPr>
            <w:tcW w:w="1020" w:type="dxa"/>
            <w:vAlign w:val="bottom"/>
          </w:tcPr>
          <w:p>
            <w:pPr>
              <w:spacing w:after="0" w:line="20" w:lineRule="exact"/>
              <w:rPr>
                <w:sz w:val="1"/>
                <w:szCs w:val="1"/>
                <w:color w:val="auto"/>
              </w:rPr>
            </w:pPr>
          </w:p>
        </w:tc>
        <w:tc>
          <w:tcPr>
            <w:tcW w:w="820" w:type="dxa"/>
            <w:vAlign w:val="bottom"/>
            <w:tcBorders>
              <w:right w:val="single" w:sz="8" w:color="0000FF"/>
            </w:tcBorders>
            <w:gridSpan w:val="3"/>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10.9†</w:t>
            </w:r>
          </w:p>
        </w:tc>
        <w:tc>
          <w:tcPr>
            <w:tcW w:w="74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6"/>
                <w:szCs w:val="16"/>
                <w:color w:val="0000FF"/>
              </w:rPr>
              <w:t>Employment Agreement, dated August 9, 2022, by and between CCC Intelligent Solutions Inc. and John Goodson.</w:t>
            </w:r>
          </w:p>
        </w:tc>
        <w:tc>
          <w:tcPr>
            <w:tcW w:w="20" w:type="dxa"/>
            <w:vAlign w:val="bottom"/>
            <w:tcBorders>
              <w:bottom w:val="single" w:sz="8" w:color="0000EE"/>
            </w:tcBorders>
          </w:tcPr>
          <w:p>
            <w:pPr>
              <w:spacing w:after="0"/>
              <w:rPr>
                <w:sz w:val="24"/>
                <w:szCs w:val="24"/>
                <w:color w:val="auto"/>
              </w:rPr>
            </w:pPr>
          </w:p>
        </w:tc>
        <w:tc>
          <w:tcPr>
            <w:tcW w:w="2700" w:type="dxa"/>
            <w:vAlign w:val="bottom"/>
            <w:gridSpan w:val="9"/>
          </w:tcPr>
          <w:p>
            <w:pPr>
              <w:spacing w:after="0"/>
              <w:rPr>
                <w:sz w:val="24"/>
                <w:szCs w:val="24"/>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10.10†</w:t>
            </w:r>
          </w:p>
        </w:tc>
        <w:tc>
          <w:tcPr>
            <w:tcW w:w="81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6"/>
                <w:szCs w:val="16"/>
                <w:color w:val="0000FF"/>
              </w:rPr>
              <w:t>Employment Agreement, dated October 7, 2022, by and between CCC Intelligent Solutions Holdings Inc. and Michael Silva.</w:t>
            </w:r>
          </w:p>
        </w:tc>
        <w:tc>
          <w:tcPr>
            <w:tcW w:w="2060" w:type="dxa"/>
            <w:vAlign w:val="bottom"/>
            <w:gridSpan w:val="8"/>
          </w:tcPr>
          <w:p>
            <w:pPr>
              <w:spacing w:after="0"/>
              <w:rPr>
                <w:sz w:val="24"/>
                <w:szCs w:val="24"/>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10.11†</w:t>
            </w:r>
          </w:p>
        </w:tc>
        <w:tc>
          <w:tcPr>
            <w:tcW w:w="10180" w:type="dxa"/>
            <w:vAlign w:val="bottom"/>
            <w:gridSpan w:val="22"/>
          </w:tcPr>
          <w:p>
            <w:pPr>
              <w:spacing w:after="0"/>
              <w:rPr>
                <w:sz w:val="20"/>
                <w:szCs w:val="20"/>
                <w:color w:val="auto"/>
              </w:rPr>
            </w:pPr>
            <w:r>
              <w:rPr>
                <w:rFonts w:ascii="Times New Roman" w:cs="Times New Roman" w:eastAsia="Times New Roman" w:hAnsi="Times New Roman"/>
                <w:sz w:val="16"/>
                <w:szCs w:val="16"/>
                <w:color w:val="0000FF"/>
              </w:rPr>
              <w:t>First Amendment to Employment Agreement, dated November 1, 2022, by and between CCC Intelligent Solutions Holdings Inc. and Michael Silva.</w:t>
            </w:r>
          </w:p>
        </w:tc>
      </w:tr>
      <w:tr>
        <w:trPr>
          <w:trHeight w:val="20"/>
        </w:trPr>
        <w:tc>
          <w:tcPr>
            <w:tcW w:w="1020" w:type="dxa"/>
            <w:vAlign w:val="bottom"/>
          </w:tcPr>
          <w:p>
            <w:pPr>
              <w:spacing w:after="0" w:line="20" w:lineRule="exact"/>
              <w:rPr>
                <w:sz w:val="1"/>
                <w:szCs w:val="1"/>
                <w:color w:val="auto"/>
              </w:rPr>
            </w:pPr>
          </w:p>
        </w:tc>
        <w:tc>
          <w:tcPr>
            <w:tcW w:w="820" w:type="dxa"/>
            <w:vAlign w:val="bottom"/>
            <w:tcBorders>
              <w:right w:val="single" w:sz="8" w:color="0000FF"/>
            </w:tcBorders>
            <w:gridSpan w:val="3"/>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80" w:type="dxa"/>
            <w:vAlign w:val="bottom"/>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10.12</w:t>
            </w:r>
          </w:p>
        </w:tc>
        <w:tc>
          <w:tcPr>
            <w:tcW w:w="10180" w:type="dxa"/>
            <w:vAlign w:val="bottom"/>
            <w:gridSpan w:val="22"/>
          </w:tcPr>
          <w:p>
            <w:pPr>
              <w:spacing w:after="0"/>
              <w:rPr>
                <w:rFonts w:ascii="Times New Roman" w:cs="Times New Roman" w:eastAsia="Times New Roman" w:hAnsi="Times New Roman"/>
                <w:sz w:val="16"/>
                <w:szCs w:val="16"/>
                <w:color w:val="0000FF"/>
              </w:rPr>
            </w:pPr>
            <w:hyperlink r:id="rId464">
              <w:r>
                <w:rPr>
                  <w:rFonts w:ascii="Times New Roman" w:cs="Times New Roman" w:eastAsia="Times New Roman" w:hAnsi="Times New Roman"/>
                  <w:sz w:val="16"/>
                  <w:szCs w:val="16"/>
                  <w:color w:val="0000FF"/>
                </w:rPr>
                <w:t>Form of Indemnification Agreement (incorporated by reference to Exhibit 10.16 of the Current Report on Form 8-K filed by the Registrant on August 5,</w:t>
              </w:r>
            </w:hyperlink>
          </w:p>
        </w:tc>
      </w:tr>
      <w:tr>
        <w:trPr>
          <w:trHeight w:val="183"/>
        </w:trPr>
        <w:tc>
          <w:tcPr>
            <w:tcW w:w="1020" w:type="dxa"/>
            <w:vAlign w:val="bottom"/>
          </w:tcPr>
          <w:p>
            <w:pPr>
              <w:spacing w:after="0"/>
              <w:rPr>
                <w:sz w:val="15"/>
                <w:szCs w:val="15"/>
                <w:color w:val="auto"/>
              </w:rPr>
            </w:pPr>
          </w:p>
        </w:tc>
        <w:tc>
          <w:tcPr>
            <w:tcW w:w="420" w:type="dxa"/>
            <w:vAlign w:val="bottom"/>
            <w:tcBorders>
              <w:top w:val="single" w:sz="8" w:color="0000FF"/>
              <w:bottom w:val="single" w:sz="8" w:color="0000FF"/>
            </w:tcBorders>
          </w:tcPr>
          <w:p>
            <w:pPr>
              <w:spacing w:after="0" w:line="183" w:lineRule="exact"/>
              <w:rPr>
                <w:rFonts w:ascii="Times New Roman" w:cs="Times New Roman" w:eastAsia="Times New Roman" w:hAnsi="Times New Roman"/>
                <w:sz w:val="16"/>
                <w:szCs w:val="16"/>
                <w:color w:val="0000FF"/>
                <w:w w:val="96"/>
              </w:rPr>
            </w:pPr>
            <w:hyperlink r:id="rId464">
              <w:r>
                <w:rPr>
                  <w:rFonts w:ascii="Times New Roman" w:cs="Times New Roman" w:eastAsia="Times New Roman" w:hAnsi="Times New Roman"/>
                  <w:sz w:val="16"/>
                  <w:szCs w:val="16"/>
                  <w:color w:val="0000FF"/>
                  <w:w w:val="96"/>
                </w:rPr>
                <w:t>2021).</w:t>
              </w:r>
            </w:hyperlink>
          </w:p>
        </w:tc>
        <w:tc>
          <w:tcPr>
            <w:tcW w:w="20" w:type="dxa"/>
            <w:vAlign w:val="bottom"/>
            <w:tcBorders>
              <w:top w:val="single" w:sz="8" w:color="0000FF"/>
              <w:bottom w:val="single" w:sz="8" w:color="0000EE"/>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82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1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1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8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4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8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21.1</w:t>
            </w:r>
          </w:p>
        </w:tc>
        <w:tc>
          <w:tcPr>
            <w:tcW w:w="10180" w:type="dxa"/>
            <w:vAlign w:val="bottom"/>
            <w:gridSpan w:val="22"/>
          </w:tcPr>
          <w:p>
            <w:pPr>
              <w:spacing w:after="0"/>
              <w:rPr>
                <w:sz w:val="20"/>
                <w:szCs w:val="20"/>
                <w:color w:val="auto"/>
              </w:rPr>
            </w:pPr>
            <w:r>
              <w:rPr>
                <w:rFonts w:ascii="Times New Roman" w:cs="Times New Roman" w:eastAsia="Times New Roman" w:hAnsi="Times New Roman"/>
                <w:sz w:val="16"/>
                <w:szCs w:val="16"/>
                <w:color w:val="0000FF"/>
              </w:rPr>
              <w:t>Subsidiaries of the Registrant.</w:t>
            </w:r>
          </w:p>
        </w:tc>
      </w:tr>
      <w:tr>
        <w:trPr>
          <w:trHeight w:val="20"/>
        </w:trPr>
        <w:tc>
          <w:tcPr>
            <w:tcW w:w="1020" w:type="dxa"/>
            <w:vAlign w:val="bottom"/>
          </w:tcPr>
          <w:p>
            <w:pPr>
              <w:spacing w:after="0" w:line="20" w:lineRule="exact"/>
              <w:rPr>
                <w:sz w:val="1"/>
                <w:szCs w:val="1"/>
                <w:color w:val="auto"/>
              </w:rPr>
            </w:pPr>
          </w:p>
        </w:tc>
        <w:tc>
          <w:tcPr>
            <w:tcW w:w="820" w:type="dxa"/>
            <w:vAlign w:val="bottom"/>
            <w:tcBorders>
              <w:right w:val="single" w:sz="8" w:color="0000FF"/>
            </w:tcBorders>
            <w:gridSpan w:val="3"/>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23.1</w:t>
            </w:r>
          </w:p>
        </w:tc>
        <w:tc>
          <w:tcPr>
            <w:tcW w:w="23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w w:val="99"/>
              </w:rPr>
              <w:t>Consent of Deloitte &amp; Touche LLP.</w:t>
            </w:r>
          </w:p>
        </w:tc>
        <w:tc>
          <w:tcPr>
            <w:tcW w:w="20" w:type="dxa"/>
            <w:vAlign w:val="bottom"/>
            <w:tcBorders>
              <w:bottom w:val="single" w:sz="8" w:color="0000EE"/>
            </w:tcBorders>
          </w:tcPr>
          <w:p>
            <w:pPr>
              <w:spacing w:after="0"/>
              <w:rPr>
                <w:sz w:val="24"/>
                <w:szCs w:val="24"/>
                <w:color w:val="auto"/>
              </w:rPr>
            </w:pPr>
          </w:p>
        </w:tc>
        <w:tc>
          <w:tcPr>
            <w:tcW w:w="7860" w:type="dxa"/>
            <w:vAlign w:val="bottom"/>
            <w:gridSpan w:val="15"/>
          </w:tcPr>
          <w:p>
            <w:pPr>
              <w:spacing w:after="0"/>
              <w:rPr>
                <w:sz w:val="24"/>
                <w:szCs w:val="24"/>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10180" w:type="dxa"/>
            <w:vAlign w:val="bottom"/>
            <w:gridSpan w:val="22"/>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Rules 13a-14(a) and 15d-14(a) under the Securities Exchange Act of 1934, as</w:t>
            </w:r>
          </w:p>
        </w:tc>
      </w:tr>
      <w:tr>
        <w:trPr>
          <w:trHeight w:val="183"/>
        </w:trPr>
        <w:tc>
          <w:tcPr>
            <w:tcW w:w="1020" w:type="dxa"/>
            <w:vAlign w:val="bottom"/>
          </w:tcPr>
          <w:p>
            <w:pPr>
              <w:spacing w:after="0"/>
              <w:rPr>
                <w:sz w:val="15"/>
                <w:szCs w:val="15"/>
                <w:color w:val="auto"/>
              </w:rPr>
            </w:pPr>
          </w:p>
        </w:tc>
        <w:tc>
          <w:tcPr>
            <w:tcW w:w="4480" w:type="dxa"/>
            <w:vAlign w:val="bottom"/>
            <w:tcBorders>
              <w:top w:val="single" w:sz="8" w:color="0000FF"/>
              <w:bottom w:val="single" w:sz="8" w:color="0000FF"/>
            </w:tcBorders>
            <w:gridSpan w:val="8"/>
          </w:tcPr>
          <w:p>
            <w:pPr>
              <w:spacing w:after="0" w:line="183" w:lineRule="exact"/>
              <w:rPr>
                <w:sz w:val="20"/>
                <w:szCs w:val="20"/>
                <w:color w:val="auto"/>
              </w:rPr>
            </w:pPr>
            <w:r>
              <w:rPr>
                <w:rFonts w:ascii="Times New Roman" w:cs="Times New Roman" w:eastAsia="Times New Roman" w:hAnsi="Times New Roman"/>
                <w:sz w:val="16"/>
                <w:szCs w:val="16"/>
                <w:color w:val="0000FF"/>
              </w:rPr>
              <w:t>Adopted Pursuant to Section 302 of the 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3920" w:type="dxa"/>
            <w:vAlign w:val="bottom"/>
            <w:tcBorders>
              <w:top w:val="single" w:sz="8" w:color="0000FF"/>
            </w:tcBorders>
            <w:gridSpan w:val="7"/>
          </w:tcPr>
          <w:p>
            <w:pPr>
              <w:spacing w:after="0"/>
              <w:rPr>
                <w:sz w:val="15"/>
                <w:szCs w:val="15"/>
                <w:color w:val="auto"/>
              </w:rPr>
            </w:pPr>
          </w:p>
        </w:tc>
        <w:tc>
          <w:tcPr>
            <w:tcW w:w="1760" w:type="dxa"/>
            <w:vAlign w:val="bottom"/>
            <w:gridSpan w:val="6"/>
          </w:tcPr>
          <w:p>
            <w:pPr>
              <w:spacing w:after="0"/>
              <w:rPr>
                <w:sz w:val="15"/>
                <w:szCs w:val="15"/>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10180" w:type="dxa"/>
            <w:vAlign w:val="bottom"/>
            <w:gridSpan w:val="22"/>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Rules 13a-14(a) and 15d-14(a) under the Securities Exchange Act of 1934, as</w:t>
            </w:r>
          </w:p>
        </w:tc>
      </w:tr>
      <w:tr>
        <w:trPr>
          <w:trHeight w:val="183"/>
        </w:trPr>
        <w:tc>
          <w:tcPr>
            <w:tcW w:w="1020" w:type="dxa"/>
            <w:vAlign w:val="bottom"/>
          </w:tcPr>
          <w:p>
            <w:pPr>
              <w:spacing w:after="0"/>
              <w:rPr>
                <w:sz w:val="15"/>
                <w:szCs w:val="15"/>
                <w:color w:val="auto"/>
              </w:rPr>
            </w:pPr>
          </w:p>
        </w:tc>
        <w:tc>
          <w:tcPr>
            <w:tcW w:w="4480" w:type="dxa"/>
            <w:vAlign w:val="bottom"/>
            <w:tcBorders>
              <w:top w:val="single" w:sz="8" w:color="0000FF"/>
              <w:bottom w:val="single" w:sz="8" w:color="0000FF"/>
            </w:tcBorders>
            <w:gridSpan w:val="8"/>
          </w:tcPr>
          <w:p>
            <w:pPr>
              <w:spacing w:after="0" w:line="183" w:lineRule="exact"/>
              <w:rPr>
                <w:sz w:val="20"/>
                <w:szCs w:val="20"/>
                <w:color w:val="auto"/>
              </w:rPr>
            </w:pPr>
            <w:r>
              <w:rPr>
                <w:rFonts w:ascii="Times New Roman" w:cs="Times New Roman" w:eastAsia="Times New Roman" w:hAnsi="Times New Roman"/>
                <w:sz w:val="16"/>
                <w:szCs w:val="16"/>
                <w:color w:val="0000FF"/>
              </w:rPr>
              <w:t>Adopted Pursuant to Section 302 of the 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3880" w:type="dxa"/>
            <w:vAlign w:val="bottom"/>
            <w:tcBorders>
              <w:top w:val="single" w:sz="8" w:color="0000FF"/>
            </w:tcBorders>
            <w:gridSpan w:val="6"/>
          </w:tcPr>
          <w:p>
            <w:pPr>
              <w:spacing w:after="0"/>
              <w:rPr>
                <w:sz w:val="15"/>
                <w:szCs w:val="15"/>
                <w:color w:val="auto"/>
              </w:rPr>
            </w:pPr>
          </w:p>
        </w:tc>
        <w:tc>
          <w:tcPr>
            <w:tcW w:w="1800" w:type="dxa"/>
            <w:vAlign w:val="bottom"/>
            <w:gridSpan w:val="7"/>
          </w:tcPr>
          <w:p>
            <w:pPr>
              <w:spacing w:after="0"/>
              <w:rPr>
                <w:sz w:val="15"/>
                <w:szCs w:val="15"/>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32.1***</w:t>
            </w:r>
          </w:p>
        </w:tc>
        <w:tc>
          <w:tcPr>
            <w:tcW w:w="10180" w:type="dxa"/>
            <w:vAlign w:val="bottom"/>
            <w:gridSpan w:val="22"/>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18 U.S.C. Section 1350, as Adopted Pursuant to Section 906 of the Sarbanes-Oxley Act of 2002.</w:t>
            </w: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32.2***</w:t>
            </w:r>
          </w:p>
        </w:tc>
        <w:tc>
          <w:tcPr>
            <w:tcW w:w="966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18 U.S.C. Section 1350, as Adopted Pursuant to Section 906 of the Sarbanes-Oxley</w:t>
            </w:r>
          </w:p>
        </w:tc>
        <w:tc>
          <w:tcPr>
            <w:tcW w:w="520" w:type="dxa"/>
            <w:vAlign w:val="bottom"/>
            <w:gridSpan w:val="3"/>
          </w:tcPr>
          <w:p>
            <w:pPr>
              <w:spacing w:after="0"/>
              <w:rPr>
                <w:sz w:val="24"/>
                <w:szCs w:val="24"/>
                <w:color w:val="auto"/>
              </w:rPr>
            </w:pPr>
          </w:p>
        </w:tc>
      </w:tr>
      <w:tr>
        <w:trPr>
          <w:trHeight w:val="183"/>
        </w:trPr>
        <w:tc>
          <w:tcPr>
            <w:tcW w:w="1020" w:type="dxa"/>
            <w:vAlign w:val="bottom"/>
          </w:tcPr>
          <w:p>
            <w:pPr>
              <w:spacing w:after="0"/>
              <w:rPr>
                <w:sz w:val="15"/>
                <w:szCs w:val="15"/>
                <w:color w:val="auto"/>
              </w:rPr>
            </w:pPr>
          </w:p>
        </w:tc>
        <w:tc>
          <w:tcPr>
            <w:tcW w:w="8760" w:type="dxa"/>
            <w:vAlign w:val="bottom"/>
            <w:tcBorders>
              <w:top w:val="single" w:sz="8" w:color="0000FF"/>
            </w:tcBorders>
            <w:gridSpan w:val="17"/>
          </w:tcPr>
          <w:p>
            <w:pPr>
              <w:spacing w:after="0" w:line="183" w:lineRule="exact"/>
              <w:rPr>
                <w:sz w:val="20"/>
                <w:szCs w:val="20"/>
                <w:color w:val="auto"/>
              </w:rPr>
            </w:pPr>
            <w:r>
              <w:rPr>
                <w:rFonts w:ascii="Times New Roman" w:cs="Times New Roman" w:eastAsia="Times New Roman" w:hAnsi="Times New Roman"/>
                <w:sz w:val="16"/>
                <w:szCs w:val="16"/>
                <w:color w:val="0000FF"/>
              </w:rPr>
              <w:t>Act of 2002.</w:t>
            </w:r>
          </w:p>
        </w:tc>
        <w:tc>
          <w:tcPr>
            <w:tcW w:w="1420" w:type="dxa"/>
            <w:vAlign w:val="bottom"/>
            <w:gridSpan w:val="5"/>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2" w:lineRule="exact"/>
        <w:rPr>
          <w:sz w:val="20"/>
          <w:szCs w:val="20"/>
          <w:color w:val="auto"/>
        </w:rPr>
      </w:pPr>
    </w:p>
    <w:p>
      <w:pPr>
        <w:ind w:left="1040" w:hanging="1019"/>
        <w:spacing w:after="0"/>
        <w:tabs>
          <w:tab w:leader="none" w:pos="104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FF"/>
        </w:rPr>
        <w:t>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-4445</wp:posOffset>
            </wp:positionV>
            <wp:extent cx="69977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5">
                      <a:extLst>
                        <a:ext uri="{28A0092B-C50C-407E-A947-70E740481C1C}"/>
                      </a:extLst>
                    </a:blip>
                    <a:srcRect/>
                    <a:stretch>
                      <a:fillRect/>
                    </a:stretch>
                  </pic:blipFill>
                  <pic:spPr bwMode="auto">
                    <a:xfrm>
                      <a:off x="0" y="0"/>
                      <a:ext cx="699770" cy="8890"/>
                    </a:xfrm>
                    <a:prstGeom prst="rect">
                      <a:avLst/>
                    </a:prstGeom>
                    <a:noFill/>
                  </pic:spPr>
                </pic:pic>
              </a:graphicData>
            </a:graphic>
          </wp:anchor>
        </w:drawing>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5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Inline XBRL Instance Document</w:t>
            </w:r>
          </w:p>
        </w:tc>
      </w:tr>
      <w:tr>
        <w:trPr>
          <w:trHeight w:val="365"/>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5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Inline XBRL Taxonomy Extension Schema With Embedded Linkbase Documents</w:t>
            </w:r>
          </w:p>
        </w:tc>
      </w:tr>
    </w:tbl>
    <w:p>
      <w:pPr>
        <w:spacing w:after="0" w:line="154" w:lineRule="exact"/>
        <w:rPr>
          <w:sz w:val="20"/>
          <w:szCs w:val="20"/>
          <w:color w:val="auto"/>
        </w:rPr>
      </w:pPr>
    </w:p>
    <w:p>
      <w:pPr>
        <w:ind w:left="1040" w:hanging="1019"/>
        <w:spacing w:after="0"/>
        <w:tabs>
          <w:tab w:leader="none" w:pos="1040" w:val="left"/>
        </w:tabs>
        <w:numPr>
          <w:ilvl w:val="1"/>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(formatted as Inline XBRL and contained in Exhibit 101)</w:t>
      </w:r>
    </w:p>
    <w:p>
      <w:pPr>
        <w:spacing w:after="0" w:line="167" w:lineRule="exact"/>
        <w:rPr>
          <w:rFonts w:ascii="Times New Roman" w:cs="Times New Roman" w:eastAsia="Times New Roman" w:hAnsi="Times New Roman"/>
          <w:sz w:val="16"/>
          <w:szCs w:val="16"/>
          <w:color w:val="auto"/>
        </w:rPr>
      </w:pPr>
    </w:p>
    <w:p>
      <w:pPr>
        <w:ind w:right="40"/>
        <w:spacing w:after="0" w:line="26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Schedules and exhibits to this Exhibit omitted pursuant to Regulation S-K Item 601(b)(2). The Registrant agrees to furnish supplementally a copy of any omitted schedule or exhibit to the SEC upon request.</w:t>
      </w:r>
    </w:p>
    <w:p>
      <w:pPr>
        <w:ind w:right="480" w:firstLine="8"/>
        <w:spacing w:after="0" w:line="264" w:lineRule="auto"/>
        <w:tabs>
          <w:tab w:leader="none" w:pos="202"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Schedules and exhibits to this Exhibit omitted pursuant to Regulation S-K Item 601(b)(10). The Registrant agrees to furnish supplementally a copy of any omitted schedule or exhibit to the SEC upon request.</w:t>
      </w:r>
    </w:p>
    <w:p>
      <w:pPr>
        <w:ind w:left="300" w:hanging="292"/>
        <w:spacing w:after="0"/>
        <w:tabs>
          <w:tab w:leader="none" w:pos="30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herewith as Exhibits 32.1 and 32.2.</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Management contract or compensatory plan or arrangement.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 Form 10-K Summary.</w:t>
      </w:r>
    </w:p>
    <w:p>
      <w:pPr>
        <w:spacing w:after="0" w:line="14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None.</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2" w:right="359" w:bottom="1440" w:gutter="0" w:footer="0" w:header="0"/>
        </w:sectPr>
      </w:pPr>
    </w:p>
    <w:bookmarkStart w:id="99" w:name="page100"/>
    <w:bookmarkEnd w:id="99"/>
    <w:p>
      <w:pPr>
        <w:jc w:val="center"/>
        <w:ind w:right="-29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29" w:lineRule="exact"/>
        <w:rPr>
          <w:sz w:val="20"/>
          <w:szCs w:val="20"/>
          <w:color w:val="auto"/>
        </w:rPr>
      </w:pPr>
    </w:p>
    <w:p>
      <w:pPr>
        <w:ind w:right="220"/>
        <w:spacing w:after="0" w:line="298"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68"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b w:val="1"/>
          <w:bCs w:val="1"/>
          <w:color w:val="auto"/>
        </w:rPr>
        <w:t>CCC INTELLIGENT SOLUTIONS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30480</wp:posOffset>
            </wp:positionV>
            <wp:extent cx="283718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7">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136" w:lineRule="exact"/>
        <w:rPr>
          <w:sz w:val="20"/>
          <w:szCs w:val="20"/>
          <w:color w:val="auto"/>
        </w:rPr>
      </w:pPr>
    </w:p>
    <w:p>
      <w:pPr>
        <w:ind w:left="6440"/>
        <w:spacing w:after="0"/>
        <w:tabs>
          <w:tab w:leader="none" w:pos="820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Githesh Ramamurthy</w:t>
      </w:r>
    </w:p>
    <w:p>
      <w:pPr>
        <w:spacing w:after="0" w:line="46" w:lineRule="exact"/>
        <w:rPr>
          <w:sz w:val="20"/>
          <w:szCs w:val="20"/>
          <w:color w:val="auto"/>
        </w:rPr>
      </w:pPr>
    </w:p>
    <w:p>
      <w:pPr>
        <w:jc w:val="center"/>
        <w:ind w:left="6720"/>
        <w:spacing w:after="0"/>
        <w:rPr>
          <w:sz w:val="20"/>
          <w:szCs w:val="20"/>
          <w:color w:val="auto"/>
        </w:rPr>
      </w:pPr>
      <w:r>
        <w:rPr>
          <w:rFonts w:ascii="Times New Roman" w:cs="Times New Roman" w:eastAsia="Times New Roman" w:hAnsi="Times New Roman"/>
          <w:sz w:val="16"/>
          <w:szCs w:val="16"/>
          <w:color w:val="auto"/>
        </w:rPr>
        <w:t>Githesh Ramamurthy 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-116205</wp:posOffset>
            </wp:positionV>
            <wp:extent cx="283718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8">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6"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6"/>
          <w:szCs w:val="16"/>
          <w:color w:val="auto"/>
        </w:rPr>
        <w:t>February 28, 2024</w:t>
      </w:r>
    </w:p>
    <w:p>
      <w:pPr>
        <w:spacing w:after="0" w:line="146" w:lineRule="exact"/>
        <w:rPr>
          <w:sz w:val="20"/>
          <w:szCs w:val="20"/>
          <w:color w:val="auto"/>
        </w:rPr>
      </w:pPr>
    </w:p>
    <w:p>
      <w:pPr>
        <w:ind w:right="220"/>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4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rPr>
              <w:t>/s/ Githesh Ramamurthy</w:t>
            </w:r>
          </w:p>
        </w:tc>
        <w:tc>
          <w:tcPr>
            <w:tcW w:w="4420" w:type="dxa"/>
            <w:vAlign w:val="bottom"/>
          </w:tcPr>
          <w:p>
            <w:pPr>
              <w:spacing w:after="0"/>
              <w:rPr>
                <w:sz w:val="19"/>
                <w:szCs w:val="19"/>
                <w:color w:val="auto"/>
              </w:rPr>
            </w:pPr>
          </w:p>
        </w:tc>
        <w:tc>
          <w:tcPr>
            <w:tcW w:w="19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February 28, 2024</w:t>
            </w:r>
          </w:p>
        </w:tc>
      </w:tr>
      <w:tr>
        <w:trPr>
          <w:trHeight w:val="202"/>
        </w:trPr>
        <w:tc>
          <w:tcPr>
            <w:tcW w:w="44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Githesh Ramamurthy</w:t>
            </w:r>
          </w:p>
        </w:tc>
        <w:tc>
          <w:tcPr>
            <w:tcW w:w="442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rPr>
              <w:t>Chairman and Chief Executive Officer</w:t>
            </w:r>
          </w:p>
        </w:tc>
        <w:tc>
          <w:tcPr>
            <w:tcW w:w="1940" w:type="dxa"/>
            <w:vAlign w:val="bottom"/>
          </w:tcPr>
          <w:p>
            <w:pPr>
              <w:spacing w:after="0"/>
              <w:rPr>
                <w:sz w:val="17"/>
                <w:szCs w:val="17"/>
                <w:color w:val="auto"/>
              </w:rPr>
            </w:pPr>
          </w:p>
        </w:tc>
      </w:tr>
      <w:tr>
        <w:trPr>
          <w:trHeight w:val="210"/>
        </w:trPr>
        <w:tc>
          <w:tcPr>
            <w:tcW w:w="44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(Principal Executive Officer)</w:t>
            </w:r>
          </w:p>
        </w:tc>
        <w:tc>
          <w:tcPr>
            <w:tcW w:w="442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350"/>
        </w:trPr>
        <w:tc>
          <w:tcPr>
            <w:tcW w:w="442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6"/>
                <w:szCs w:val="16"/>
                <w:color w:val="auto"/>
              </w:rPr>
              <w:t>/s/ Brian Herb</w:t>
            </w:r>
          </w:p>
        </w:tc>
        <w:tc>
          <w:tcPr>
            <w:tcW w:w="442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Chief Financial &amp; Administrative Officer</w:t>
            </w:r>
          </w:p>
        </w:tc>
        <w:tc>
          <w:tcPr>
            <w:tcW w:w="19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February 28, 2024</w:t>
            </w:r>
          </w:p>
        </w:tc>
      </w:tr>
      <w:tr>
        <w:trPr>
          <w:trHeight w:val="202"/>
        </w:trPr>
        <w:tc>
          <w:tcPr>
            <w:tcW w:w="44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Brian Herb</w:t>
            </w:r>
          </w:p>
        </w:tc>
        <w:tc>
          <w:tcPr>
            <w:tcW w:w="442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10"/>
        </w:trPr>
        <w:tc>
          <w:tcPr>
            <w:tcW w:w="442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color w:val="auto"/>
              </w:rPr>
              <w:t>(Principal Financial Officer)</w:t>
            </w:r>
          </w:p>
        </w:tc>
        <w:tc>
          <w:tcPr>
            <w:tcW w:w="442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351"/>
        </w:trPr>
        <w:tc>
          <w:tcPr>
            <w:tcW w:w="44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rPr>
              <w:t>/s/ Rodney Christo</w:t>
            </w:r>
          </w:p>
        </w:tc>
        <w:tc>
          <w:tcPr>
            <w:tcW w:w="442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rPr>
              <w:t>Chief Accounting Officer</w:t>
            </w:r>
          </w:p>
        </w:tc>
        <w:tc>
          <w:tcPr>
            <w:tcW w:w="19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February 28, 2024</w:t>
            </w:r>
          </w:p>
        </w:tc>
      </w:tr>
      <w:tr>
        <w:trPr>
          <w:trHeight w:val="202"/>
        </w:trPr>
        <w:tc>
          <w:tcPr>
            <w:tcW w:w="44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Rodney Christo</w:t>
            </w:r>
          </w:p>
        </w:tc>
        <w:tc>
          <w:tcPr>
            <w:tcW w:w="442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10"/>
        </w:trPr>
        <w:tc>
          <w:tcPr>
            <w:tcW w:w="44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(Principal Accounting Officer)</w:t>
            </w:r>
          </w:p>
        </w:tc>
        <w:tc>
          <w:tcPr>
            <w:tcW w:w="442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350"/>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Christopher Egan</w:t>
            </w:r>
          </w:p>
        </w:tc>
        <w:tc>
          <w:tcPr>
            <w:tcW w:w="20" w:type="dxa"/>
            <w:vAlign w:val="bottom"/>
          </w:tcPr>
          <w:p>
            <w:pPr>
              <w:spacing w:after="0"/>
              <w:rPr>
                <w:sz w:val="24"/>
                <w:szCs w:val="24"/>
                <w:color w:val="auto"/>
              </w:rPr>
            </w:pPr>
          </w:p>
        </w:tc>
        <w:tc>
          <w:tcPr>
            <w:tcW w:w="442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Director</w:t>
            </w:r>
          </w:p>
        </w:tc>
        <w:tc>
          <w:tcPr>
            <w:tcW w:w="19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February 28, 2024</w:t>
            </w:r>
          </w:p>
        </w:tc>
      </w:tr>
      <w:tr>
        <w:trPr>
          <w:trHeight w:val="237"/>
        </w:trPr>
        <w:tc>
          <w:tcPr>
            <w:tcW w:w="44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Christopher Egan</w:t>
            </w:r>
          </w:p>
        </w:tc>
        <w:tc>
          <w:tcPr>
            <w:tcW w:w="442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37"/>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William Ingram</w:t>
            </w:r>
          </w:p>
        </w:tc>
        <w:tc>
          <w:tcPr>
            <w:tcW w:w="20" w:type="dxa"/>
            <w:vAlign w:val="bottom"/>
          </w:tcPr>
          <w:p>
            <w:pPr>
              <w:spacing w:after="0"/>
              <w:rPr>
                <w:sz w:val="24"/>
                <w:szCs w:val="24"/>
                <w:color w:val="auto"/>
              </w:rPr>
            </w:pPr>
          </w:p>
        </w:tc>
        <w:tc>
          <w:tcPr>
            <w:tcW w:w="442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Director</w:t>
            </w:r>
          </w:p>
        </w:tc>
        <w:tc>
          <w:tcPr>
            <w:tcW w:w="19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February 28, 2024</w:t>
            </w:r>
          </w:p>
        </w:tc>
      </w:tr>
      <w:tr>
        <w:trPr>
          <w:trHeight w:val="237"/>
        </w:trPr>
        <w:tc>
          <w:tcPr>
            <w:tcW w:w="442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color w:val="auto"/>
              </w:rPr>
              <w:t>William Ingram</w:t>
            </w:r>
          </w:p>
        </w:tc>
        <w:tc>
          <w:tcPr>
            <w:tcW w:w="442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472"/>
        </w:trPr>
        <w:tc>
          <w:tcPr>
            <w:tcW w:w="44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/s/ Eileen Schloss</w:t>
            </w:r>
          </w:p>
        </w:tc>
        <w:tc>
          <w:tcPr>
            <w:tcW w:w="442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Director</w:t>
            </w:r>
          </w:p>
        </w:tc>
        <w:tc>
          <w:tcPr>
            <w:tcW w:w="19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February 28, 2024</w:t>
            </w:r>
          </w:p>
        </w:tc>
      </w:tr>
      <w:tr>
        <w:trPr>
          <w:trHeight w:val="210"/>
        </w:trPr>
        <w:tc>
          <w:tcPr>
            <w:tcW w:w="4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Eileen Schloss</w:t>
            </w:r>
          </w:p>
        </w:tc>
        <w:tc>
          <w:tcPr>
            <w:tcW w:w="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350"/>
        </w:trPr>
        <w:tc>
          <w:tcPr>
            <w:tcW w:w="442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color w:val="auto"/>
                <w:w w:val="99"/>
              </w:rPr>
              <w:t>/s/ Eric Wei</w:t>
            </w:r>
          </w:p>
        </w:tc>
        <w:tc>
          <w:tcPr>
            <w:tcW w:w="442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Director</w:t>
            </w:r>
          </w:p>
        </w:tc>
        <w:tc>
          <w:tcPr>
            <w:tcW w:w="19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February 28, 2024</w:t>
            </w:r>
          </w:p>
        </w:tc>
      </w:tr>
      <w:tr>
        <w:trPr>
          <w:trHeight w:val="210"/>
        </w:trPr>
        <w:tc>
          <w:tcPr>
            <w:tcW w:w="4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Eric Wei</w:t>
            </w:r>
          </w:p>
        </w:tc>
        <w:tc>
          <w:tcPr>
            <w:tcW w:w="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350"/>
        </w:trPr>
        <w:tc>
          <w:tcPr>
            <w:tcW w:w="442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color w:val="auto"/>
                <w:w w:val="99"/>
              </w:rPr>
              <w:t>/s/ Teri Williams</w:t>
            </w:r>
          </w:p>
        </w:tc>
        <w:tc>
          <w:tcPr>
            <w:tcW w:w="442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Director</w:t>
            </w:r>
          </w:p>
        </w:tc>
        <w:tc>
          <w:tcPr>
            <w:tcW w:w="19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February 28, 2024</w:t>
            </w:r>
          </w:p>
        </w:tc>
      </w:tr>
      <w:tr>
        <w:trPr>
          <w:trHeight w:val="210"/>
        </w:trPr>
        <w:tc>
          <w:tcPr>
            <w:tcW w:w="4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Teri Williams</w:t>
            </w:r>
          </w:p>
        </w:tc>
        <w:tc>
          <w:tcPr>
            <w:tcW w:w="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350"/>
        </w:trPr>
        <w:tc>
          <w:tcPr>
            <w:tcW w:w="442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color w:val="auto"/>
                <w:w w:val="99"/>
              </w:rPr>
              <w:t>/s/ Lauren Young</w:t>
            </w:r>
          </w:p>
        </w:tc>
        <w:tc>
          <w:tcPr>
            <w:tcW w:w="442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Director</w:t>
            </w:r>
          </w:p>
        </w:tc>
        <w:tc>
          <w:tcPr>
            <w:tcW w:w="19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February 28, 2024</w:t>
            </w:r>
          </w:p>
        </w:tc>
      </w:tr>
      <w:tr>
        <w:trPr>
          <w:trHeight w:val="210"/>
        </w:trPr>
        <w:tc>
          <w:tcPr>
            <w:tcW w:w="4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Lauren Young</w:t>
            </w:r>
          </w:p>
        </w:tc>
        <w:tc>
          <w:tcPr>
            <w:tcW w:w="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940" w:type="dxa"/>
            <w:vAlign w:val="bottom"/>
          </w:tcPr>
          <w:p>
            <w:pPr>
              <w:spacing w:after="0"/>
              <w:rPr>
                <w:sz w:val="18"/>
                <w:szCs w:val="18"/>
                <w:color w:val="auto"/>
              </w:rPr>
            </w:pPr>
          </w:p>
        </w:tc>
      </w:tr>
    </w:tbl>
    <w:p>
      <w:pPr>
        <w:spacing w:after="0" w:line="21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988" w:right="61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6"/>
          <w:szCs w:val="16"/>
          <w:color w:val="auto"/>
        </w:rPr>
        <w:t>Exhibit 4.1</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DESCRIPTION OF SECURITIES</w:t>
      </w:r>
    </w:p>
    <w:p>
      <w:pPr>
        <w:spacing w:after="0" w:line="167" w:lineRule="exact"/>
        <w:rPr>
          <w:sz w:val="20"/>
          <w:szCs w:val="20"/>
          <w:color w:val="auto"/>
        </w:rPr>
      </w:pPr>
    </w:p>
    <w:p>
      <w:pPr>
        <w:ind w:right="120" w:firstLine="1033"/>
        <w:spacing w:after="0" w:line="298" w:lineRule="auto"/>
        <w:rPr>
          <w:sz w:val="20"/>
          <w:szCs w:val="20"/>
          <w:color w:val="auto"/>
        </w:rPr>
      </w:pPr>
      <w:r>
        <w:rPr>
          <w:rFonts w:ascii="Times New Roman" w:cs="Times New Roman" w:eastAsia="Times New Roman" w:hAnsi="Times New Roman"/>
          <w:sz w:val="16"/>
          <w:szCs w:val="16"/>
          <w:color w:val="auto"/>
        </w:rPr>
        <w:t>The following summary of certain provisions of the Company’s securities does not purport to be complete and is subject to the Certificate of Incorporation, the Bylaws and the provisions of applicable law.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Authorized Capitalization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156" w:lineRule="exact"/>
        <w:rPr>
          <w:sz w:val="20"/>
          <w:szCs w:val="20"/>
          <w:color w:val="auto"/>
        </w:rPr>
      </w:pPr>
    </w:p>
    <w:p>
      <w:pPr>
        <w:ind w:firstLine="1033"/>
        <w:spacing w:after="0" w:line="298" w:lineRule="auto"/>
        <w:rPr>
          <w:sz w:val="20"/>
          <w:szCs w:val="20"/>
          <w:color w:val="auto"/>
        </w:rPr>
      </w:pPr>
      <w:r>
        <w:rPr>
          <w:rFonts w:ascii="Times New Roman" w:cs="Times New Roman" w:eastAsia="Times New Roman" w:hAnsi="Times New Roman"/>
          <w:sz w:val="16"/>
          <w:szCs w:val="16"/>
          <w:color w:val="auto"/>
        </w:rPr>
        <w:t>The total amount of our authorized share capital consists of 5,000,000,000 shares of common stock and 100,000,000 shares of preferred stock. The following summary describes all material provisions of our capital stock.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Common Stock</w:t>
      </w:r>
    </w:p>
    <w:p>
      <w:pPr>
        <w:spacing w:after="0" w:line="152" w:lineRule="exact"/>
        <w:rPr>
          <w:sz w:val="20"/>
          <w:szCs w:val="20"/>
          <w:color w:val="auto"/>
        </w:rPr>
      </w:pPr>
    </w:p>
    <w:p>
      <w:pPr>
        <w:ind w:right="20" w:firstLine="1033"/>
        <w:spacing w:after="0" w:line="272" w:lineRule="auto"/>
        <w:rPr>
          <w:sz w:val="20"/>
          <w:szCs w:val="20"/>
          <w:color w:val="auto"/>
        </w:rPr>
      </w:pPr>
      <w:r>
        <w:rPr>
          <w:rFonts w:ascii="Times New Roman" w:cs="Times New Roman" w:eastAsia="Times New Roman" w:hAnsi="Times New Roman"/>
          <w:sz w:val="16"/>
          <w:szCs w:val="16"/>
          <w:b w:val="1"/>
          <w:bCs w:val="1"/>
          <w:i w:val="1"/>
          <w:iCs w:val="1"/>
          <w:color w:val="auto"/>
        </w:rPr>
        <w:t>Voting rights</w:t>
      </w:r>
      <w:r>
        <w:rPr>
          <w:rFonts w:ascii="Times New Roman" w:cs="Times New Roman" w:eastAsia="Times New Roman" w:hAnsi="Times New Roman"/>
          <w:sz w:val="16"/>
          <w:szCs w:val="16"/>
          <w:color w:val="auto"/>
        </w:rPr>
        <w:t>. Each holder of common stock is entitled to one (1) vote for each share of common stock held of record by such holder on all matters voted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upon by our stockholders, provided, however, that, except as otherwise required in the Certificate of Incorporation or by applicable law, the holders of common stock are not entitled to vote on any amendment to the Certificate of Incorporation that alters or changes the powers, preferences, rights or other terms of one or more outstanding series of preferred stock if the holders of such affected series are entitled, either separately or together with the holders of one or more other such series, to vote thereon pursuant to the Certificate of Incorporation (including any certificate of designation relating to any series of preferred stock) or pursuant to the Delaware General Corporation Law (the “DGCL”).</w:t>
      </w:r>
    </w:p>
    <w:p>
      <w:pPr>
        <w:spacing w:after="0" w:line="99" w:lineRule="exact"/>
        <w:rPr>
          <w:sz w:val="20"/>
          <w:szCs w:val="20"/>
          <w:color w:val="auto"/>
        </w:rPr>
      </w:pPr>
    </w:p>
    <w:p>
      <w:pPr>
        <w:ind w:firstLine="1033"/>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 xml:space="preserve">Dividend rights. </w:t>
      </w:r>
      <w:r>
        <w:rPr>
          <w:rFonts w:ascii="Times New Roman" w:cs="Times New Roman" w:eastAsia="Times New Roman" w:hAnsi="Times New Roman"/>
          <w:sz w:val="16"/>
          <w:szCs w:val="16"/>
          <w:color w:val="auto"/>
        </w:rPr>
        <w:t>Subject to any other provisions of the Certificate of Incorporation, as it may be amended from time to time, holders of common stock are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entitled to receive such dividends and other distributions in cash, stock or property of the Company when, as and if declared thereon by the board, in its discretion, from time to time out of assets or funds of the Company legally available therefor.</w:t>
      </w:r>
    </w:p>
    <w:p>
      <w:pPr>
        <w:spacing w:after="0" w:line="105" w:lineRule="exact"/>
        <w:rPr>
          <w:sz w:val="20"/>
          <w:szCs w:val="20"/>
          <w:color w:val="auto"/>
        </w:rPr>
      </w:pPr>
    </w:p>
    <w:p>
      <w:pPr>
        <w:ind w:right="100" w:firstLine="1033"/>
        <w:spacing w:after="0" w:line="274" w:lineRule="auto"/>
        <w:rPr>
          <w:sz w:val="20"/>
          <w:szCs w:val="20"/>
          <w:color w:val="auto"/>
        </w:rPr>
      </w:pPr>
      <w:r>
        <w:rPr>
          <w:rFonts w:ascii="Times New Roman" w:cs="Times New Roman" w:eastAsia="Times New Roman" w:hAnsi="Times New Roman"/>
          <w:sz w:val="16"/>
          <w:szCs w:val="16"/>
          <w:b w:val="1"/>
          <w:bCs w:val="1"/>
          <w:i w:val="1"/>
          <w:iCs w:val="1"/>
          <w:color w:val="auto"/>
        </w:rPr>
        <w:t>Rights upon liquidation</w:t>
      </w:r>
      <w:r>
        <w:rPr>
          <w:rFonts w:ascii="Times New Roman" w:cs="Times New Roman" w:eastAsia="Times New Roman" w:hAnsi="Times New Roman"/>
          <w:sz w:val="16"/>
          <w:szCs w:val="16"/>
          <w:color w:val="auto"/>
        </w:rPr>
        <w:t>. Subject to the rights of holders of preferred stock, in the event of any liquidation, dissolution or winding up of our affairs, whether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voluntary or involuntary, after payment or provision for payment of our debts and any other payments required by law and amounts payable upon shares of preferred stock ranking senior to the shares of common stock upon such dissolution, liquidation or winding up, if any, the Company’s remaining net assets will be distributed to the holders of common stock and the holders of any other class or series of capital stock ranking equally with the common stock upon such dissolution, liquidation or winding up, equally on a per share basis.</w:t>
      </w:r>
    </w:p>
    <w:p>
      <w:pPr>
        <w:spacing w:after="0" w:line="84" w:lineRule="exact"/>
        <w:rPr>
          <w:sz w:val="20"/>
          <w:szCs w:val="20"/>
          <w:color w:val="auto"/>
        </w:rPr>
      </w:pPr>
    </w:p>
    <w:p>
      <w:pPr>
        <w:ind w:right="20" w:firstLine="1033"/>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Other rights</w:t>
      </w:r>
      <w:r>
        <w:rPr>
          <w:rFonts w:ascii="Times New Roman" w:cs="Times New Roman" w:eastAsia="Times New Roman" w:hAnsi="Times New Roman"/>
          <w:sz w:val="16"/>
          <w:szCs w:val="16"/>
          <w:color w:val="auto"/>
        </w:rPr>
        <w:t>. No holder of common stock is entitled to preemptive or subscription rights contained in the Certificate of Incorporation or in the Bylaws.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There are no redemption or sinking fund provisions applicable to the common stock. The rights, preferences and privileges of holders of the common stock will be subject to those of the holders of the preferred stock that the Company may issue in the future.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Preferred Stock</w:t>
      </w:r>
    </w:p>
    <w:p>
      <w:pPr>
        <w:spacing w:after="0" w:line="156" w:lineRule="exact"/>
        <w:rPr>
          <w:sz w:val="20"/>
          <w:szCs w:val="20"/>
          <w:color w:val="auto"/>
        </w:rPr>
      </w:pPr>
    </w:p>
    <w:p>
      <w:pPr>
        <w:ind w:right="80" w:firstLine="1033"/>
        <w:spacing w:after="0" w:line="271" w:lineRule="auto"/>
        <w:rPr>
          <w:sz w:val="20"/>
          <w:szCs w:val="20"/>
          <w:color w:val="auto"/>
        </w:rPr>
      </w:pPr>
      <w:r>
        <w:rPr>
          <w:rFonts w:ascii="Times New Roman" w:cs="Times New Roman" w:eastAsia="Times New Roman" w:hAnsi="Times New Roman"/>
          <w:sz w:val="16"/>
          <w:szCs w:val="16"/>
          <w:color w:val="auto"/>
        </w:rPr>
        <w:t>The board has the authority to issue shares of preferred stock from time to time on terms it may determine, to divide shares of preferred stock into one or more series and to fix the designations, preferences, privileges, and restrictions of preferred stock, including dividend rights, conversion rights, voting rights, terms of redemption, liquidation preference, sinking fund terms and the number of shares constituting any series or the designation of any series to the fullest extent permitted by the DGCL. The issuance of preferred stock could have the effect of decreasing the trading price of common stock, restricting dividends on the capital stock of the Company, diluting the voting power of the common stock, impairing the liquidation rights of the capital stock of the Company, or delaying or preventing a change in control of the Company.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Election of Directors and Vacancies</w:t>
      </w:r>
    </w:p>
    <w:p>
      <w:pPr>
        <w:spacing w:after="0" w:line="142" w:lineRule="exact"/>
        <w:rPr>
          <w:sz w:val="20"/>
          <w:szCs w:val="20"/>
          <w:color w:val="auto"/>
        </w:rPr>
      </w:pPr>
    </w:p>
    <w:p>
      <w:pPr>
        <w:ind w:right="40" w:firstLine="1033"/>
        <w:spacing w:after="0" w:line="275" w:lineRule="auto"/>
        <w:rPr>
          <w:sz w:val="20"/>
          <w:szCs w:val="20"/>
          <w:color w:val="auto"/>
        </w:rPr>
      </w:pPr>
      <w:r>
        <w:rPr>
          <w:rFonts w:ascii="Times New Roman" w:cs="Times New Roman" w:eastAsia="Times New Roman" w:hAnsi="Times New Roman"/>
          <w:sz w:val="16"/>
          <w:szCs w:val="16"/>
          <w:color w:val="auto"/>
        </w:rPr>
        <w:t>Subject to the rights of the holders of any series of preferred stock to elect additional directors under specified circumstances and the terms and conditions of the Amended and Restated Registration and Shareholder Rights Agreement, the number of directors of the board shall be fixed solely and exclusively by resolution duly adopted from time to time by the board, but initially consists of nine (9) directors, which are divided into three (3) classes, designated Class I, II and III, respectively, with Class I consisting of three (3) directors, Class II consisting of three (3) directors and Class III consisting of three (3) directors.</w:t>
      </w:r>
    </w:p>
    <w:p>
      <w:pPr>
        <w:spacing w:after="0" w:line="88" w:lineRule="exact"/>
        <w:rPr>
          <w:sz w:val="20"/>
          <w:szCs w:val="20"/>
          <w:color w:val="auto"/>
        </w:rPr>
      </w:pPr>
    </w:p>
    <w:p>
      <w:pPr>
        <w:ind w:right="340" w:firstLine="1033"/>
        <w:spacing w:after="0" w:line="298" w:lineRule="auto"/>
        <w:rPr>
          <w:sz w:val="20"/>
          <w:szCs w:val="20"/>
          <w:color w:val="auto"/>
        </w:rPr>
      </w:pPr>
      <w:r>
        <w:rPr>
          <w:rFonts w:ascii="Times New Roman" w:cs="Times New Roman" w:eastAsia="Times New Roman" w:hAnsi="Times New Roman"/>
          <w:sz w:val="16"/>
          <w:szCs w:val="16"/>
          <w:color w:val="auto"/>
        </w:rPr>
        <w:t>Under the Bylaws, at all meetings of stockholders called for the election of directors, a plurality of the votes properly cast will be sufficient to elect such directors to the board.</w:t>
      </w:r>
    </w:p>
    <w:p>
      <w:pPr>
        <w:spacing w:after="0" w:line="70" w:lineRule="exact"/>
        <w:rPr>
          <w:sz w:val="20"/>
          <w:szCs w:val="20"/>
          <w:color w:val="auto"/>
        </w:rPr>
      </w:pPr>
    </w:p>
    <w:p>
      <w:pPr>
        <w:ind w:firstLine="1033"/>
        <w:spacing w:after="0" w:line="269" w:lineRule="auto"/>
        <w:rPr>
          <w:sz w:val="20"/>
          <w:szCs w:val="20"/>
          <w:color w:val="auto"/>
        </w:rPr>
      </w:pPr>
      <w:r>
        <w:rPr>
          <w:rFonts w:ascii="Times New Roman" w:cs="Times New Roman" w:eastAsia="Times New Roman" w:hAnsi="Times New Roman"/>
          <w:sz w:val="16"/>
          <w:szCs w:val="16"/>
          <w:color w:val="auto"/>
        </w:rPr>
        <w:t>Except as the DGCL or the Amended and Restated Registration and Shareholder Rights Agreement may otherwise require and subject to the rights, if any, of the holders of any series of preferred stock, in the interim between annual meetings of stockholders or special meetings of stockholders called for the election of directors and/or the removal of one or more directors and the filling of any vacancy in that connection, newly created directorships and any vacancies on the board, including unfilled vacancies resulting from the removal of directors, may be filled only by the affirmative vote of a majority of the remaining directors then in office, although less than a quorum, or by the sole remaining director. All directors will hold office until the expiration of their respective terms of office and until their successors will have been elected and qualified. A director elected or appointed to fill a vacancy resulting from the death, resignation or removal of a director or a newly created directorship will serve for the remainder of the full term of the class of directors in which the new directorship was created or the vacancy occurred and until his or her successor will have been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594360</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01" w:name="page102"/>
    <w:bookmarkEnd w:id="101"/>
    <w:p>
      <w:pPr>
        <w:ind w:right="40" w:firstLine="1033"/>
        <w:spacing w:after="0" w:line="272" w:lineRule="auto"/>
        <w:rPr>
          <w:sz w:val="20"/>
          <w:szCs w:val="20"/>
          <w:color w:val="auto"/>
        </w:rPr>
      </w:pPr>
      <w:r>
        <w:rPr>
          <w:rFonts w:ascii="Times New Roman" w:cs="Times New Roman" w:eastAsia="Times New Roman" w:hAnsi="Times New Roman"/>
          <w:sz w:val="16"/>
          <w:szCs w:val="16"/>
          <w:color w:val="auto"/>
        </w:rPr>
        <w:t>Subject to the rights, if any, of the holders of any series of preferred stock, any director may be removed from office only for cause and only by the affirmative vote of the holders of not less than two-thirds of the outstanding voting stock (as defined below) of the Company then entitled to vote generally in the election of directors, voting together as a single class. Any such director proposed to be removed from office is entitled to advance written notice as described in the Certificate of Incorporation. Subject to the terms and conditions of the Amended and Restated Registration and Shareholder Rights Agreement, in case the board or any one or more directors should be so removed, new directors may be elected at the same time for the unexpired portion of the full term of the director or directors so removed.</w:t>
      </w:r>
    </w:p>
    <w:p>
      <w:pPr>
        <w:spacing w:after="0" w:line="91" w:lineRule="exact"/>
        <w:rPr>
          <w:sz w:val="20"/>
          <w:szCs w:val="20"/>
          <w:color w:val="auto"/>
        </w:rPr>
      </w:pPr>
    </w:p>
    <w:p>
      <w:pPr>
        <w:ind w:firstLine="1033"/>
        <w:spacing w:after="0" w:line="275" w:lineRule="auto"/>
        <w:rPr>
          <w:sz w:val="20"/>
          <w:szCs w:val="20"/>
          <w:color w:val="auto"/>
        </w:rPr>
      </w:pPr>
      <w:r>
        <w:rPr>
          <w:rFonts w:ascii="Times New Roman" w:cs="Times New Roman" w:eastAsia="Times New Roman" w:hAnsi="Times New Roman"/>
          <w:sz w:val="16"/>
          <w:szCs w:val="16"/>
          <w:color w:val="auto"/>
        </w:rPr>
        <w:t>In addition to the powers and authorities hereinbefore or by statute expressly conferred upon them, the directors are hereby empowered to exercise all such powers and do all such acts and things as may be exercised or done by the Company, subject, nevertheless, to the provisions of the DGCL, the Certificate of Incorporation and to any Bylaws adopted and in effect from time to time; provided, however, that no Bylaw so adopted will invalidate any prior act of the directors which would have been valid if such Bylaw had not been adopted.</w:t>
      </w:r>
    </w:p>
    <w:p>
      <w:pPr>
        <w:spacing w:after="0" w:line="88" w:lineRule="exact"/>
        <w:rPr>
          <w:sz w:val="20"/>
          <w:szCs w:val="20"/>
          <w:color w:val="auto"/>
        </w:rPr>
      </w:pPr>
    </w:p>
    <w:p>
      <w:pPr>
        <w:jc w:val="both"/>
        <w:ind w:right="300" w:firstLine="1033"/>
        <w:spacing w:after="0" w:line="281" w:lineRule="auto"/>
        <w:rPr>
          <w:sz w:val="20"/>
          <w:szCs w:val="20"/>
          <w:color w:val="auto"/>
        </w:rPr>
      </w:pPr>
      <w:r>
        <w:rPr>
          <w:rFonts w:ascii="Times New Roman" w:cs="Times New Roman" w:eastAsia="Times New Roman" w:hAnsi="Times New Roman"/>
          <w:sz w:val="16"/>
          <w:szCs w:val="16"/>
          <w:color w:val="auto"/>
        </w:rPr>
        <w:t>Notwithstanding the foregoing provisions, any director elected pursuant to the right, if any, of the holders of preferred stock to elect additional directors under specified circumstances will serve for such term or terms and pursuant to such other provisions as specified in the relevant certificate of designations related to the preferred stock.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Quorum</w:t>
      </w:r>
    </w:p>
    <w:p>
      <w:pPr>
        <w:spacing w:after="0" w:line="142" w:lineRule="exact"/>
        <w:rPr>
          <w:sz w:val="20"/>
          <w:szCs w:val="20"/>
          <w:color w:val="auto"/>
        </w:rPr>
      </w:pPr>
    </w:p>
    <w:p>
      <w:pPr>
        <w:ind w:firstLine="1033"/>
        <w:spacing w:after="0" w:line="269" w:lineRule="auto"/>
        <w:rPr>
          <w:sz w:val="20"/>
          <w:szCs w:val="20"/>
          <w:color w:val="auto"/>
        </w:rPr>
      </w:pPr>
      <w:r>
        <w:rPr>
          <w:rFonts w:ascii="Times New Roman" w:cs="Times New Roman" w:eastAsia="Times New Roman" w:hAnsi="Times New Roman"/>
          <w:sz w:val="16"/>
          <w:szCs w:val="16"/>
          <w:color w:val="auto"/>
        </w:rPr>
        <w:t>The holders of a majority of the voting power of the capital stock issued and outstanding and entitled to vote thereat, present in person or represented by proxy, will constitute a quorum at all meetings of the stockholders for the transaction of business except as otherwise required by law or provided by the Certificate of Incorporation. If, however, such quorum will not be present or represented at any meeting of the stockholders, the holders of a majority of the voting power present in person or represented by proxy, have power to adjourn the meeting from time to time, without notice other than announcement at the meeting, until a quorum will be present or represented. At such adjourned meeting at which a quorum will be present or represented, any business may be transacted which might have been transacted at the meeting as originally noticed. If the adjournment is for more than thirty (30) days, or if after the adjournment a new record date is fixed for the adjourned meeting, a notice of the adjourned meeting will be given to each stockholder entitled to vote at such adjourned meeting as of the record date fixed for notice of such adjourned meeting.</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Anti-takeover Effects of the Certificate of Incorporation and the Bylaws</w:t>
      </w:r>
    </w:p>
    <w:p>
      <w:pPr>
        <w:spacing w:after="0" w:line="142" w:lineRule="exact"/>
        <w:rPr>
          <w:sz w:val="20"/>
          <w:szCs w:val="20"/>
          <w:color w:val="auto"/>
        </w:rPr>
      </w:pPr>
    </w:p>
    <w:p>
      <w:pPr>
        <w:jc w:val="both"/>
        <w:ind w:firstLine="1033"/>
        <w:spacing w:after="0" w:line="275" w:lineRule="auto"/>
        <w:rPr>
          <w:sz w:val="20"/>
          <w:szCs w:val="20"/>
          <w:color w:val="auto"/>
        </w:rPr>
      </w:pPr>
      <w:r>
        <w:rPr>
          <w:rFonts w:ascii="Times New Roman" w:cs="Times New Roman" w:eastAsia="Times New Roman" w:hAnsi="Times New Roman"/>
          <w:sz w:val="16"/>
          <w:szCs w:val="16"/>
          <w:color w:val="auto"/>
        </w:rPr>
        <w:t>The Certificate of Incorporation and the Bylaws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the board of directors, which we believe may result in an improvement of the terms of any such acquisition in favor of our stockholders. However, they also give the board of directors the power to discourage acquisitions that some stockholders may favor.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Authorized but Unissued Capital Stock</w:t>
      </w:r>
    </w:p>
    <w:p>
      <w:pPr>
        <w:spacing w:after="0" w:line="142" w:lineRule="exact"/>
        <w:rPr>
          <w:sz w:val="20"/>
          <w:szCs w:val="20"/>
          <w:color w:val="auto"/>
        </w:rPr>
      </w:pPr>
    </w:p>
    <w:p>
      <w:pPr>
        <w:ind w:firstLine="1033"/>
        <w:spacing w:after="0" w:line="275" w:lineRule="auto"/>
        <w:rPr>
          <w:sz w:val="20"/>
          <w:szCs w:val="20"/>
          <w:color w:val="auto"/>
        </w:rPr>
      </w:pPr>
      <w:r>
        <w:rPr>
          <w:rFonts w:ascii="Times New Roman" w:cs="Times New Roman" w:eastAsia="Times New Roman" w:hAnsi="Times New Roman"/>
          <w:sz w:val="16"/>
          <w:szCs w:val="16"/>
          <w:color w:val="auto"/>
        </w:rPr>
        <w:t>Delaware law does not require stockholder approval for any issuance of authorized shares. However, the Nasdaq listing requirements, which apply so long as the common stock (or units or warrants) remains listed on The Nasdaq Stock Market LLC, require stockholder approval of certain issuances equal to or exceeding 20% of the then outstanding voting power or then outstanding number of shares of common stock. Additional shares that may be issued in the future may be used for a variety of corporate purposes, including future public offerings, to raise additional capital or to facilitate acquisitions.</w:t>
      </w:r>
    </w:p>
    <w:p>
      <w:pPr>
        <w:spacing w:after="0" w:line="88" w:lineRule="exact"/>
        <w:rPr>
          <w:sz w:val="20"/>
          <w:szCs w:val="20"/>
          <w:color w:val="auto"/>
        </w:rPr>
      </w:pPr>
    </w:p>
    <w:p>
      <w:pPr>
        <w:ind w:right="280" w:firstLine="1033"/>
        <w:spacing w:after="0" w:line="275" w:lineRule="auto"/>
        <w:rPr>
          <w:sz w:val="20"/>
          <w:szCs w:val="20"/>
          <w:color w:val="auto"/>
        </w:rPr>
      </w:pPr>
      <w:r>
        <w:rPr>
          <w:rFonts w:ascii="Times New Roman" w:cs="Times New Roman" w:eastAsia="Times New Roman" w:hAnsi="Times New Roman"/>
          <w:sz w:val="16"/>
          <w:szCs w:val="16"/>
          <w:color w:val="auto"/>
        </w:rPr>
        <w:t>One of the effects of the existence of unissued and unreserved common stock may be to enable the board to issue shares to persons friendly to current management, which issuance could render more difficult or discourage an attempt to obtain control of the Company by means of a merger, tender offer, proxy contest or otherwise and thereby protect the continuity of management and possibly deprive stockholders of opportunities to sell their shares of common stock at prices higher than prevailing market prices.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Special Meeting, Action by Written Consent and Advance Notice Requirements for Stockholder Proposals</w:t>
      </w:r>
    </w:p>
    <w:p>
      <w:pPr>
        <w:spacing w:after="0" w:line="142" w:lineRule="exact"/>
        <w:rPr>
          <w:sz w:val="20"/>
          <w:szCs w:val="20"/>
          <w:color w:val="auto"/>
        </w:rPr>
      </w:pPr>
    </w:p>
    <w:p>
      <w:pPr>
        <w:ind w:right="100" w:firstLine="1033"/>
        <w:spacing w:after="0" w:line="269" w:lineRule="auto"/>
        <w:rPr>
          <w:sz w:val="20"/>
          <w:szCs w:val="20"/>
          <w:color w:val="auto"/>
        </w:rPr>
      </w:pPr>
      <w:r>
        <w:rPr>
          <w:rFonts w:ascii="Times New Roman" w:cs="Times New Roman" w:eastAsia="Times New Roman" w:hAnsi="Times New Roman"/>
          <w:sz w:val="16"/>
          <w:szCs w:val="16"/>
          <w:color w:val="auto"/>
        </w:rPr>
        <w:t>Unless otherwise required by law, and subject to the rights, if any, of the holders of any series of preferred stock, special meetings of the stockholders of the Company, for any purpose or purposes, may be called only (i) by a majority of the board or (ii) at any time when no annual meeting has been held for a period of thirteen</w:t>
      </w:r>
    </w:p>
    <w:p>
      <w:pPr>
        <w:ind w:right="160" w:firstLine="8"/>
        <w:spacing w:after="0" w:line="272" w:lineRule="auto"/>
        <w:tabs>
          <w:tab w:leader="none" w:pos="31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months after the Company’s last annual meeting, a special meeting in lieu thereof may be held, and such special meeting shall have, for the purposes of the Bylaws or otherwise, all the force and effect of an annual meeting. Unless otherwise required by law, written notice of a special meeting of stockholders, stating the time, place and purpose or purposes thereof, shall be given to each stockholder entitled to vote at such meeting, not less than ten (10) or more than sixty (60) days before the date fixed for the meeting. Business transacted at any special meeting of stockholders will be limited to the purposes stated in the notice.</w:t>
      </w:r>
    </w:p>
    <w:p>
      <w:pPr>
        <w:spacing w:after="0" w:line="90" w:lineRule="exact"/>
        <w:rPr>
          <w:sz w:val="20"/>
          <w:szCs w:val="20"/>
          <w:color w:val="auto"/>
        </w:rPr>
      </w:pPr>
    </w:p>
    <w:p>
      <w:pPr>
        <w:ind w:right="40" w:firstLine="1033"/>
        <w:spacing w:after="0" w:line="275" w:lineRule="auto"/>
        <w:rPr>
          <w:sz w:val="20"/>
          <w:szCs w:val="20"/>
          <w:color w:val="auto"/>
        </w:rPr>
      </w:pPr>
      <w:r>
        <w:rPr>
          <w:rFonts w:ascii="Times New Roman" w:cs="Times New Roman" w:eastAsia="Times New Roman" w:hAnsi="Times New Roman"/>
          <w:sz w:val="16"/>
          <w:szCs w:val="16"/>
          <w:color w:val="auto"/>
        </w:rPr>
        <w:t>The Bylaws also provide that unless otherwise restricted by the Certificate of Incorporation or the Bylaws, any action required or permitted to be taken at any meeting of the board or of any committee thereof may be taken without a meeting, if all members of the board or of such committee, as the case may be, consent thereto in writing or by electronic transmission, and the writing or writings or electronic transmission or transmissions are filed with the minutes of proceedings of the board or committee.</w:t>
      </w:r>
    </w:p>
    <w:p>
      <w:pPr>
        <w:spacing w:after="0" w:line="88" w:lineRule="exact"/>
        <w:rPr>
          <w:sz w:val="20"/>
          <w:szCs w:val="20"/>
          <w:color w:val="auto"/>
        </w:rPr>
      </w:pPr>
    </w:p>
    <w:p>
      <w:pPr>
        <w:ind w:right="60" w:firstLine="1033"/>
        <w:spacing w:after="0" w:line="281" w:lineRule="auto"/>
        <w:rPr>
          <w:sz w:val="20"/>
          <w:szCs w:val="20"/>
          <w:color w:val="auto"/>
        </w:rPr>
      </w:pPr>
      <w:r>
        <w:rPr>
          <w:rFonts w:ascii="Times New Roman" w:cs="Times New Roman" w:eastAsia="Times New Roman" w:hAnsi="Times New Roman"/>
          <w:sz w:val="16"/>
          <w:szCs w:val="16"/>
          <w:color w:val="auto"/>
        </w:rPr>
        <w:t>In addition, the Bylaws require advance notice procedures for stockholder proposals to be brought before an annual meeting of the stockholders, including the nomination of directors. Stockholders at an annual meeting may only consider the proposals specified in the notice of meeting or brought before the meeting by or at the direction of the board of directors, or by a stockholder of record on the record date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451485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02" w:name="page103"/>
    <w:bookmarkEnd w:id="102"/>
    <w:p>
      <w:pPr>
        <w:ind w:right="300"/>
        <w:spacing w:after="0" w:line="298" w:lineRule="auto"/>
        <w:rPr>
          <w:sz w:val="20"/>
          <w:szCs w:val="20"/>
          <w:color w:val="auto"/>
        </w:rPr>
      </w:pPr>
      <w:r>
        <w:rPr>
          <w:rFonts w:ascii="Times New Roman" w:cs="Times New Roman" w:eastAsia="Times New Roman" w:hAnsi="Times New Roman"/>
          <w:sz w:val="16"/>
          <w:szCs w:val="16"/>
          <w:color w:val="auto"/>
        </w:rPr>
        <w:t>meeting, who is entitled to vote at the meeting and who has delivered a timely written notice in proper form to our secretary, of the stockholder’s intention to bring such business before the meeting.</w:t>
      </w:r>
    </w:p>
    <w:p>
      <w:pPr>
        <w:spacing w:after="0" w:line="70" w:lineRule="exact"/>
        <w:rPr>
          <w:sz w:val="20"/>
          <w:szCs w:val="20"/>
          <w:color w:val="auto"/>
        </w:rPr>
      </w:pPr>
    </w:p>
    <w:p>
      <w:pPr>
        <w:ind w:right="200" w:firstLine="1033"/>
        <w:spacing w:after="0" w:line="298" w:lineRule="auto"/>
        <w:rPr>
          <w:sz w:val="20"/>
          <w:szCs w:val="20"/>
          <w:color w:val="auto"/>
        </w:rPr>
      </w:pPr>
      <w:r>
        <w:rPr>
          <w:rFonts w:ascii="Times New Roman" w:cs="Times New Roman" w:eastAsia="Times New Roman" w:hAnsi="Times New Roman"/>
          <w:sz w:val="16"/>
          <w:szCs w:val="16"/>
          <w:color w:val="auto"/>
        </w:rPr>
        <w:t>These provisions could have the effect of delaying until the next stockholder meeting any stockholder actions, even if they are favored by the holders of a majority of our outstanding voting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Amendment to Certificate of Incorporation and Bylaws</w:t>
      </w:r>
    </w:p>
    <w:p>
      <w:pPr>
        <w:spacing w:after="0" w:line="142" w:lineRule="exact"/>
        <w:rPr>
          <w:sz w:val="20"/>
          <w:szCs w:val="20"/>
          <w:color w:val="auto"/>
        </w:rPr>
      </w:pPr>
    </w:p>
    <w:p>
      <w:pPr>
        <w:ind w:firstLine="1033"/>
        <w:spacing w:after="0" w:line="281" w:lineRule="auto"/>
        <w:rPr>
          <w:sz w:val="20"/>
          <w:szCs w:val="20"/>
          <w:color w:val="auto"/>
        </w:rPr>
      </w:pPr>
      <w:r>
        <w:rPr>
          <w:rFonts w:ascii="Times New Roman" w:cs="Times New Roman" w:eastAsia="Times New Roman" w:hAnsi="Times New Roman"/>
          <w:sz w:val="16"/>
          <w:szCs w:val="16"/>
          <w:color w:val="auto"/>
        </w:rPr>
        <w:t>The DGCL provides generally that the affirmative vote of a majority of the outstanding stock entitled to vote on amendments to a corporation’s certificate of incorporation or bylaws is required to approve such amendment, unless a corporation’s certificate of incorporation or bylaws, as the case may be, requires a greater percentage.</w:t>
      </w:r>
    </w:p>
    <w:p>
      <w:pPr>
        <w:spacing w:after="0" w:line="83" w:lineRule="exact"/>
        <w:rPr>
          <w:sz w:val="20"/>
          <w:szCs w:val="20"/>
          <w:color w:val="auto"/>
        </w:rPr>
      </w:pPr>
    </w:p>
    <w:p>
      <w:pPr>
        <w:jc w:val="both"/>
        <w:ind w:right="120" w:firstLine="1033"/>
        <w:spacing w:after="0" w:line="281" w:lineRule="auto"/>
        <w:rPr>
          <w:sz w:val="20"/>
          <w:szCs w:val="20"/>
          <w:color w:val="auto"/>
        </w:rPr>
      </w:pPr>
      <w:r>
        <w:rPr>
          <w:rFonts w:ascii="Times New Roman" w:cs="Times New Roman" w:eastAsia="Times New Roman" w:hAnsi="Times New Roman"/>
          <w:sz w:val="16"/>
          <w:szCs w:val="16"/>
          <w:color w:val="auto"/>
        </w:rPr>
        <w:t>The Certificate of Incorporation provides that the following provisions therein may be amended, altered, repealed or rescinded only by the affirmative vote of the holders of at least 66-2/3% in voting power of all the then outstanding shares of the Company’s stock entitled to vote thereon and the affirmative vote of at least 66-2/3% of the outstanding shares of each class entitled to vote thereon as a class:</w:t>
      </w:r>
    </w:p>
    <w:p>
      <w:pPr>
        <w:spacing w:after="0" w:line="272" w:lineRule="exact"/>
        <w:rPr>
          <w:sz w:val="20"/>
          <w:szCs w:val="20"/>
          <w:color w:val="auto"/>
        </w:rPr>
      </w:pPr>
    </w:p>
    <w:p>
      <w:pPr>
        <w:ind w:left="1020" w:right="460" w:hanging="503"/>
        <w:spacing w:after="0" w:line="298" w:lineRule="auto"/>
        <w:tabs>
          <w:tab w:leader="none" w:pos="102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provisions regarding the size of the board and the election of directors pursuant to the Amended and Restated Registration and Shareholder Rights Agreement;</w:t>
      </w:r>
    </w:p>
    <w:p>
      <w:pPr>
        <w:spacing w:after="0" w:line="5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provisions regarding stockholder actions without a meeting;</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provisions regarding calling special meetings of stockholders;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provisions regarding removal of directors;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provisions regarding the limited liability of directors of the Company;</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provisions regarding competition and corporate opportunities; and</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provisions regarding the election not to be governed by Section 203 of the DGCL.</w:t>
      </w:r>
    </w:p>
    <w:p>
      <w:pPr>
        <w:spacing w:after="0" w:line="140" w:lineRule="exact"/>
        <w:rPr>
          <w:sz w:val="20"/>
          <w:szCs w:val="20"/>
          <w:color w:val="auto"/>
        </w:rPr>
      </w:pPr>
    </w:p>
    <w:p>
      <w:pPr>
        <w:ind w:right="20" w:firstLine="1033"/>
        <w:spacing w:after="0" w:line="269" w:lineRule="auto"/>
        <w:rPr>
          <w:sz w:val="20"/>
          <w:szCs w:val="20"/>
          <w:color w:val="auto"/>
        </w:rPr>
      </w:pPr>
      <w:r>
        <w:rPr>
          <w:rFonts w:ascii="Times New Roman" w:cs="Times New Roman" w:eastAsia="Times New Roman" w:hAnsi="Times New Roman"/>
          <w:sz w:val="16"/>
          <w:szCs w:val="16"/>
          <w:color w:val="auto"/>
        </w:rPr>
        <w:t>The Bylaws may be amended or repealed (A) by the affirmative vote of a majority of the entire board then in office, without the assent or vote of any stockholder (subject to any bylaw requiring the affirmative vote of a larger percentage of the members of the board) or (B) without the approval of the board, by the affirmative vote of the holders of a majority of the outstanding voting stock of the Company entitled to vote on such amendment or repeal, voting as a single class, except for the provisions regarding notice of stockholder business and nominations and special meetings of stockholders, which may be amended or repealed by the affirmative vote of the holders of at least 66-2/3% of the outstanding voting stock of the Company, voting as a single class, and the affirmative vote of the holders of at least 66-2/3% of each class of outstanding voting stock of the Company (provided that if the board recommends that stockholders approve such amendment or repeal at such meeting of stockholders, then such amendment or repeal only requires the affirmative vote of the majority of the outstanding shares of capital stock entitled to vote on such amendment or repeal, voting as a single class).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Delaware Anti-Takeover Statute</w:t>
      </w:r>
    </w:p>
    <w:p>
      <w:pPr>
        <w:spacing w:after="0" w:line="142" w:lineRule="exact"/>
        <w:rPr>
          <w:sz w:val="20"/>
          <w:szCs w:val="20"/>
          <w:color w:val="auto"/>
        </w:rPr>
      </w:pPr>
    </w:p>
    <w:p>
      <w:pPr>
        <w:jc w:val="both"/>
        <w:ind w:right="20" w:firstLine="1033"/>
        <w:spacing w:after="0" w:line="281" w:lineRule="auto"/>
        <w:rPr>
          <w:sz w:val="20"/>
          <w:szCs w:val="20"/>
          <w:color w:val="auto"/>
        </w:rPr>
      </w:pPr>
      <w:r>
        <w:rPr>
          <w:rFonts w:ascii="Times New Roman" w:cs="Times New Roman" w:eastAsia="Times New Roman" w:hAnsi="Times New Roman"/>
          <w:sz w:val="16"/>
          <w:szCs w:val="16"/>
          <w:color w:val="auto"/>
        </w:rPr>
        <w:t>Section 203 of the DGCL provides that if a person acquires 15% or more of the voting stock of a Delaware corporation, such person becomes an “interested stockholder” and may not engage in certain “business combinations” with the corporation for a period of three years from the time such person acquired 15% or more of the corporation’s voting stock, unless:</w:t>
      </w:r>
    </w:p>
    <w:p>
      <w:pPr>
        <w:spacing w:after="0" w:line="204" w:lineRule="exact"/>
        <w:rPr>
          <w:sz w:val="20"/>
          <w:szCs w:val="20"/>
          <w:color w:val="auto"/>
        </w:rPr>
      </w:pPr>
    </w:p>
    <w:p>
      <w:pPr>
        <w:ind w:left="1020" w:hanging="503"/>
        <w:spacing w:after="0"/>
        <w:tabs>
          <w:tab w:leader="none" w:pos="102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of directors approves the acquisition of stock or the merger transaction before the time that the person becomes an interested stockholder;</w:t>
      </w:r>
    </w:p>
    <w:p>
      <w:pPr>
        <w:spacing w:after="0" w:line="126" w:lineRule="exact"/>
        <w:rPr>
          <w:rFonts w:ascii="Times New Roman" w:cs="Times New Roman" w:eastAsia="Times New Roman" w:hAnsi="Times New Roman"/>
          <w:sz w:val="16"/>
          <w:szCs w:val="16"/>
          <w:color w:val="auto"/>
        </w:rPr>
      </w:pPr>
    </w:p>
    <w:p>
      <w:pPr>
        <w:ind w:left="1020" w:right="300" w:hanging="503"/>
        <w:spacing w:after="0" w:line="298" w:lineRule="auto"/>
        <w:tabs>
          <w:tab w:leader="none" w:pos="102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interested stockholder owns at least 85% of the outstanding voting stock of the corporation at the time the merger transaction commences (excluding voting stock owned by directors who are also officers and certain employee stock plans); or</w:t>
      </w:r>
    </w:p>
    <w:p>
      <w:pPr>
        <w:spacing w:after="0" w:line="56" w:lineRule="exact"/>
        <w:rPr>
          <w:rFonts w:ascii="Times New Roman" w:cs="Times New Roman" w:eastAsia="Times New Roman" w:hAnsi="Times New Roman"/>
          <w:sz w:val="16"/>
          <w:szCs w:val="16"/>
          <w:color w:val="auto"/>
        </w:rPr>
      </w:pPr>
    </w:p>
    <w:p>
      <w:pPr>
        <w:ind w:left="1020" w:hanging="503"/>
        <w:spacing w:after="0" w:line="281" w:lineRule="auto"/>
        <w:tabs>
          <w:tab w:leader="none" w:pos="102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merger transaction is approved by the board of directors and at a meeting of stockholders, not by written consent, by the affirmative vote of 2/3 of the outstanding voting stock which is not owned by the interested stockholder. A Delaware corporation may elect in its certificate of incorporation or bylaws not to be governed by this particular Delaware law.</w:t>
      </w:r>
    </w:p>
    <w:p>
      <w:pPr>
        <w:spacing w:after="0" w:line="83" w:lineRule="exact"/>
        <w:rPr>
          <w:sz w:val="20"/>
          <w:szCs w:val="20"/>
          <w:color w:val="auto"/>
        </w:rPr>
      </w:pPr>
    </w:p>
    <w:p>
      <w:pPr>
        <w:ind w:right="180" w:firstLine="1033"/>
        <w:spacing w:after="0" w:line="281" w:lineRule="auto"/>
        <w:rPr>
          <w:sz w:val="20"/>
          <w:szCs w:val="20"/>
          <w:color w:val="auto"/>
        </w:rPr>
      </w:pPr>
      <w:r>
        <w:rPr>
          <w:rFonts w:ascii="Times New Roman" w:cs="Times New Roman" w:eastAsia="Times New Roman" w:hAnsi="Times New Roman"/>
          <w:sz w:val="16"/>
          <w:szCs w:val="16"/>
          <w:color w:val="auto"/>
        </w:rPr>
        <w:t>Under the Certificate of Incorporation, the Company opted out of Section 203 of the DGCL and therefore is not subject to Section 203. However, the Certificate of Incorporation contains similar provisions providing that the Company may not engage in certain “business combinations” with any “interested stockholder” for a three-year period following the time that the stockholder became an interested stockholder, unless:</w:t>
      </w:r>
    </w:p>
    <w:p>
      <w:pPr>
        <w:spacing w:after="0" w:line="69" w:lineRule="exact"/>
        <w:rPr>
          <w:sz w:val="20"/>
          <w:szCs w:val="20"/>
          <w:color w:val="auto"/>
        </w:rPr>
      </w:pPr>
    </w:p>
    <w:p>
      <w:pPr>
        <w:ind w:left="1020" w:right="580" w:hanging="503"/>
        <w:spacing w:after="0" w:line="298" w:lineRule="auto"/>
        <w:tabs>
          <w:tab w:leader="none" w:pos="102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such time, our board of directors approved either the business combination or the transaction which resulted in the stockholder becoming an interested stockholder;</w:t>
      </w:r>
    </w:p>
    <w:p>
      <w:pPr>
        <w:spacing w:after="0" w:line="56" w:lineRule="exact"/>
        <w:rPr>
          <w:rFonts w:ascii="Times New Roman" w:cs="Times New Roman" w:eastAsia="Times New Roman" w:hAnsi="Times New Roman"/>
          <w:sz w:val="16"/>
          <w:szCs w:val="16"/>
          <w:color w:val="auto"/>
        </w:rPr>
      </w:pPr>
    </w:p>
    <w:p>
      <w:pPr>
        <w:ind w:left="1020" w:right="100" w:hanging="503"/>
        <w:spacing w:after="0" w:line="298" w:lineRule="auto"/>
        <w:tabs>
          <w:tab w:leader="none" w:pos="102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56" w:lineRule="exact"/>
        <w:rPr>
          <w:rFonts w:ascii="Times New Roman" w:cs="Times New Roman" w:eastAsia="Times New Roman" w:hAnsi="Times New Roman"/>
          <w:sz w:val="16"/>
          <w:szCs w:val="16"/>
          <w:color w:val="auto"/>
        </w:rPr>
      </w:pPr>
    </w:p>
    <w:p>
      <w:pPr>
        <w:ind w:left="1020" w:right="20" w:hanging="503"/>
        <w:spacing w:after="0" w:line="298" w:lineRule="auto"/>
        <w:tabs>
          <w:tab w:leader="none" w:pos="102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or subsequent to that time, the business combination is approved by our board of directors and by the affirmative vote of holders of at least 66-2/3% of the outstanding voting stock that is not owned by the interested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580390</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4" w:right="379" w:bottom="1440" w:gutter="0" w:footer="0" w:header="0"/>
        </w:sectPr>
      </w:pPr>
    </w:p>
    <w:bookmarkStart w:id="103" w:name="page104"/>
    <w:bookmarkEnd w:id="103"/>
    <w:p>
      <w:pPr>
        <w:ind w:right="220" w:firstLine="1033"/>
        <w:spacing w:after="0" w:line="281" w:lineRule="auto"/>
        <w:rPr>
          <w:sz w:val="20"/>
          <w:szCs w:val="20"/>
          <w:color w:val="auto"/>
        </w:rPr>
      </w:pPr>
      <w:r>
        <w:rPr>
          <w:rFonts w:ascii="Times New Roman" w:cs="Times New Roman" w:eastAsia="Times New Roman" w:hAnsi="Times New Roman"/>
          <w:sz w:val="16"/>
          <w:szCs w:val="16"/>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voting stock.</w:t>
      </w:r>
    </w:p>
    <w:p>
      <w:pPr>
        <w:spacing w:after="0" w:line="83" w:lineRule="exact"/>
        <w:rPr>
          <w:sz w:val="20"/>
          <w:szCs w:val="20"/>
          <w:color w:val="auto"/>
        </w:rPr>
      </w:pPr>
    </w:p>
    <w:p>
      <w:pPr>
        <w:ind w:right="200" w:firstLine="1033"/>
        <w:spacing w:after="0" w:line="272" w:lineRule="auto"/>
        <w:rPr>
          <w:sz w:val="20"/>
          <w:szCs w:val="20"/>
          <w:color w:val="auto"/>
        </w:rPr>
      </w:pPr>
      <w:r>
        <w:rPr>
          <w:rFonts w:ascii="Times New Roman" w:cs="Times New Roman" w:eastAsia="Times New Roman" w:hAnsi="Times New Roman"/>
          <w:sz w:val="16"/>
          <w:szCs w:val="16"/>
          <w:color w:val="auto"/>
        </w:rPr>
        <w:t>Under certain circumstances, this provision will make it more difficult for a person who would be an “interested stockholder” to effect various business combinations with a corporation for a three-year period. This provision may encourage companies interested in acquiring our company to negotiate in advance with our board of directors because the heightened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91" w:lineRule="exact"/>
        <w:rPr>
          <w:sz w:val="20"/>
          <w:szCs w:val="20"/>
          <w:color w:val="auto"/>
        </w:rPr>
      </w:pPr>
    </w:p>
    <w:p>
      <w:pPr>
        <w:ind w:right="20" w:firstLine="1033"/>
        <w:spacing w:after="0" w:line="275" w:lineRule="auto"/>
        <w:rPr>
          <w:sz w:val="20"/>
          <w:szCs w:val="20"/>
          <w:color w:val="auto"/>
        </w:rPr>
      </w:pPr>
      <w:r>
        <w:rPr>
          <w:rFonts w:ascii="Times New Roman" w:cs="Times New Roman" w:eastAsia="Times New Roman" w:hAnsi="Times New Roman"/>
          <w:sz w:val="16"/>
          <w:szCs w:val="16"/>
          <w:color w:val="auto"/>
        </w:rPr>
        <w:t>The Certificate of Incorporation provides that (1) any investment fund affiliated with or managed by Advent International Corporation or any of its affiliates, or any successor, transferee or affiliate thereof, or (2) any person whose ownership of shares in excess of the 15% limitation set forth therein is the result of any action taken solely by the Company (provided, that such person shall be an “interested stockholder” if thereafter such person acquires additional shares of voting stock of the Company, except as a result of further corporate actions not caused by such person) does not constitute “interested stockholders” for purposes of this provision.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Limitations on Liability and Indemnification of Officers and Directors</w:t>
      </w:r>
    </w:p>
    <w:p>
      <w:pPr>
        <w:spacing w:after="0" w:line="142" w:lineRule="exact"/>
        <w:rPr>
          <w:sz w:val="20"/>
          <w:szCs w:val="20"/>
          <w:color w:val="auto"/>
        </w:rPr>
      </w:pPr>
    </w:p>
    <w:p>
      <w:pPr>
        <w:ind w:right="20" w:firstLine="1033"/>
        <w:spacing w:after="0" w:line="267" w:lineRule="auto"/>
        <w:rPr>
          <w:sz w:val="20"/>
          <w:szCs w:val="20"/>
          <w:color w:val="auto"/>
        </w:rPr>
      </w:pPr>
      <w:r>
        <w:rPr>
          <w:rFonts w:ascii="Times New Roman" w:cs="Times New Roman" w:eastAsia="Times New Roman" w:hAnsi="Times New Roman"/>
          <w:sz w:val="16"/>
          <w:szCs w:val="16"/>
          <w:color w:val="auto"/>
        </w:rPr>
        <w:t>The Certificate of Incorporation limits the liability of the directors of the Company to the fullest extent permitted by law, and the Bylaws provide that we will indemnify them to the fullest extent permitted by such law. We have entered and expect to continue to enter into agreements to indemnify our directors, executive officers and other employees as determined by our board of directors. Under the terms of such indemnification agreements, we are required to indemnify each of our directors and officers, to the fullest extent permitted by the laws of the State of Delaware and the Certificated of Incorporation, if the basis of the indemnitee’s involvement was by reason of the fact that the indemnitee is or was a director or officer of the Company or any of its subsidiaries or was serving at the Company’s request in an official capacity for another entity. We must indemnify our officers and directors against all reasonable fees, expenses, charges and other costs of any type or nature whatsoever, including any and all expenses and obligations paid or incurred in connection with investigating, defending, being a witness in, participating in (including on appeal), or preparing to defend, be a witness or participate in any completed, actual, pending or threatened action, suit, claim or proceeding, whether civil, criminal, administrative or investigative, or establishing or enforcing a right to indemnification under the indemnification agreement. The indemnification agreements also require us, if so requested, to advance within ten (10) days of such request all reasonable fees, expenses, charges and other costs that any of our directors incurred, provided that such director will return any such advance if it is ultimately determined that such director is not entitled to indemnification by us. Any claims for indemnification by our directors and officers may reduce our available funds to satisfy successful third-party claims against us and may reduce the amount of money available to us.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Exclusive Forum of Certain Actions</w:t>
      </w:r>
    </w:p>
    <w:p>
      <w:pPr>
        <w:spacing w:after="0" w:line="142" w:lineRule="exact"/>
        <w:rPr>
          <w:sz w:val="20"/>
          <w:szCs w:val="20"/>
          <w:color w:val="auto"/>
        </w:rPr>
      </w:pPr>
    </w:p>
    <w:p>
      <w:pPr>
        <w:ind w:right="20" w:firstLine="1033"/>
        <w:spacing w:after="0" w:line="265" w:lineRule="auto"/>
        <w:rPr>
          <w:sz w:val="20"/>
          <w:szCs w:val="20"/>
          <w:color w:val="auto"/>
        </w:rPr>
      </w:pPr>
      <w:r>
        <w:rPr>
          <w:rFonts w:ascii="Times New Roman" w:cs="Times New Roman" w:eastAsia="Times New Roman" w:hAnsi="Times New Roman"/>
          <w:sz w:val="16"/>
          <w:szCs w:val="16"/>
          <w:color w:val="auto"/>
        </w:rPr>
        <w:t>The Certificate of Incorporation requires, to the fullest extent permitted by law, unless the Company consents in writing to the selection of an alternative forum, that derivative actions brought in the name of the Company, actions against current or former directors, officers, employees, agents or stockholders for breach of fiduciary duty, actions arising pursuant to any provision of the DGCL or the Certificate of Incorporation or the Bylaws, actions to interpret, apply, enforce or determine the validity of the Certificate of Incorporation or the Bylaws, actions asserting a claim against the Company or any current or former director, officer, employee, agent or stockholder arising pursuant to any provision of the DGCL or the Certificate of Incorporation or the Bylaws or as to which the DGCL confers jurisdiction on the Delaware Court of Chancery, and actions asserting a claim against the Company or any current or former director, officer, employee, agent or stockholder governed by the internal affairs doctrine of the law of the State of Delaware may be brought only in the Court of Chancery in the State of Delaware (or, if such court lacks subject matter jurisdiction, another state or federal court located within the State of Delaware); provided, however, that the foregoing shall not apply to any claim as to which such court determines that there is an indispensable party not subject to the jurisdiction of such court (and the indispensable party does not consent to the personal jurisdiction of such court within ten</w:t>
      </w:r>
    </w:p>
    <w:p>
      <w:pPr>
        <w:spacing w:after="0" w:line="2" w:lineRule="exact"/>
        <w:rPr>
          <w:sz w:val="20"/>
          <w:szCs w:val="20"/>
          <w:color w:val="auto"/>
        </w:rPr>
      </w:pPr>
    </w:p>
    <w:p>
      <w:pPr>
        <w:ind w:firstLine="8"/>
        <w:spacing w:after="0" w:line="270" w:lineRule="auto"/>
        <w:tabs>
          <w:tab w:leader="none" w:pos="31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days following such determination), which is vested in the exclusive jurisdiction of a court or forum other than such court, or for which such court does not have subject matter jurisdiction, or arising under the Securities Act, as to which the federal district courts of the United States of America shall, to the fullest extent permitted by law, be the sole and exclusive forum unless the Company consents in writing to the selection of an alternative forum. Although we believe this provision benefits the Company by providing increased consistency in the application of Delaware law in the types of lawsuits to which it applies, the provision may have the effect of discouraging lawsuits against our directors and officers.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Conflicts of Interest</w:t>
      </w:r>
    </w:p>
    <w:p>
      <w:pPr>
        <w:spacing w:after="0" w:line="142" w:lineRule="exact"/>
        <w:rPr>
          <w:sz w:val="20"/>
          <w:szCs w:val="20"/>
          <w:color w:val="auto"/>
        </w:rPr>
      </w:pPr>
    </w:p>
    <w:p>
      <w:pPr>
        <w:ind w:right="40" w:firstLine="1033"/>
        <w:spacing w:after="0" w:line="268" w:lineRule="auto"/>
        <w:rPr>
          <w:sz w:val="20"/>
          <w:szCs w:val="20"/>
          <w:color w:val="auto"/>
        </w:rPr>
      </w:pPr>
      <w:r>
        <w:rPr>
          <w:rFonts w:ascii="Times New Roman" w:cs="Times New Roman" w:eastAsia="Times New Roman" w:hAnsi="Times New Roman"/>
          <w:sz w:val="16"/>
          <w:szCs w:val="16"/>
          <w:color w:val="auto"/>
        </w:rPr>
        <w:t>Delaware law permits corporations to adopt provisions renouncing any interest or expectancy in certain opportunities that are presented to the corporation or its officers, directors or stockholders. The Certificate of Incorporation, to the fullest extent permitted by law, renounces any interest or expectancy that the Company has in, or right to be offered an opportunity to participate in, specified business opportunities that are from time to time presented to the Company’s directors or their respective affiliates, other than those directors or affiliates who are the Company’s employees. The Certificate of Incorporation provides that, to the fullest extent permitted by law, none of the non-employee directors or their respective affiliates will have any duty to refrain from (i) engaging in a corporate opportunity in the same or similar business activities or lines of business in which the Company or any of its affiliates has historically engaged, now engages or proposes to engage or (ii) otherwise competing with the Company or its affiliates. In addition, to the fullest extent permitted by law, in the event that any non-employee director or his or her affiliates acquires knowledge of a potential transaction or other business opportunity which may be a corporate opportunity for itself, herself or himself and for the Company or its affiliates, such person will have no duty to communicate or offer such transaction or business opportunity to the Company 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459105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04" w:name="page105"/>
    <w:bookmarkEnd w:id="104"/>
    <w:p>
      <w:pPr>
        <w:spacing w:after="0" w:line="275" w:lineRule="auto"/>
        <w:rPr>
          <w:sz w:val="20"/>
          <w:szCs w:val="20"/>
          <w:color w:val="auto"/>
        </w:rPr>
      </w:pPr>
      <w:r>
        <w:rPr>
          <w:rFonts w:ascii="Times New Roman" w:cs="Times New Roman" w:eastAsia="Times New Roman" w:hAnsi="Times New Roman"/>
          <w:sz w:val="16"/>
          <w:szCs w:val="16"/>
          <w:color w:val="auto"/>
        </w:rPr>
        <w:t>of its affiliates and they may take any such opportunity for themselves or offer it to another person or entity. To the fullest extent permitted by law, no business opportunity will be deemed to be a potential corporate opportunity for the Company unless the Company is financially or legally able or contractually permitted to undertake such opportunity, the opportunity, by its nature, would be in the line of the Company’s business or is of some practical advantage to the Company, and the Company has some interest or reasonable expectancy in such opportunity.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Transfer Agent</w:t>
      </w:r>
    </w:p>
    <w:p>
      <w:pPr>
        <w:spacing w:after="0" w:line="14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The transfer agent for the Company’s common stock is Continental Stock Transfer &amp; Trust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774" w:right="49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EMPLOYMENT AGREEMENT</w:t>
      </w:r>
    </w:p>
    <w:p>
      <w:pPr>
        <w:spacing w:after="0" w:line="126" w:lineRule="exact"/>
        <w:rPr>
          <w:sz w:val="20"/>
          <w:szCs w:val="20"/>
          <w:color w:val="auto"/>
        </w:rPr>
      </w:pPr>
    </w:p>
    <w:p>
      <w:pPr>
        <w:ind w:right="100" w:firstLine="509"/>
        <w:spacing w:after="0" w:line="281" w:lineRule="auto"/>
        <w:rPr>
          <w:sz w:val="20"/>
          <w:szCs w:val="20"/>
          <w:color w:val="auto"/>
        </w:rPr>
      </w:pPr>
      <w:r>
        <w:rPr>
          <w:rFonts w:ascii="Times New Roman" w:cs="Times New Roman" w:eastAsia="Times New Roman" w:hAnsi="Times New Roman"/>
          <w:sz w:val="16"/>
          <w:szCs w:val="16"/>
          <w:color w:val="auto"/>
        </w:rPr>
        <w:t>This Amended and Restated Employment Agreement (this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is made and entered into on April 27, 2017, with employment effective as of the Effective Date (as defined in Section 2), by and between Cypress Intermediate Holdings III, Inc., a Delaware corporation (together with any of its subsidiaries and affiliates as may employ Executive from time to time and any successor(s) thereto,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and Mary Jo Prigge (“</w:t>
      </w:r>
      <w:r>
        <w:rPr>
          <w:rFonts w:ascii="Times New Roman" w:cs="Times New Roman" w:eastAsia="Times New Roman" w:hAnsi="Times New Roman"/>
          <w:sz w:val="16"/>
          <w:szCs w:val="16"/>
          <w:u w:val="single" w:color="auto"/>
          <w:color w:val="auto"/>
        </w:rPr>
        <w:t>Executive</w:t>
      </w:r>
      <w:r>
        <w:rPr>
          <w:rFonts w:ascii="Times New Roman" w:cs="Times New Roman" w:eastAsia="Times New Roman" w:hAnsi="Times New Roman"/>
          <w:sz w:val="16"/>
          <w:szCs w:val="16"/>
          <w:color w:val="auto"/>
        </w:rPr>
        <w:t>”).</w:t>
      </w:r>
    </w:p>
    <w:p>
      <w:pPr>
        <w:spacing w:after="0" w:line="69" w:lineRule="exact"/>
        <w:rPr>
          <w:sz w:val="20"/>
          <w:szCs w:val="20"/>
          <w:color w:val="auto"/>
        </w:rPr>
      </w:pPr>
    </w:p>
    <w:p>
      <w:pPr>
        <w:ind w:right="340" w:firstLine="509"/>
        <w:spacing w:after="0" w:line="298" w:lineRule="auto"/>
        <w:rPr>
          <w:sz w:val="20"/>
          <w:szCs w:val="20"/>
          <w:color w:val="auto"/>
        </w:rPr>
      </w:pPr>
      <w:r>
        <w:rPr>
          <w:rFonts w:ascii="Times New Roman" w:cs="Times New Roman" w:eastAsia="Times New Roman" w:hAnsi="Times New Roman"/>
          <w:sz w:val="16"/>
          <w:szCs w:val="16"/>
          <w:color w:val="auto"/>
        </w:rPr>
        <w:t>WHEREAS, pursuant to that certain Employment Agreement, dated as of December 20, 2012 (the “</w:t>
      </w:r>
      <w:r>
        <w:rPr>
          <w:rFonts w:ascii="Times New Roman" w:cs="Times New Roman" w:eastAsia="Times New Roman" w:hAnsi="Times New Roman"/>
          <w:sz w:val="16"/>
          <w:szCs w:val="16"/>
          <w:u w:val="single" w:color="auto"/>
          <w:color w:val="auto"/>
        </w:rPr>
        <w:t>Prior Agreement</w:t>
      </w:r>
      <w:r>
        <w:rPr>
          <w:rFonts w:ascii="Times New Roman" w:cs="Times New Roman" w:eastAsia="Times New Roman" w:hAnsi="Times New Roman"/>
          <w:sz w:val="16"/>
          <w:szCs w:val="16"/>
          <w:color w:val="auto"/>
        </w:rPr>
        <w:t>”), by and between Jaguar Holdings, Inc., a Delaware corporation (“</w:t>
      </w:r>
      <w:r>
        <w:rPr>
          <w:rFonts w:ascii="Times New Roman" w:cs="Times New Roman" w:eastAsia="Times New Roman" w:hAnsi="Times New Roman"/>
          <w:sz w:val="16"/>
          <w:szCs w:val="16"/>
          <w:u w:val="single" w:color="auto"/>
          <w:color w:val="auto"/>
        </w:rPr>
        <w:t>Jaguar</w:t>
      </w:r>
      <w:r>
        <w:rPr>
          <w:rFonts w:ascii="Times New Roman" w:cs="Times New Roman" w:eastAsia="Times New Roman" w:hAnsi="Times New Roman"/>
          <w:sz w:val="16"/>
          <w:szCs w:val="16"/>
          <w:color w:val="auto"/>
        </w:rPr>
        <w:t>”), and Executive, Executive is employed as the President, Service Operations of CCC Information Services, Inc. (“</w:t>
      </w:r>
      <w:r>
        <w:rPr>
          <w:rFonts w:ascii="Times New Roman" w:cs="Times New Roman" w:eastAsia="Times New Roman" w:hAnsi="Times New Roman"/>
          <w:sz w:val="16"/>
          <w:szCs w:val="16"/>
          <w:u w:val="single" w:color="auto"/>
          <w:color w:val="auto"/>
        </w:rPr>
        <w:t>CCCIS</w:t>
      </w:r>
      <w:r>
        <w:rPr>
          <w:rFonts w:ascii="Times New Roman" w:cs="Times New Roman" w:eastAsia="Times New Roman" w:hAnsi="Times New Roman"/>
          <w:sz w:val="16"/>
          <w:szCs w:val="16"/>
          <w:color w:val="auto"/>
        </w:rPr>
        <w:t>”);</w:t>
      </w:r>
    </w:p>
    <w:p>
      <w:pPr>
        <w:spacing w:after="0" w:line="56" w:lineRule="exact"/>
        <w:rPr>
          <w:sz w:val="20"/>
          <w:szCs w:val="20"/>
          <w:color w:val="auto"/>
        </w:rPr>
      </w:pPr>
    </w:p>
    <w:p>
      <w:pPr>
        <w:ind w:right="20" w:firstLine="509"/>
        <w:spacing w:after="0" w:line="298" w:lineRule="auto"/>
        <w:rPr>
          <w:sz w:val="20"/>
          <w:szCs w:val="20"/>
          <w:color w:val="auto"/>
        </w:rPr>
      </w:pPr>
      <w:r>
        <w:rPr>
          <w:rFonts w:ascii="Times New Roman" w:cs="Times New Roman" w:eastAsia="Times New Roman" w:hAnsi="Times New Roman"/>
          <w:sz w:val="16"/>
          <w:szCs w:val="16"/>
          <w:color w:val="auto"/>
        </w:rPr>
        <w:t>WHEREAS, Cypress Holdings, Inc., a Delaware corporation (“</w:t>
      </w:r>
      <w:r>
        <w:rPr>
          <w:rFonts w:ascii="Times New Roman" w:cs="Times New Roman" w:eastAsia="Times New Roman" w:hAnsi="Times New Roman"/>
          <w:sz w:val="16"/>
          <w:szCs w:val="16"/>
          <w:u w:val="single" w:color="auto"/>
          <w:color w:val="auto"/>
        </w:rPr>
        <w:t>Cypress</w:t>
      </w:r>
      <w:r>
        <w:rPr>
          <w:rFonts w:ascii="Times New Roman" w:cs="Times New Roman" w:eastAsia="Times New Roman" w:hAnsi="Times New Roman"/>
          <w:sz w:val="16"/>
          <w:szCs w:val="16"/>
          <w:color w:val="auto"/>
        </w:rPr>
        <w:t>”), has entered into that certain Agreement and Plan of Merger, dated as of February 26, 2017 (the “</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by and among Cypress, Cypress Merger Sub, Inc., a Delaware corporation, and Jaguar, the parent of CCCIS;</w:t>
      </w:r>
    </w:p>
    <w:p>
      <w:pPr>
        <w:spacing w:after="0" w:line="56" w:lineRule="exact"/>
        <w:rPr>
          <w:sz w:val="20"/>
          <w:szCs w:val="20"/>
          <w:color w:val="auto"/>
        </w:rPr>
      </w:pPr>
    </w:p>
    <w:p>
      <w:pPr>
        <w:ind w:right="60" w:firstLine="509"/>
        <w:spacing w:after="0" w:line="298" w:lineRule="auto"/>
        <w:rPr>
          <w:sz w:val="20"/>
          <w:szCs w:val="20"/>
          <w:color w:val="auto"/>
        </w:rPr>
      </w:pPr>
      <w:r>
        <w:rPr>
          <w:rFonts w:ascii="Times New Roman" w:cs="Times New Roman" w:eastAsia="Times New Roman" w:hAnsi="Times New Roman"/>
          <w:sz w:val="16"/>
          <w:szCs w:val="16"/>
          <w:color w:val="auto"/>
        </w:rPr>
        <w:t>WHEREAS, as a material inducement to Cypress entering into the Merger Agreement and in order to provide Cypress with the full benefit of its investment in Jaguar, Executive has agreed to execute and deliver this Agreement on the terms set forth herein (including, without limitation, the restrictions set forth in Section 7 herein);</w:t>
      </w:r>
    </w:p>
    <w:p>
      <w:pPr>
        <w:spacing w:after="0" w:line="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WHEREAS, effective as of the Effective Date, the parties thereto desire to terminate the Prior Agreement;</w:t>
      </w:r>
    </w:p>
    <w:p>
      <w:pPr>
        <w:spacing w:after="0" w:line="127" w:lineRule="exact"/>
        <w:rPr>
          <w:sz w:val="20"/>
          <w:szCs w:val="20"/>
          <w:color w:val="auto"/>
        </w:rPr>
      </w:pPr>
    </w:p>
    <w:p>
      <w:pPr>
        <w:ind w:right="160" w:firstLine="509"/>
        <w:spacing w:after="0" w:line="298" w:lineRule="auto"/>
        <w:rPr>
          <w:sz w:val="20"/>
          <w:szCs w:val="20"/>
          <w:color w:val="auto"/>
        </w:rPr>
      </w:pPr>
      <w:r>
        <w:rPr>
          <w:rFonts w:ascii="Times New Roman" w:cs="Times New Roman" w:eastAsia="Times New Roman" w:hAnsi="Times New Roman"/>
          <w:sz w:val="16"/>
          <w:szCs w:val="16"/>
          <w:color w:val="auto"/>
        </w:rPr>
        <w:t>WHEREAS, the Company hereby agrees to employ Executive effective as of the Effective Date, and Executive hereby accepts such employment, on the terms and conditions hereinafter set forth.</w:t>
      </w:r>
    </w:p>
    <w:p>
      <w:pPr>
        <w:spacing w:after="0" w:line="56" w:lineRule="exact"/>
        <w:rPr>
          <w:sz w:val="20"/>
          <w:szCs w:val="20"/>
          <w:color w:val="auto"/>
        </w:rPr>
      </w:pPr>
    </w:p>
    <w:p>
      <w:pPr>
        <w:ind w:right="120" w:firstLine="509"/>
        <w:spacing w:after="0" w:line="298" w:lineRule="auto"/>
        <w:rPr>
          <w:sz w:val="20"/>
          <w:szCs w:val="20"/>
          <w:color w:val="auto"/>
        </w:rPr>
      </w:pPr>
      <w:r>
        <w:rPr>
          <w:rFonts w:ascii="Times New Roman" w:cs="Times New Roman" w:eastAsia="Times New Roman" w:hAnsi="Times New Roman"/>
          <w:sz w:val="16"/>
          <w:szCs w:val="16"/>
          <w:color w:val="auto"/>
        </w:rPr>
        <w:t>NOW, THEREFORE, in consideration of the foregoing, and for other good and valuable consideration, including the respective covenants and agreements set forth below, the parties hereto agree as follows:</w:t>
      </w:r>
    </w:p>
    <w:p>
      <w:pPr>
        <w:spacing w:after="0" w:line="56" w:lineRule="exact"/>
        <w:rPr>
          <w:sz w:val="20"/>
          <w:szCs w:val="20"/>
          <w:color w:val="auto"/>
        </w:rPr>
      </w:pPr>
    </w:p>
    <w:p>
      <w:pPr>
        <w:ind w:right="40" w:firstLine="517"/>
        <w:spacing w:after="0" w:line="269" w:lineRule="auto"/>
        <w:tabs>
          <w:tab w:leader="none" w:pos="792"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Position</w:t>
      </w:r>
      <w:r>
        <w:rPr>
          <w:rFonts w:ascii="Times New Roman" w:cs="Times New Roman" w:eastAsia="Times New Roman" w:hAnsi="Times New Roman"/>
          <w:sz w:val="16"/>
          <w:szCs w:val="16"/>
          <w:color w:val="auto"/>
        </w:rPr>
        <w:t xml:space="preserve">. During the Period of Employment (as defined below), Executive shall serve in the capacity indicated on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Executive shall perform the normal duties and responsibilities of such position and such other duties and responsibilities not inconsistent with such position as the Chief Executive Officer of the Company or his delegatee may assign to Executive from time to time. During the Period of Employment, Executive will (a) during normal business hours, devote Executive’s full time and exclusive attention to, and use Executive’s best efforts to advance, the business and welfare of the Company, and (b) not engage in any other employment activities for any direct or indirect remuneration without the concurrence of the Board of Directors of the Company (the “</w:t>
      </w:r>
      <w:r>
        <w:rPr>
          <w:rFonts w:ascii="Times New Roman" w:cs="Times New Roman" w:eastAsia="Times New Roman" w:hAnsi="Times New Roman"/>
          <w:sz w:val="16"/>
          <w:szCs w:val="16"/>
          <w:u w:val="single" w:color="auto"/>
          <w:color w:val="auto"/>
        </w:rPr>
        <w:t>Board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Executive may engage in charitable activities to the extent they are not inconsistent with Executive’s duties hereunder so long as Executive continues to spend substantially all of his time performing Executive’s duties hereunder.</w:t>
      </w:r>
    </w:p>
    <w:p>
      <w:pPr>
        <w:spacing w:after="0" w:line="81" w:lineRule="exact"/>
        <w:rPr>
          <w:rFonts w:ascii="Times New Roman" w:cs="Times New Roman" w:eastAsia="Times New Roman" w:hAnsi="Times New Roman"/>
          <w:sz w:val="16"/>
          <w:szCs w:val="16"/>
          <w:color w:val="auto"/>
        </w:rPr>
      </w:pPr>
    </w:p>
    <w:p>
      <w:pPr>
        <w:ind w:left="800" w:hanging="283"/>
        <w:spacing w:after="0"/>
        <w:tabs>
          <w:tab w:leader="none" w:pos="80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Period of Employment</w:t>
      </w:r>
      <w:r>
        <w:rPr>
          <w:rFonts w:ascii="Times New Roman" w:cs="Times New Roman" w:eastAsia="Times New Roman" w:hAnsi="Times New Roman"/>
          <w:sz w:val="16"/>
          <w:szCs w:val="16"/>
          <w:color w:val="auto"/>
        </w:rPr>
        <w:t>. Subject to earlier termination pursuant to Section 6, the period of Executive’s employment by the Company (the “</w:t>
      </w:r>
      <w:r>
        <w:rPr>
          <w:rFonts w:ascii="Times New Roman" w:cs="Times New Roman" w:eastAsia="Times New Roman" w:hAnsi="Times New Roman"/>
          <w:sz w:val="16"/>
          <w:szCs w:val="16"/>
          <w:u w:val="single" w:color="auto"/>
          <w:color w:val="auto"/>
        </w:rPr>
        <w:t>Period of</w:t>
      </w:r>
    </w:p>
    <w:p>
      <w:pPr>
        <w:spacing w:after="0" w:line="26" w:lineRule="exact"/>
        <w:rPr>
          <w:rFonts w:ascii="Times New Roman" w:cs="Times New Roman" w:eastAsia="Times New Roman" w:hAnsi="Times New Roman"/>
          <w:sz w:val="16"/>
          <w:szCs w:val="16"/>
          <w:color w:val="auto"/>
        </w:rPr>
      </w:pPr>
    </w:p>
    <w:p>
      <w:pPr>
        <w:ind w:right="120"/>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Employment</w:t>
      </w:r>
      <w:r>
        <w:rPr>
          <w:rFonts w:ascii="Times New Roman" w:cs="Times New Roman" w:eastAsia="Times New Roman" w:hAnsi="Times New Roman"/>
          <w:sz w:val="16"/>
          <w:szCs w:val="16"/>
          <w:color w:val="auto"/>
        </w:rPr>
        <w:t>”) shall be for three (3) years commencing on the date of the consummation of the transactions contemplated by the Merger Agreement (the “</w:t>
      </w:r>
      <w:r>
        <w:rPr>
          <w:rFonts w:ascii="Times New Roman" w:cs="Times New Roman" w:eastAsia="Times New Roman" w:hAnsi="Times New Roman"/>
          <w:sz w:val="16"/>
          <w:szCs w:val="16"/>
          <w:u w:val="single" w:color="auto"/>
          <w:color w:val="auto"/>
        </w:rPr>
        <w:t>Effective Date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thereafter the Period of Employment shall be automatically renewed for successive one (1) year periods on each anniversary of the Effective Date unless either party hereto gives the other party written notice no later than thirty (30) days prior to such anniversary of the Effective Date of its election not to so renew the Period of Employment for the additional one (1) year period. The Company’s election not to renew the initial Period of Employment or any subsequent Period of Employment shall constitute a termination of Executive’s employment without Cause for purposes of Section 6. For the avoidance of doubt, prior to the Effective Date, the terms and conditions of employment of the Executive shall continue to be governed by the Prior Agreement. In the event that the Merger Agreement is terminated for any reason, this Agreement shall be void </w:t>
      </w:r>
      <w:r>
        <w:rPr>
          <w:rFonts w:ascii="Times New Roman" w:cs="Times New Roman" w:eastAsia="Times New Roman" w:hAnsi="Times New Roman"/>
          <w:sz w:val="16"/>
          <w:szCs w:val="16"/>
          <w:i w:val="1"/>
          <w:iCs w:val="1"/>
          <w:color w:val="auto"/>
        </w:rPr>
        <w:t>ab initio.</w:t>
      </w:r>
    </w:p>
    <w:p>
      <w:pPr>
        <w:spacing w:after="0" w:line="79" w:lineRule="exact"/>
        <w:rPr>
          <w:rFonts w:ascii="Times New Roman" w:cs="Times New Roman" w:eastAsia="Times New Roman" w:hAnsi="Times New Roman"/>
          <w:sz w:val="16"/>
          <w:szCs w:val="16"/>
          <w:color w:val="auto"/>
        </w:rPr>
      </w:pPr>
    </w:p>
    <w:p>
      <w:pPr>
        <w:ind w:left="800" w:hanging="283"/>
        <w:spacing w:after="0"/>
        <w:tabs>
          <w:tab w:leader="none" w:pos="80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Compensation</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jc w:val="both"/>
        <w:ind w:firstLine="1146"/>
        <w:spacing w:after="0" w:line="281" w:lineRule="auto"/>
        <w:rPr>
          <w:sz w:val="20"/>
          <w:szCs w:val="20"/>
          <w:color w:val="auto"/>
        </w:rPr>
      </w:pPr>
      <w:r>
        <w:rPr>
          <w:rFonts w:ascii="Times New Roman" w:cs="Times New Roman" w:eastAsia="Times New Roman" w:hAnsi="Times New Roman"/>
          <w:sz w:val="16"/>
          <w:szCs w:val="16"/>
          <w:color w:val="auto"/>
        </w:rPr>
        <w:t xml:space="preserve">3.1 </w:t>
      </w:r>
      <w:r>
        <w:rPr>
          <w:rFonts w:ascii="Times New Roman" w:cs="Times New Roman" w:eastAsia="Times New Roman" w:hAnsi="Times New Roman"/>
          <w:sz w:val="16"/>
          <w:szCs w:val="16"/>
          <w:u w:val="single" w:color="auto"/>
          <w:color w:val="auto"/>
        </w:rPr>
        <w:t>Base Salary</w:t>
      </w:r>
      <w:r>
        <w:rPr>
          <w:rFonts w:ascii="Times New Roman" w:cs="Times New Roman" w:eastAsia="Times New Roman" w:hAnsi="Times New Roman"/>
          <w:sz w:val="16"/>
          <w:szCs w:val="16"/>
          <w:color w:val="auto"/>
        </w:rPr>
        <w:t xml:space="preserve">. During the Period of Employment, the Company shall pay Executive a per annum base salary as set forth in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(as adjusted from time to time by the Board in its sole discretion, the “</w:t>
      </w:r>
      <w:r>
        <w:rPr>
          <w:rFonts w:ascii="Times New Roman" w:cs="Times New Roman" w:eastAsia="Times New Roman" w:hAnsi="Times New Roman"/>
          <w:sz w:val="16"/>
          <w:szCs w:val="16"/>
          <w:u w:val="single" w:color="auto"/>
          <w:color w:val="auto"/>
        </w:rPr>
        <w:t>Base Salary</w:t>
      </w:r>
      <w:r>
        <w:rPr>
          <w:rFonts w:ascii="Times New Roman" w:cs="Times New Roman" w:eastAsia="Times New Roman" w:hAnsi="Times New Roman"/>
          <w:sz w:val="16"/>
          <w:szCs w:val="16"/>
          <w:color w:val="auto"/>
        </w:rPr>
        <w:t xml:space="preserve">”) payable in accordance with the standard policies of the Company. Executive’s Base Salary shall be subject to annual review by the Board;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the level of such Base Salary shall not be subject to reduction unless consented to in writing by Executive.</w:t>
      </w:r>
    </w:p>
    <w:p>
      <w:pPr>
        <w:spacing w:after="0" w:line="69" w:lineRule="exact"/>
        <w:rPr>
          <w:sz w:val="20"/>
          <w:szCs w:val="20"/>
          <w:color w:val="auto"/>
        </w:rPr>
      </w:pPr>
    </w:p>
    <w:p>
      <w:pPr>
        <w:ind w:right="80" w:firstLine="1146"/>
        <w:spacing w:after="0" w:line="281" w:lineRule="auto"/>
        <w:rPr>
          <w:sz w:val="20"/>
          <w:szCs w:val="20"/>
          <w:color w:val="auto"/>
        </w:rPr>
      </w:pPr>
      <w:r>
        <w:rPr>
          <w:rFonts w:ascii="Times New Roman" w:cs="Times New Roman" w:eastAsia="Times New Roman" w:hAnsi="Times New Roman"/>
          <w:sz w:val="16"/>
          <w:szCs w:val="16"/>
          <w:color w:val="auto"/>
        </w:rPr>
        <w:t xml:space="preserve">3.2 </w:t>
      </w:r>
      <w:r>
        <w:rPr>
          <w:rFonts w:ascii="Times New Roman" w:cs="Times New Roman" w:eastAsia="Times New Roman" w:hAnsi="Times New Roman"/>
          <w:sz w:val="16"/>
          <w:szCs w:val="16"/>
          <w:u w:val="single" w:color="auto"/>
          <w:color w:val="auto"/>
        </w:rPr>
        <w:t>Performance-Based Compensation</w:t>
      </w:r>
      <w:r>
        <w:rPr>
          <w:rFonts w:ascii="Times New Roman" w:cs="Times New Roman" w:eastAsia="Times New Roman" w:hAnsi="Times New Roman"/>
          <w:sz w:val="16"/>
          <w:szCs w:val="16"/>
          <w:color w:val="auto"/>
        </w:rPr>
        <w:t xml:space="preserve">. During the Period of Employment, Executive shall also be entitled to participate in an annual performance-based cash bonus program as set forth in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Executive’s annual performance-based cash bonus opportunity shall be subject to annual review by the Board;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the target level of such bonus, determined as a percentage of Base Salary, shall not be subject to reduction unless consented to in writing by Executive.</w:t>
      </w:r>
    </w:p>
    <w:p>
      <w:pPr>
        <w:spacing w:after="0" w:line="69" w:lineRule="exact"/>
        <w:rPr>
          <w:sz w:val="20"/>
          <w:szCs w:val="20"/>
          <w:color w:val="auto"/>
        </w:rPr>
      </w:pPr>
    </w:p>
    <w:p>
      <w:pPr>
        <w:ind w:right="200" w:firstLine="1146"/>
        <w:spacing w:after="0" w:line="281" w:lineRule="auto"/>
        <w:rPr>
          <w:sz w:val="20"/>
          <w:szCs w:val="20"/>
          <w:color w:val="auto"/>
        </w:rPr>
      </w:pPr>
      <w:r>
        <w:rPr>
          <w:rFonts w:ascii="Times New Roman" w:cs="Times New Roman" w:eastAsia="Times New Roman" w:hAnsi="Times New Roman"/>
          <w:sz w:val="16"/>
          <w:szCs w:val="16"/>
          <w:color w:val="auto"/>
        </w:rPr>
        <w:t xml:space="preserve">3.3 </w:t>
      </w:r>
      <w:r>
        <w:rPr>
          <w:rFonts w:ascii="Times New Roman" w:cs="Times New Roman" w:eastAsia="Times New Roman" w:hAnsi="Times New Roman"/>
          <w:sz w:val="16"/>
          <w:szCs w:val="16"/>
          <w:u w:val="single" w:color="auto"/>
          <w:color w:val="auto"/>
        </w:rPr>
        <w:t>Equity-Based Compensation</w:t>
      </w:r>
      <w:r>
        <w:rPr>
          <w:rFonts w:ascii="Times New Roman" w:cs="Times New Roman" w:eastAsia="Times New Roman" w:hAnsi="Times New Roman"/>
          <w:sz w:val="16"/>
          <w:szCs w:val="16"/>
          <w:color w:val="auto"/>
        </w:rPr>
        <w:t>. Executive shall be eligible to participate in the Company’s equity-based compensation plans or programs as may be adopted by the Company from time to time for its senior executives, at such level and in such amounts as may be determined by the Board in its sole discretion, subject to the terms and conditions of such equity-based plans and any applicable award agreements thereunder.</w:t>
      </w:r>
    </w:p>
    <w:p>
      <w:pPr>
        <w:spacing w:after="0" w:line="346" w:lineRule="exact"/>
        <w:rPr>
          <w:sz w:val="20"/>
          <w:szCs w:val="20"/>
          <w:color w:val="auto"/>
        </w:rPr>
      </w:pPr>
    </w:p>
    <w:p>
      <w:pPr>
        <w:spacing w:after="0"/>
        <w:rPr>
          <w:sz w:val="20"/>
          <w:szCs w:val="20"/>
          <w:color w:val="auto"/>
        </w:rPr>
      </w:pPr>
      <w:r>
        <w:rPr>
          <w:rFonts w:ascii="Calibri" w:cs="Calibri" w:eastAsia="Calibri" w:hAnsi="Calibri"/>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6" w:name="page107"/>
    <w:bookmarkEnd w:id="106"/>
    <w:p>
      <w:pPr>
        <w:spacing w:after="0" w:line="90" w:lineRule="exact"/>
        <w:rPr>
          <w:sz w:val="20"/>
          <w:szCs w:val="20"/>
          <w:color w:val="auto"/>
        </w:rPr>
      </w:pPr>
    </w:p>
    <w:p>
      <w:pPr>
        <w:ind w:right="600" w:firstLine="1146"/>
        <w:spacing w:after="0" w:line="298" w:lineRule="auto"/>
        <w:rPr>
          <w:sz w:val="20"/>
          <w:szCs w:val="20"/>
          <w:color w:val="auto"/>
        </w:rPr>
      </w:pPr>
      <w:r>
        <w:rPr>
          <w:rFonts w:ascii="Times New Roman" w:cs="Times New Roman" w:eastAsia="Times New Roman" w:hAnsi="Times New Roman"/>
          <w:sz w:val="16"/>
          <w:szCs w:val="16"/>
          <w:color w:val="auto"/>
        </w:rPr>
        <w:t xml:space="preserve">3.4 </w:t>
      </w:r>
      <w:r>
        <w:rPr>
          <w:rFonts w:ascii="Times New Roman" w:cs="Times New Roman" w:eastAsia="Times New Roman" w:hAnsi="Times New Roman"/>
          <w:sz w:val="16"/>
          <w:szCs w:val="16"/>
          <w:u w:val="single" w:color="auto"/>
          <w:color w:val="auto"/>
        </w:rPr>
        <w:t>Taxes</w:t>
      </w:r>
      <w:r>
        <w:rPr>
          <w:rFonts w:ascii="Times New Roman" w:cs="Times New Roman" w:eastAsia="Times New Roman" w:hAnsi="Times New Roman"/>
          <w:sz w:val="16"/>
          <w:szCs w:val="16"/>
          <w:color w:val="auto"/>
        </w:rPr>
        <w:t>. Federal, state, local and other applicable taxes shall be withheld on all cash and in-kind payments made by the Company to Executive pursuant to this Agreement in accordance with applicable tax laws and regulations.</w:t>
      </w:r>
    </w:p>
    <w:p>
      <w:pPr>
        <w:spacing w:after="0" w:line="56" w:lineRule="exact"/>
        <w:rPr>
          <w:sz w:val="20"/>
          <w:szCs w:val="20"/>
          <w:color w:val="auto"/>
        </w:rPr>
      </w:pPr>
    </w:p>
    <w:p>
      <w:pPr>
        <w:ind w:right="100" w:firstLine="517"/>
        <w:spacing w:after="0" w:line="275" w:lineRule="auto"/>
        <w:tabs>
          <w:tab w:leader="none" w:pos="792"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Benefits</w:t>
      </w:r>
      <w:r>
        <w:rPr>
          <w:rFonts w:ascii="Times New Roman" w:cs="Times New Roman" w:eastAsia="Times New Roman" w:hAnsi="Times New Roman"/>
          <w:sz w:val="16"/>
          <w:szCs w:val="16"/>
          <w:color w:val="auto"/>
        </w:rPr>
        <w:t xml:space="preserve">. During the Period of Employment, Executive shall be entitled to participate in benefit plans and programs maintained by the Company from time to time and generally made available to its senior executive officers;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(a) Executive’s right to participate in such plans and programs shall not affect the Company’s right to amend or terminate any such plan and program, and (b) Executive acknowledges that Executive shall have no vested rights under any such plan or program except as expressly provided under the terms thereof.</w:t>
      </w:r>
    </w:p>
    <w:p>
      <w:pPr>
        <w:spacing w:after="0" w:line="74" w:lineRule="exact"/>
        <w:rPr>
          <w:rFonts w:ascii="Times New Roman" w:cs="Times New Roman" w:eastAsia="Times New Roman" w:hAnsi="Times New Roman"/>
          <w:sz w:val="16"/>
          <w:szCs w:val="16"/>
          <w:color w:val="auto"/>
        </w:rPr>
      </w:pPr>
    </w:p>
    <w:p>
      <w:pPr>
        <w:ind w:right="140" w:firstLine="517"/>
        <w:spacing w:after="0" w:line="298" w:lineRule="auto"/>
        <w:tabs>
          <w:tab w:leader="none" w:pos="792"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Expenses</w:t>
      </w:r>
      <w:r>
        <w:rPr>
          <w:rFonts w:ascii="Times New Roman" w:cs="Times New Roman" w:eastAsia="Times New Roman" w:hAnsi="Times New Roman"/>
          <w:sz w:val="16"/>
          <w:szCs w:val="16"/>
          <w:color w:val="auto"/>
        </w:rPr>
        <w:t>. Upon presentation of acceptable substantiation therefor, the Company will pay or reimburse Executive for such reasonable travel, entertainment and other expenses as Executive may incur during the Period of Employment in connection with the performance of his duties hereunder.</w:t>
      </w:r>
    </w:p>
    <w:p>
      <w:pPr>
        <w:spacing w:after="0" w:line="56" w:lineRule="exact"/>
        <w:rPr>
          <w:rFonts w:ascii="Times New Roman" w:cs="Times New Roman" w:eastAsia="Times New Roman" w:hAnsi="Times New Roman"/>
          <w:sz w:val="16"/>
          <w:szCs w:val="16"/>
          <w:color w:val="auto"/>
        </w:rPr>
      </w:pPr>
    </w:p>
    <w:p>
      <w:pPr>
        <w:ind w:right="20" w:firstLine="517"/>
        <w:spacing w:after="0" w:line="275" w:lineRule="auto"/>
        <w:tabs>
          <w:tab w:leader="none" w:pos="792"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 of Employment</w:t>
      </w:r>
      <w:r>
        <w:rPr>
          <w:rFonts w:ascii="Times New Roman" w:cs="Times New Roman" w:eastAsia="Times New Roman" w:hAnsi="Times New Roman"/>
          <w:sz w:val="16"/>
          <w:szCs w:val="16"/>
          <w:color w:val="auto"/>
        </w:rPr>
        <w:t>. The parties hereto expressly agree that Executive’s employment may be terminated by either (i) the Company immediately upon written notice to Executive or (ii) Executive upon thirty (30) days’ advance written notice to the Company and that, upon any such termination, except as set forth in Section 6.2, Executive shall not be entitled to any payment in the nature of severance or otherwise (other than Base Salary, reimbursement of expenses incurred prior to termination and any other benefits earned and accrued through the date of such termination).</w:t>
      </w:r>
    </w:p>
    <w:p>
      <w:pPr>
        <w:spacing w:after="0" w:line="75" w:lineRule="exact"/>
        <w:rPr>
          <w:sz w:val="20"/>
          <w:szCs w:val="20"/>
          <w:color w:val="auto"/>
        </w:rPr>
      </w:pPr>
    </w:p>
    <w:p>
      <w:pPr>
        <w:ind w:right="140" w:firstLine="1146"/>
        <w:spacing w:after="0" w:line="281" w:lineRule="auto"/>
        <w:rPr>
          <w:sz w:val="20"/>
          <w:szCs w:val="20"/>
          <w:color w:val="auto"/>
        </w:rPr>
      </w:pPr>
      <w:r>
        <w:rPr>
          <w:rFonts w:ascii="Times New Roman" w:cs="Times New Roman" w:eastAsia="Times New Roman" w:hAnsi="Times New Roman"/>
          <w:sz w:val="16"/>
          <w:szCs w:val="16"/>
          <w:color w:val="auto"/>
        </w:rPr>
        <w:t xml:space="preserve">6.1 </w:t>
      </w:r>
      <w:r>
        <w:rPr>
          <w:rFonts w:ascii="Times New Roman" w:cs="Times New Roman" w:eastAsia="Times New Roman" w:hAnsi="Times New Roman"/>
          <w:sz w:val="16"/>
          <w:szCs w:val="16"/>
          <w:u w:val="single" w:color="auto"/>
          <w:color w:val="auto"/>
        </w:rPr>
        <w:t>Death or Disability</w:t>
      </w:r>
      <w:r>
        <w:rPr>
          <w:rFonts w:ascii="Times New Roman" w:cs="Times New Roman" w:eastAsia="Times New Roman" w:hAnsi="Times New Roman"/>
          <w:sz w:val="16"/>
          <w:szCs w:val="16"/>
          <w:color w:val="auto"/>
        </w:rPr>
        <w:t>. The employment of Executive and all rights to compensation under this Agreement shall terminate upon the death or Disability (as defined below) of Executive, except for such death or disability payments as may be payable under one or more benefit plans maintained at that time by the Company and applicable to Executive.</w:t>
      </w:r>
    </w:p>
    <w:p>
      <w:pPr>
        <w:spacing w:after="0" w:line="69" w:lineRule="exact"/>
        <w:rPr>
          <w:sz w:val="20"/>
          <w:szCs w:val="20"/>
          <w:color w:val="auto"/>
        </w:rPr>
      </w:pPr>
    </w:p>
    <w:p>
      <w:pPr>
        <w:ind w:right="40" w:firstLine="1146"/>
        <w:spacing w:after="0" w:line="272" w:lineRule="auto"/>
        <w:rPr>
          <w:sz w:val="20"/>
          <w:szCs w:val="20"/>
          <w:color w:val="auto"/>
        </w:rPr>
      </w:pPr>
      <w:r>
        <w:rPr>
          <w:rFonts w:ascii="Times New Roman" w:cs="Times New Roman" w:eastAsia="Times New Roman" w:hAnsi="Times New Roman"/>
          <w:sz w:val="16"/>
          <w:szCs w:val="16"/>
          <w:color w:val="auto"/>
        </w:rPr>
        <w:t>As used herein, “</w:t>
      </w:r>
      <w:r>
        <w:rPr>
          <w:rFonts w:ascii="Times New Roman" w:cs="Times New Roman" w:eastAsia="Times New Roman" w:hAnsi="Times New Roman"/>
          <w:sz w:val="16"/>
          <w:szCs w:val="16"/>
          <w:u w:val="single" w:color="auto"/>
          <w:color w:val="auto"/>
        </w:rPr>
        <w:t>Disability</w:t>
      </w:r>
      <w:r>
        <w:rPr>
          <w:rFonts w:ascii="Times New Roman" w:cs="Times New Roman" w:eastAsia="Times New Roman" w:hAnsi="Times New Roman"/>
          <w:sz w:val="16"/>
          <w:szCs w:val="16"/>
          <w:color w:val="auto"/>
        </w:rPr>
        <w:t>” means the Board has made a good faith determination that Executive has become physically or mentally incapacitated or disabled such that Executive is unable to perform for the Company substantially the same services as Executive performed prior to incurring such incapacity or disability, and such incapacity or disability exists for an aggregate of 120 calendar days in any twelve (12) month period. In connection with making such determination, the Company, at its option and expense, shall be entitled to select and retain a physician to confirm the existence of such incapacity or disability, and the determination made by such physician shall be binding on the parties for the purposes of this Agreement.</w:t>
      </w:r>
    </w:p>
    <w:p>
      <w:pPr>
        <w:spacing w:after="0" w:line="78" w:lineRule="exact"/>
        <w:rPr>
          <w:sz w:val="20"/>
          <w:szCs w:val="20"/>
          <w:color w:val="auto"/>
        </w:rPr>
      </w:pPr>
    </w:p>
    <w:p>
      <w:pPr>
        <w:ind w:right="360" w:firstLine="1146"/>
        <w:spacing w:after="0" w:line="269" w:lineRule="auto"/>
        <w:rPr>
          <w:sz w:val="20"/>
          <w:szCs w:val="20"/>
          <w:color w:val="auto"/>
        </w:rPr>
      </w:pPr>
      <w:r>
        <w:rPr>
          <w:rFonts w:ascii="Times New Roman" w:cs="Times New Roman" w:eastAsia="Times New Roman" w:hAnsi="Times New Roman"/>
          <w:sz w:val="16"/>
          <w:szCs w:val="16"/>
          <w:color w:val="auto"/>
        </w:rPr>
        <w:t xml:space="preserve">6.2 </w:t>
      </w:r>
      <w:r>
        <w:rPr>
          <w:rFonts w:ascii="Times New Roman" w:cs="Times New Roman" w:eastAsia="Times New Roman" w:hAnsi="Times New Roman"/>
          <w:sz w:val="16"/>
          <w:szCs w:val="16"/>
          <w:u w:val="single" w:color="auto"/>
          <w:color w:val="auto"/>
        </w:rPr>
        <w:t>Termination with Severance Obligation</w:t>
      </w:r>
      <w:r>
        <w:rPr>
          <w:rFonts w:ascii="Times New Roman" w:cs="Times New Roman" w:eastAsia="Times New Roman" w:hAnsi="Times New Roman"/>
          <w:sz w:val="16"/>
          <w:szCs w:val="16"/>
          <w:color w:val="auto"/>
        </w:rPr>
        <w:t>. Upon termination of Executive’s employment by the Company without Cause (as defined below) or by Executive for Good Reason (as defined below), subject to Executive’s execution and non-revocation of a Release (as defined in Section 6.3) in accordance with Section</w:t>
      </w:r>
    </w:p>
    <w:p>
      <w:pPr>
        <w:spacing w:after="0"/>
        <w:rPr>
          <w:sz w:val="20"/>
          <w:szCs w:val="20"/>
          <w:color w:val="auto"/>
        </w:rPr>
      </w:pPr>
      <w:r>
        <w:rPr>
          <w:rFonts w:ascii="Times New Roman" w:cs="Times New Roman" w:eastAsia="Times New Roman" w:hAnsi="Times New Roman"/>
          <w:sz w:val="16"/>
          <w:szCs w:val="16"/>
          <w:color w:val="auto"/>
        </w:rPr>
        <w:t>10.3, and for so long as Executive is in material compliance with the terms of this Agreement (including, without limitation, Section 7.1), Executive shall, subject to Section</w:t>
      </w:r>
    </w:p>
    <w:p>
      <w:pPr>
        <w:spacing w:after="0" w:line="1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6"/>
          <w:szCs w:val="16"/>
          <w:color w:val="auto"/>
        </w:rPr>
        <w:t xml:space="preserve">10.1, be entitled to receive from the Company (i) a monthly cash severance payment in an amount equal to the Monthly Severance Amount (as defined below) for a period of twelve (12) months from the date of termination, (ii) a lump sum cash payment in an amount equal to Executive’s salary, pro rata target bonus (determined without regard to the actual performance of the Company) and unused vacation (as determined in accordance with the Company’s policy in effect from time to time) accrued and unpaid through the date of termination, in each case, payable in accordance with the standard policies of the Company and (iii) a lump sum cash payment in an amount, if any, that Executive would have been entitled to receive pursuant to the annual performance-based cash bonus program set forth in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for the Company’s then current fiscal year had Executive’s employment terminated immediately after the bonus payment date for such fiscal year, in each case, payable in accordance with the standard policies of the Company;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in the case of clause (iii), such cash severance payment shall be payable only if, when and to the extent that Executive would have been paid pursuant to the annual performance-based cash bonus program set forth in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that any such amount shall be reduced, but not below zero, by the amount of the pro rata target bonus paid pursuant to Section 6.2(ii) above. Provided Executive elects to continue health coverage under COBRA following the date of termination, the Company will pay a portion of the premiums to continue Executive’s medical, vision and dental insurance for the period during which Executive is entitled to receive the Monthly Severance Amount, regardless of whether Executive is legally entitled to COBRA benefits during such period (the “</w:t>
      </w:r>
      <w:r>
        <w:rPr>
          <w:rFonts w:ascii="Times New Roman" w:cs="Times New Roman" w:eastAsia="Times New Roman" w:hAnsi="Times New Roman"/>
          <w:sz w:val="16"/>
          <w:szCs w:val="16"/>
          <w:u w:val="single" w:color="auto"/>
          <w:color w:val="auto"/>
        </w:rPr>
        <w:t>Health Benefits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Continuation</w:t>
      </w:r>
      <w:r>
        <w:rPr>
          <w:rFonts w:ascii="Times New Roman" w:cs="Times New Roman" w:eastAsia="Times New Roman" w:hAnsi="Times New Roman"/>
          <w:sz w:val="16"/>
          <w:szCs w:val="16"/>
          <w:color w:val="auto"/>
        </w:rPr>
        <w:t>”). During the period of Health Benefits Continuation, the Company shall pay a portion of each monthly premium equal to the portion of the monthly premium that it pays on behalf of active employees (or a cash severance payment to Executive equal to such monthly premium if such premium payments would result in excise taxes or penalties to either Executive or the Company), and Executive shall be responsible for any remaining portion of such premium. In the event that Executive does not pay Executive’s monthly premium, the Health Benefits Continuation shall cease.</w:t>
      </w:r>
    </w:p>
    <w:p>
      <w:pPr>
        <w:spacing w:after="0" w:line="90" w:lineRule="exact"/>
        <w:rPr>
          <w:sz w:val="20"/>
          <w:szCs w:val="20"/>
          <w:color w:val="auto"/>
        </w:rPr>
      </w:pPr>
    </w:p>
    <w:p>
      <w:pPr>
        <w:ind w:right="140" w:firstLine="1146"/>
        <w:spacing w:after="0" w:line="251" w:lineRule="auto"/>
        <w:rPr>
          <w:sz w:val="20"/>
          <w:szCs w:val="20"/>
          <w:color w:val="auto"/>
        </w:rPr>
      </w:pPr>
      <w:r>
        <w:rPr>
          <w:rFonts w:ascii="Times New Roman" w:cs="Times New Roman" w:eastAsia="Times New Roman" w:hAnsi="Times New Roman"/>
          <w:sz w:val="16"/>
          <w:szCs w:val="16"/>
          <w:color w:val="auto"/>
        </w:rPr>
        <w:t xml:space="preserve">As used herein,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u w:val="single" w:color="auto"/>
          <w:color w:val="auto"/>
        </w:rPr>
        <w:t>Cause</w:t>
      </w:r>
      <w:r>
        <w:rPr>
          <w:rFonts w:ascii="Times New Roman" w:cs="Times New Roman" w:eastAsia="Times New Roman" w:hAnsi="Times New Roman"/>
          <w:sz w:val="16"/>
          <w:szCs w:val="16"/>
          <w:color w:val="auto"/>
        </w:rPr>
        <w:t xml:space="preserve">” means that Executive (i) has been convicted of a felony, or has entered a plea of guilty or </w:t>
      </w:r>
      <w:r>
        <w:rPr>
          <w:rFonts w:ascii="Times New Roman" w:cs="Times New Roman" w:eastAsia="Times New Roman" w:hAnsi="Times New Roman"/>
          <w:sz w:val="16"/>
          <w:szCs w:val="16"/>
          <w:u w:val="single" w:color="auto"/>
          <w:color w:val="auto"/>
        </w:rPr>
        <w:t>nolo contendere</w:t>
      </w:r>
      <w:r>
        <w:rPr>
          <w:rFonts w:ascii="Times New Roman" w:cs="Times New Roman" w:eastAsia="Times New Roman" w:hAnsi="Times New Roman"/>
          <w:sz w:val="16"/>
          <w:szCs w:val="16"/>
          <w:color w:val="auto"/>
        </w:rPr>
        <w:t xml:space="preserve"> to a felony, (ii) has committed an act of fraud involving dishonesty which is injurious to the Company or any of its subsidiaries, (iii) has willfully and continually refused to perform his duties with the Company or any of its subsidiaries or (iv) has engaged in misconduct that is materially injurious to the Company or any of its subsidiaries.</w:t>
      </w:r>
    </w:p>
    <w:p>
      <w:pPr>
        <w:spacing w:after="0" w:line="92" w:lineRule="exact"/>
        <w:rPr>
          <w:sz w:val="20"/>
          <w:szCs w:val="20"/>
          <w:color w:val="auto"/>
        </w:rPr>
      </w:pPr>
    </w:p>
    <w:p>
      <w:pPr>
        <w:ind w:right="40" w:firstLine="1146"/>
        <w:spacing w:after="0" w:line="255" w:lineRule="auto"/>
        <w:rPr>
          <w:sz w:val="20"/>
          <w:szCs w:val="20"/>
          <w:color w:val="auto"/>
        </w:rPr>
      </w:pPr>
      <w:r>
        <w:rPr>
          <w:rFonts w:ascii="Times New Roman" w:cs="Times New Roman" w:eastAsia="Times New Roman" w:hAnsi="Times New Roman"/>
          <w:sz w:val="16"/>
          <w:szCs w:val="16"/>
          <w:color w:val="auto"/>
        </w:rPr>
        <w:t xml:space="preserve">As used herein,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u w:val="single" w:color="auto"/>
          <w:color w:val="auto"/>
        </w:rPr>
        <w:t>Good Reason</w:t>
      </w:r>
      <w:r>
        <w:rPr>
          <w:rFonts w:ascii="Times New Roman" w:cs="Times New Roman" w:eastAsia="Times New Roman" w:hAnsi="Times New Roman"/>
          <w:sz w:val="16"/>
          <w:szCs w:val="16"/>
          <w:color w:val="auto"/>
        </w:rPr>
        <w:t>” means Executive’s voluntary resignation within ninety (90) days following the initial existence of one or more of the following conditions: (i) a change in Executive’s position or the assignment to Executive of duties constituting a material diminution in Executive’s position, duties or responsibilities compared with Executive’s position, duties or responsibilities with the Company on the Effective Date or (ii) a material reduction of Executive’s Base Salary as in effect from time to time. In the event that any change in Executive’s position, duties or responsibilities is implemented or</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9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proposed to be implemented by the Company, then: (A) unless Executive provides written notice to the Board within thirty (30) days of being notified of such change or proposed change that Executive asserts that such change constitutes a “material diminution” for purposes of clause (i) of the definition of Good Reason, such change shall be deemed not to be such a “material diminution” and thereafter Executive’s position, duties and responsibilities shall be as so changed; and (B) in the event that Executive provides such notice in a timely manner and, within thirty (30) days thereafter, the Company, in its sole discretion, rescinds or alters such change, then for purposes of such clause (i) of the definition of Good Reason the original change shall be disregarded (except to any extent so altered). Nothing in this Section 6.2 shall limit the Company’s right to contest any assertion that Executive may make with respect to any such change.</w:t>
      </w:r>
    </w:p>
    <w:p>
      <w:pPr>
        <w:spacing w:after="0" w:line="7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As used herein, “</w:t>
      </w:r>
      <w:r>
        <w:rPr>
          <w:rFonts w:ascii="Times New Roman" w:cs="Times New Roman" w:eastAsia="Times New Roman" w:hAnsi="Times New Roman"/>
          <w:sz w:val="16"/>
          <w:szCs w:val="16"/>
          <w:u w:val="single" w:color="auto"/>
          <w:color w:val="auto"/>
        </w:rPr>
        <w:t>Monthly Severance Amount</w:t>
      </w:r>
      <w:r>
        <w:rPr>
          <w:rFonts w:ascii="Times New Roman" w:cs="Times New Roman" w:eastAsia="Times New Roman" w:hAnsi="Times New Roman"/>
          <w:sz w:val="16"/>
          <w:szCs w:val="16"/>
          <w:color w:val="auto"/>
        </w:rPr>
        <w:t xml:space="preserve">” means an amount equal to the quotient of (i) the Base Salary as of the date of termination </w:t>
      </w:r>
      <w:r>
        <w:rPr>
          <w:rFonts w:ascii="Times New Roman" w:cs="Times New Roman" w:eastAsia="Times New Roman" w:hAnsi="Times New Roman"/>
          <w:sz w:val="16"/>
          <w:szCs w:val="16"/>
          <w:u w:val="single" w:color="auto"/>
          <w:color w:val="auto"/>
        </w:rPr>
        <w:t>divided by</w:t>
      </w:r>
      <w:r>
        <w:rPr>
          <w:rFonts w:ascii="Times New Roman" w:cs="Times New Roman" w:eastAsia="Times New Roman" w:hAnsi="Times New Roman"/>
          <w:sz w:val="16"/>
          <w:szCs w:val="16"/>
          <w:color w:val="auto"/>
        </w:rPr>
        <w:t xml:space="preserve"> (ii) 12.</w:t>
      </w:r>
    </w:p>
    <w:p>
      <w:pPr>
        <w:spacing w:after="0" w:line="127" w:lineRule="exact"/>
        <w:rPr>
          <w:sz w:val="20"/>
          <w:szCs w:val="20"/>
          <w:color w:val="auto"/>
        </w:rPr>
      </w:pPr>
    </w:p>
    <w:p>
      <w:pPr>
        <w:ind w:right="80" w:firstLine="1146"/>
        <w:spacing w:after="0" w:line="269" w:lineRule="auto"/>
        <w:rPr>
          <w:sz w:val="20"/>
          <w:szCs w:val="20"/>
          <w:color w:val="auto"/>
        </w:rPr>
      </w:pPr>
      <w:r>
        <w:rPr>
          <w:rFonts w:ascii="Times New Roman" w:cs="Times New Roman" w:eastAsia="Times New Roman" w:hAnsi="Times New Roman"/>
          <w:sz w:val="16"/>
          <w:szCs w:val="16"/>
          <w:color w:val="auto"/>
        </w:rPr>
        <w:t xml:space="preserve">6.3 </w:t>
      </w:r>
      <w:r>
        <w:rPr>
          <w:rFonts w:ascii="Times New Roman" w:cs="Times New Roman" w:eastAsia="Times New Roman" w:hAnsi="Times New Roman"/>
          <w:sz w:val="16"/>
          <w:szCs w:val="16"/>
          <w:u w:val="single" w:color="auto"/>
          <w:color w:val="auto"/>
        </w:rPr>
        <w:t>Release</w:t>
      </w:r>
      <w:r>
        <w:rPr>
          <w:rFonts w:ascii="Times New Roman" w:cs="Times New Roman" w:eastAsia="Times New Roman" w:hAnsi="Times New Roman"/>
          <w:sz w:val="16"/>
          <w:szCs w:val="16"/>
          <w:color w:val="auto"/>
        </w:rPr>
        <w:t>. At the time of termination of Executive’s employment, Executive agrees to execute a general release in a form provided by the Company (a “</w:t>
      </w:r>
      <w:r>
        <w:rPr>
          <w:rFonts w:ascii="Times New Roman" w:cs="Times New Roman" w:eastAsia="Times New Roman" w:hAnsi="Times New Roman"/>
          <w:sz w:val="16"/>
          <w:szCs w:val="16"/>
          <w:u w:val="single" w:color="auto"/>
          <w:color w:val="auto"/>
        </w:rPr>
        <w:t>Release</w:t>
      </w:r>
      <w:r>
        <w:rPr>
          <w:rFonts w:ascii="Times New Roman" w:cs="Times New Roman" w:eastAsia="Times New Roman" w:hAnsi="Times New Roman"/>
          <w:sz w:val="16"/>
          <w:szCs w:val="16"/>
          <w:color w:val="auto"/>
        </w:rPr>
        <w:t>”) whereby Executive will release, relinquish and forever discharge the Company and each of its parents and subsidiaries and any director, officer, employee, shareholder, controlling person or agent of the Company and each parent and subsidiary from any and all claims, damages, losses, costs, expenses, liabilities or obligations, whether known or unknown (other than any rights Executive may have pursuant to (i) any indemnification arrangement of the Company with respect to Executive, (ii) any employee benefit plan or program covering Executive on a post termination basis in accordance with its terms and the terms of this Agreement, (iii) any stock purchase or stock option plan or agreement to which the Company and Executive are parties or (iv) Executive’s capacity as a stockholder of the Company), which Executive has incurred or suffered or may incur or suffer as a result of Executive’s employment by the Company or the termination of such employment.</w:t>
      </w:r>
    </w:p>
    <w:p>
      <w:pPr>
        <w:spacing w:after="0" w:line="82" w:lineRule="exact"/>
        <w:rPr>
          <w:sz w:val="20"/>
          <w:szCs w:val="20"/>
          <w:color w:val="auto"/>
        </w:rPr>
      </w:pPr>
    </w:p>
    <w:p>
      <w:pPr>
        <w:ind w:left="1160" w:right="3360" w:hanging="643"/>
        <w:spacing w:after="0" w:line="405" w:lineRule="auto"/>
        <w:tabs>
          <w:tab w:leader="none" w:pos="807"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Non-Competition; Non-Disclosure of Proprietary Information, Surrender of Records; Inventions and Patents</w:t>
      </w:r>
      <w:r>
        <w:rPr>
          <w:rFonts w:ascii="Times New Roman" w:cs="Times New Roman" w:eastAsia="Times New Roman" w:hAnsi="Times New Roman"/>
          <w:sz w:val="16"/>
          <w:szCs w:val="16"/>
          <w:color w:val="auto"/>
        </w:rPr>
        <w:t xml:space="preserve">. 7.1 </w:t>
      </w:r>
      <w:r>
        <w:rPr>
          <w:rFonts w:ascii="Times New Roman" w:cs="Times New Roman" w:eastAsia="Times New Roman" w:hAnsi="Times New Roman"/>
          <w:sz w:val="16"/>
          <w:szCs w:val="16"/>
          <w:u w:val="single" w:color="auto"/>
          <w:color w:val="auto"/>
        </w:rPr>
        <w:t>Non-Competition</w:t>
      </w:r>
      <w:r>
        <w:rPr>
          <w:rFonts w:ascii="Times New Roman" w:cs="Times New Roman" w:eastAsia="Times New Roman" w:hAnsi="Times New Roman"/>
          <w:sz w:val="16"/>
          <w:szCs w:val="16"/>
          <w:color w:val="auto"/>
        </w:rPr>
        <w:t>.</w:t>
      </w:r>
    </w:p>
    <w:p>
      <w:pPr>
        <w:ind w:right="20" w:firstLine="1154"/>
        <w:spacing w:after="0" w:line="269" w:lineRule="auto"/>
        <w:tabs>
          <w:tab w:leader="none" w:pos="1487" w:val="left"/>
        </w:tabs>
        <w:numPr>
          <w:ilvl w:val="1"/>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Executive acknowledges that in the course of Executive’s employment with the Company Executive will become familiar with trade secrets and other confidential information of the Company and that Executive’s services will be of special, unique and extraordinary value to the Company. Therefore, Executive agrees that, during the Period of Employment and for twelve (12) months thereafter (the “</w:t>
      </w:r>
      <w:r>
        <w:rPr>
          <w:rFonts w:ascii="Times New Roman" w:cs="Times New Roman" w:eastAsia="Times New Roman" w:hAnsi="Times New Roman"/>
          <w:sz w:val="16"/>
          <w:szCs w:val="16"/>
          <w:u w:val="single" w:color="auto"/>
          <w:color w:val="auto"/>
        </w:rPr>
        <w:t>Noncompete Period</w:t>
      </w:r>
      <w:r>
        <w:rPr>
          <w:rFonts w:ascii="Times New Roman" w:cs="Times New Roman" w:eastAsia="Times New Roman" w:hAnsi="Times New Roman"/>
          <w:sz w:val="16"/>
          <w:szCs w:val="16"/>
          <w:color w:val="auto"/>
        </w:rPr>
        <w:t>”), Executive shall not directly or indirectly own, manage, control, participate in, consult with, render services for, or in any manner engage in any business competing with any business of the Company within the United States and any other geographical area in which the Company then engages in business or engaged in business at any time during Executive’s employment with the Company. Nothing herein shall prohibit Executive from being a passive owner of not more than two percent (2%) of the outstanding stock of any class of a corporation which is publicly traded so long as Executive has no direct or indirect active participation in the business of such corporation.</w:t>
      </w:r>
    </w:p>
    <w:p>
      <w:pPr>
        <w:spacing w:after="0" w:line="81" w:lineRule="exact"/>
        <w:rPr>
          <w:rFonts w:ascii="Times New Roman" w:cs="Times New Roman" w:eastAsia="Times New Roman" w:hAnsi="Times New Roman"/>
          <w:sz w:val="16"/>
          <w:szCs w:val="16"/>
          <w:color w:val="auto"/>
        </w:rPr>
      </w:pPr>
    </w:p>
    <w:p>
      <w:pPr>
        <w:ind w:firstLine="1154"/>
        <w:spacing w:after="0" w:line="272" w:lineRule="auto"/>
        <w:tabs>
          <w:tab w:leader="none" w:pos="1496" w:val="left"/>
        </w:tabs>
        <w:numPr>
          <w:ilvl w:val="1"/>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Noncompete Period, Executive shall not directly or indirectly (i) induce or attempt to induce any employee of the Company to terminate such employment, or in any way interfere with the employee relationship between the Company and any such employee, (ii) hire any person who is, or at any time during the 18-month period immediately prior to the date of Executive’s termination of employment was, an employee of the Company or (iii) induce or attempt to induce any person having a business relationship with the Company to cease doing business with the Company or interfere materially with the relationship between any such person and the Company.</w:t>
      </w:r>
    </w:p>
    <w:p>
      <w:pPr>
        <w:spacing w:after="0" w:line="78" w:lineRule="exact"/>
        <w:rPr>
          <w:sz w:val="20"/>
          <w:szCs w:val="20"/>
          <w:color w:val="auto"/>
        </w:rPr>
      </w:pPr>
    </w:p>
    <w:p>
      <w:pPr>
        <w:ind w:right="40" w:firstLine="1146"/>
        <w:spacing w:after="0" w:line="267" w:lineRule="auto"/>
        <w:rPr>
          <w:sz w:val="20"/>
          <w:szCs w:val="20"/>
          <w:color w:val="auto"/>
        </w:rPr>
      </w:pPr>
      <w:r>
        <w:rPr>
          <w:rFonts w:ascii="Times New Roman" w:cs="Times New Roman" w:eastAsia="Times New Roman" w:hAnsi="Times New Roman"/>
          <w:sz w:val="16"/>
          <w:szCs w:val="16"/>
          <w:color w:val="auto"/>
        </w:rPr>
        <w:t xml:space="preserve">7.2 </w:t>
      </w:r>
      <w:r>
        <w:rPr>
          <w:rFonts w:ascii="Times New Roman" w:cs="Times New Roman" w:eastAsia="Times New Roman" w:hAnsi="Times New Roman"/>
          <w:sz w:val="16"/>
          <w:szCs w:val="16"/>
          <w:u w:val="single" w:color="auto"/>
          <w:color w:val="auto"/>
        </w:rPr>
        <w:t>Proprietary Information</w:t>
      </w:r>
      <w:r>
        <w:rPr>
          <w:rFonts w:ascii="Times New Roman" w:cs="Times New Roman" w:eastAsia="Times New Roman" w:hAnsi="Times New Roman"/>
          <w:sz w:val="16"/>
          <w:szCs w:val="16"/>
          <w:color w:val="auto"/>
        </w:rPr>
        <w:t>. Executive agrees that Executive shall not use for Executive’s own purpose or for the benefit of any person or entity other than the Company or its shareholders or affiliates, nor shall Executive otherwise disclose to any individual or entity at any time while Executive is employed by the Company or thereafter any proprietary information of the Company unless such disclosure (a) has been authorized by the Board, (b) is reasonably required within the course and scope of Executive’s employment hereunder or (c) is required by law, a court of competent jurisdiction or a governmental or regulatory agency. For purposes of this Agreement, “proprietary information” shall mean: (i) the name or address of any customer, supplier or affiliate of the Company or any information concerning the transactions or relations of any customer, supplier or affiliate of the Company or any of its shareholders; (ii) any information concerning any product, service, technology or procedure offered or used by the Company, or under development by or being considered for use by the Company; (iii) any information relating to marketing or pricing plans or methods, capital structure, or any business or strategic plans of the Company, (iv) any inventions, innovations, trade secrets or other items covered by Section 7.4; and (v) any other information which the Board has determined by resolution and communicated to Executive in writing to be proprietary information for purposes hereof However, proprietary information shall not include any information that is or becomes generally known to the public other than through actions of Executive in violation of Sections 7.1, 7.2 or 7.3.</w:t>
      </w:r>
    </w:p>
    <w:p>
      <w:pPr>
        <w:spacing w:after="0" w:line="289" w:lineRule="exact"/>
        <w:rPr>
          <w:sz w:val="20"/>
          <w:szCs w:val="20"/>
          <w:color w:val="auto"/>
        </w:rPr>
      </w:pPr>
    </w:p>
    <w:p>
      <w:pPr>
        <w:ind w:right="40" w:firstLine="1146"/>
        <w:spacing w:after="0" w:line="281" w:lineRule="auto"/>
        <w:rPr>
          <w:sz w:val="20"/>
          <w:szCs w:val="20"/>
          <w:color w:val="auto"/>
        </w:rPr>
      </w:pPr>
      <w:r>
        <w:rPr>
          <w:rFonts w:ascii="Times New Roman" w:cs="Times New Roman" w:eastAsia="Times New Roman" w:hAnsi="Times New Roman"/>
          <w:sz w:val="16"/>
          <w:szCs w:val="16"/>
          <w:color w:val="auto"/>
        </w:rPr>
        <w:t xml:space="preserve">7.3 </w:t>
      </w:r>
      <w:r>
        <w:rPr>
          <w:rFonts w:ascii="Times New Roman" w:cs="Times New Roman" w:eastAsia="Times New Roman" w:hAnsi="Times New Roman"/>
          <w:sz w:val="16"/>
          <w:szCs w:val="16"/>
          <w:u w:val="single" w:color="auto"/>
          <w:color w:val="auto"/>
        </w:rPr>
        <w:t>Surrender of Records</w:t>
      </w:r>
      <w:r>
        <w:rPr>
          <w:rFonts w:ascii="Times New Roman" w:cs="Times New Roman" w:eastAsia="Times New Roman" w:hAnsi="Times New Roman"/>
          <w:sz w:val="16"/>
          <w:szCs w:val="16"/>
          <w:color w:val="auto"/>
        </w:rPr>
        <w:t>. Executive agrees that Executive shall not retain and shall promptly surrender to the Company all correspondence, memoranda, files, manuals, financial, operating or marketing records, magnetic tape, or electronic or other media of any kind which may be in Executive’s possession or under Executive’s control or accessible to Executive which contain any proprietary information as defined in Section 7.2.</w:t>
      </w:r>
    </w:p>
    <w:p>
      <w:pPr>
        <w:spacing w:after="0" w:line="69" w:lineRule="exact"/>
        <w:rPr>
          <w:sz w:val="20"/>
          <w:szCs w:val="20"/>
          <w:color w:val="auto"/>
        </w:rPr>
      </w:pPr>
    </w:p>
    <w:p>
      <w:pPr>
        <w:ind w:right="640" w:firstLine="1146"/>
        <w:spacing w:after="0" w:line="298" w:lineRule="auto"/>
        <w:rPr>
          <w:sz w:val="20"/>
          <w:szCs w:val="20"/>
          <w:color w:val="auto"/>
        </w:rPr>
      </w:pPr>
      <w:r>
        <w:rPr>
          <w:rFonts w:ascii="Times New Roman" w:cs="Times New Roman" w:eastAsia="Times New Roman" w:hAnsi="Times New Roman"/>
          <w:sz w:val="16"/>
          <w:szCs w:val="16"/>
          <w:color w:val="auto"/>
        </w:rPr>
        <w:t xml:space="preserve">7.4 </w:t>
      </w:r>
      <w:r>
        <w:rPr>
          <w:rFonts w:ascii="Times New Roman" w:cs="Times New Roman" w:eastAsia="Times New Roman" w:hAnsi="Times New Roman"/>
          <w:sz w:val="16"/>
          <w:szCs w:val="16"/>
          <w:u w:val="single" w:color="auto"/>
          <w:color w:val="auto"/>
        </w:rPr>
        <w:t>Inventions and Patents</w:t>
      </w:r>
      <w:r>
        <w:rPr>
          <w:rFonts w:ascii="Times New Roman" w:cs="Times New Roman" w:eastAsia="Times New Roman" w:hAnsi="Times New Roman"/>
          <w:sz w:val="16"/>
          <w:szCs w:val="16"/>
          <w:color w:val="auto"/>
        </w:rPr>
        <w:t>. Executive agrees that all inventions, innovations, trade secrets, patents and processes in any way relating, directly or indirectly, to the Company’s business developed by Executive alone or in conjunction with others</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90" w:lineRule="exact"/>
        <w:rPr>
          <w:sz w:val="20"/>
          <w:szCs w:val="20"/>
          <w:color w:val="auto"/>
        </w:rPr>
      </w:pPr>
    </w:p>
    <w:p>
      <w:pPr>
        <w:ind w:right="380"/>
        <w:spacing w:after="0" w:line="298" w:lineRule="auto"/>
        <w:rPr>
          <w:sz w:val="20"/>
          <w:szCs w:val="20"/>
          <w:color w:val="auto"/>
        </w:rPr>
      </w:pPr>
      <w:r>
        <w:rPr>
          <w:rFonts w:ascii="Times New Roman" w:cs="Times New Roman" w:eastAsia="Times New Roman" w:hAnsi="Times New Roman"/>
          <w:sz w:val="16"/>
          <w:szCs w:val="16"/>
          <w:color w:val="auto"/>
        </w:rPr>
        <w:t>at any time during Executive’s employment by the Company shall belong to the Company. Executive will use Executive’s best efforts to perform all actions reasonably requested by the Board to establish and confirm such ownership by the Company.</w:t>
      </w:r>
    </w:p>
    <w:p>
      <w:pPr>
        <w:spacing w:after="0" w:line="56" w:lineRule="exact"/>
        <w:rPr>
          <w:sz w:val="20"/>
          <w:szCs w:val="20"/>
          <w:color w:val="auto"/>
        </w:rPr>
      </w:pPr>
    </w:p>
    <w:p>
      <w:pPr>
        <w:ind w:right="200" w:firstLine="1146"/>
        <w:spacing w:after="0" w:line="298" w:lineRule="auto"/>
        <w:rPr>
          <w:sz w:val="20"/>
          <w:szCs w:val="20"/>
          <w:color w:val="auto"/>
        </w:rPr>
      </w:pPr>
      <w:r>
        <w:rPr>
          <w:rFonts w:ascii="Times New Roman" w:cs="Times New Roman" w:eastAsia="Times New Roman" w:hAnsi="Times New Roman"/>
          <w:sz w:val="16"/>
          <w:szCs w:val="16"/>
          <w:color w:val="auto"/>
        </w:rPr>
        <w:t xml:space="preserve">7.5 </w:t>
      </w:r>
      <w:r>
        <w:rPr>
          <w:rFonts w:ascii="Times New Roman" w:cs="Times New Roman" w:eastAsia="Times New Roman" w:hAnsi="Times New Roman"/>
          <w:sz w:val="16"/>
          <w:szCs w:val="16"/>
          <w:u w:val="single" w:color="auto"/>
          <w:color w:val="auto"/>
        </w:rPr>
        <w:t>Definition of Company</w:t>
      </w:r>
      <w:r>
        <w:rPr>
          <w:rFonts w:ascii="Times New Roman" w:cs="Times New Roman" w:eastAsia="Times New Roman" w:hAnsi="Times New Roman"/>
          <w:sz w:val="16"/>
          <w:szCs w:val="16"/>
          <w:color w:val="auto"/>
        </w:rPr>
        <w:t>. For purposes of this Section 7, the term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shall include the Company and any and all of its parents, subsidiaries, joint ventures and affiliated entities as the same may exist from time to time.</w:t>
      </w:r>
    </w:p>
    <w:p>
      <w:pPr>
        <w:spacing w:after="0" w:line="56" w:lineRule="exact"/>
        <w:rPr>
          <w:sz w:val="20"/>
          <w:szCs w:val="20"/>
          <w:color w:val="auto"/>
        </w:rPr>
      </w:pPr>
    </w:p>
    <w:p>
      <w:pPr>
        <w:ind w:right="80" w:firstLine="1146"/>
        <w:spacing w:after="0" w:line="269" w:lineRule="auto"/>
        <w:rPr>
          <w:sz w:val="20"/>
          <w:szCs w:val="20"/>
          <w:color w:val="auto"/>
        </w:rPr>
      </w:pPr>
      <w:r>
        <w:rPr>
          <w:rFonts w:ascii="Times New Roman" w:cs="Times New Roman" w:eastAsia="Times New Roman" w:hAnsi="Times New Roman"/>
          <w:sz w:val="16"/>
          <w:szCs w:val="16"/>
          <w:color w:val="auto"/>
        </w:rPr>
        <w:t xml:space="preserve">7.6 </w:t>
      </w:r>
      <w:r>
        <w:rPr>
          <w:rFonts w:ascii="Times New Roman" w:cs="Times New Roman" w:eastAsia="Times New Roman" w:hAnsi="Times New Roman"/>
          <w:sz w:val="16"/>
          <w:szCs w:val="16"/>
          <w:u w:val="single" w:color="auto"/>
          <w:color w:val="auto"/>
        </w:rPr>
        <w:t>Enforcement</w:t>
      </w:r>
      <w:r>
        <w:rPr>
          <w:rFonts w:ascii="Times New Roman" w:cs="Times New Roman" w:eastAsia="Times New Roman" w:hAnsi="Times New Roman"/>
          <w:sz w:val="16"/>
          <w:szCs w:val="16"/>
          <w:color w:val="auto"/>
        </w:rPr>
        <w:t>. The parties hereto agree that the duration and area for which the covenants set forth in this Section 7 are to be effective are reasonable. In the event that any court or arbitrator determines that the time period or the area, or both of them, are unreasonable and that any of the covenants are to that extent unenforceable, the parties hereto agree that such covenants will remain in full force and effect, first, for the greatest time period, and second, in the greatest geographical area that would not render them unenforceable. The parties intend that this Agreement will be deemed to be a series of separate covenants, one for each and every county of each and every state of the United States of America. Executive agrees that damages are an inadequate remedy for any breach of the covenants in this Section 7 and that the Company will, whether or not it is pursuing any potential remedies at law, be entitled to equitable relief in the form of preliminary and permanent injunctions without bond or other security upon any actual or threatened breach of this Agreement.</w:t>
      </w:r>
    </w:p>
    <w:p>
      <w:pPr>
        <w:spacing w:after="0" w:line="82" w:lineRule="exact"/>
        <w:rPr>
          <w:sz w:val="20"/>
          <w:szCs w:val="20"/>
          <w:color w:val="auto"/>
        </w:rPr>
      </w:pPr>
    </w:p>
    <w:p>
      <w:pPr>
        <w:ind w:right="160" w:firstLine="517"/>
        <w:spacing w:after="0" w:line="272" w:lineRule="auto"/>
        <w:tabs>
          <w:tab w:leader="none" w:pos="792"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Whistleblower Protection</w:t>
      </w:r>
      <w:r>
        <w:rPr>
          <w:rFonts w:ascii="Times New Roman" w:cs="Times New Roman" w:eastAsia="Times New Roman" w:hAnsi="Times New Roman"/>
          <w:sz w:val="16"/>
          <w:szCs w:val="16"/>
          <w:color w:val="auto"/>
        </w:rPr>
        <w:t>. Notwithstanding anything to the contrary contained herein, no provision of this Agreement shall be interpreted so as to impede Executive (or any other individual) from reporting possible violations of federal law or regulation to any governmental agency or entity, including but not limited to the Department of Justice, the Securities and Exchange Commission, the Congress, and any agency Inspector General, or making other disclosures under the whistleblower provisions of federal law or regulation. Executive does not need the prior authorization of the Company to make any such reports or disclosures and Executive shall not be not required to notify the Company that such reports or disclosures have been made.</w:t>
      </w:r>
    </w:p>
    <w:p>
      <w:pPr>
        <w:spacing w:after="0" w:line="77" w:lineRule="exact"/>
        <w:rPr>
          <w:rFonts w:ascii="Times New Roman" w:cs="Times New Roman" w:eastAsia="Times New Roman" w:hAnsi="Times New Roman"/>
          <w:sz w:val="16"/>
          <w:szCs w:val="16"/>
          <w:color w:val="auto"/>
        </w:rPr>
      </w:pPr>
    </w:p>
    <w:p>
      <w:pPr>
        <w:ind w:right="20" w:firstLine="517"/>
        <w:spacing w:after="0" w:line="269" w:lineRule="auto"/>
        <w:tabs>
          <w:tab w:leader="none" w:pos="792"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Trade Secrets</w:t>
      </w:r>
      <w:r>
        <w:rPr>
          <w:rFonts w:ascii="Times New Roman" w:cs="Times New Roman" w:eastAsia="Times New Roman" w:hAnsi="Times New Roman"/>
          <w:sz w:val="16"/>
          <w:szCs w:val="16"/>
          <w:color w:val="auto"/>
        </w:rPr>
        <w:t>. 18 U.S.C. § 1833(b) provides: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Nothing in this Agreement is intended to conflict with 18 U.S.C. § 1833(b) or create liability for disclosures of trade secrets that are expressly allowed by 18 U.S.C. § 1833(b). Accordingly, the parties to this Agreement have the right to disclose in confidence trade secrets to federal, state, and local government officials, or to an attorney, for the sole purpose of reporting or investigating a suspected violation of law. The parties also have the right to disclose trade secrets in a document filed in a lawsuit or other proceeding, but only if the filing is made under seal and protected from public disclosure.</w:t>
      </w:r>
    </w:p>
    <w:p>
      <w:pPr>
        <w:spacing w:after="0" w:line="81" w:lineRule="exact"/>
        <w:rPr>
          <w:rFonts w:ascii="Times New Roman" w:cs="Times New Roman" w:eastAsia="Times New Roman" w:hAnsi="Times New Roman"/>
          <w:sz w:val="16"/>
          <w:szCs w:val="16"/>
          <w:color w:val="auto"/>
        </w:rPr>
      </w:pPr>
    </w:p>
    <w:p>
      <w:pPr>
        <w:ind w:left="880" w:hanging="363"/>
        <w:spacing w:after="0"/>
        <w:tabs>
          <w:tab w:leader="none" w:pos="88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409A of the Code</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ind w:right="40" w:firstLine="1146"/>
        <w:spacing w:after="0" w:line="267" w:lineRule="auto"/>
        <w:rPr>
          <w:sz w:val="20"/>
          <w:szCs w:val="20"/>
          <w:color w:val="auto"/>
        </w:rPr>
      </w:pPr>
      <w:r>
        <w:rPr>
          <w:rFonts w:ascii="Times New Roman" w:cs="Times New Roman" w:eastAsia="Times New Roman" w:hAnsi="Times New Roman"/>
          <w:sz w:val="16"/>
          <w:szCs w:val="16"/>
          <w:color w:val="auto"/>
        </w:rPr>
        <w:t xml:space="preserve">10.1 </w:t>
      </w:r>
      <w:r>
        <w:rPr>
          <w:rFonts w:ascii="Times New Roman" w:cs="Times New Roman" w:eastAsia="Times New Roman" w:hAnsi="Times New Roman"/>
          <w:sz w:val="16"/>
          <w:szCs w:val="16"/>
          <w:u w:val="single" w:color="auto"/>
          <w:color w:val="auto"/>
        </w:rPr>
        <w:t>General</w:t>
      </w:r>
      <w:r>
        <w:rPr>
          <w:rFonts w:ascii="Times New Roman" w:cs="Times New Roman" w:eastAsia="Times New Roman" w:hAnsi="Times New Roman"/>
          <w:sz w:val="16"/>
          <w:szCs w:val="16"/>
          <w:color w:val="auto"/>
        </w:rPr>
        <w:t>. It is the intent of the parties to this Agreement that the provisions of this Agreement comply with Section 409A of the Internal Revenue Code of 1986, as amended (the “</w:t>
      </w:r>
      <w:r>
        <w:rPr>
          <w:rFonts w:ascii="Times New Roman" w:cs="Times New Roman" w:eastAsia="Times New Roman" w:hAnsi="Times New Roman"/>
          <w:sz w:val="16"/>
          <w:szCs w:val="16"/>
          <w:u w:val="single" w:color="auto"/>
          <w:color w:val="auto"/>
        </w:rPr>
        <w:t>Code</w:t>
      </w:r>
      <w:r>
        <w:rPr>
          <w:rFonts w:ascii="Times New Roman" w:cs="Times New Roman" w:eastAsia="Times New Roman" w:hAnsi="Times New Roman"/>
          <w:sz w:val="16"/>
          <w:szCs w:val="16"/>
          <w:color w:val="auto"/>
        </w:rPr>
        <w:t>”), and this Agreement shall be construed and interpreted in compliance with Section 409A of the Code and the Department of Treasury Regulations and other interpretive guidance issued thereunder (collectively, “</w:t>
      </w:r>
      <w:r>
        <w:rPr>
          <w:rFonts w:ascii="Times New Roman" w:cs="Times New Roman" w:eastAsia="Times New Roman" w:hAnsi="Times New Roman"/>
          <w:sz w:val="16"/>
          <w:szCs w:val="16"/>
          <w:u w:val="single" w:color="auto"/>
          <w:color w:val="auto"/>
        </w:rPr>
        <w:t>Section 409A</w:t>
      </w:r>
      <w:r>
        <w:rPr>
          <w:rFonts w:ascii="Times New Roman" w:cs="Times New Roman" w:eastAsia="Times New Roman" w:hAnsi="Times New Roman"/>
          <w:sz w:val="16"/>
          <w:szCs w:val="16"/>
          <w:color w:val="auto"/>
        </w:rPr>
        <w:t>”). Notwithstanding any provision of this Agreement to the contrary, in the event that the Company determines that any amounts payable hereunder will be immediately taxable to Executive under Section 409A, the Company reserves the right (without any obligation to do so or to indemnify Executive for failure to do so) to (a) adopt such amendments to this Agreement and appropriate policies and procedures, including amendments and policies with retroactive effect, that the Company determines to be necessary or appropriate to preserve the intended tax treatment of the benefits provided by this Agreement, to preserve the economic benefits of this Agreement and to avoid less favorable accounting or tax consequences for the Company and/or (b) take such other actions as the Company determines to be necessary or appropriate to exempt the amounts payable hereunder from Section 409A or to comply with the requirements of Section 409A and thereby avoid the application of penalty taxes thereunder. No provision of this Agreement shall be interpreted or construed to transfer any liability for failure to comply with the requirements of Section 409A from Executive or any other individual to the Company or any of its affiliates, employees or agents.</w:t>
      </w:r>
    </w:p>
    <w:p>
      <w:pPr>
        <w:spacing w:after="0" w:line="86" w:lineRule="exact"/>
        <w:rPr>
          <w:sz w:val="20"/>
          <w:szCs w:val="20"/>
          <w:color w:val="auto"/>
        </w:rPr>
      </w:pPr>
    </w:p>
    <w:p>
      <w:pPr>
        <w:ind w:firstLine="1146"/>
        <w:spacing w:after="0" w:line="269" w:lineRule="auto"/>
        <w:rPr>
          <w:sz w:val="20"/>
          <w:szCs w:val="20"/>
          <w:color w:val="auto"/>
        </w:rPr>
      </w:pPr>
      <w:r>
        <w:rPr>
          <w:rFonts w:ascii="Times New Roman" w:cs="Times New Roman" w:eastAsia="Times New Roman" w:hAnsi="Times New Roman"/>
          <w:sz w:val="16"/>
          <w:szCs w:val="16"/>
          <w:color w:val="auto"/>
        </w:rPr>
        <w:t xml:space="preserve">10.2 </w:t>
      </w:r>
      <w:r>
        <w:rPr>
          <w:rFonts w:ascii="Times New Roman" w:cs="Times New Roman" w:eastAsia="Times New Roman" w:hAnsi="Times New Roman"/>
          <w:sz w:val="16"/>
          <w:szCs w:val="16"/>
          <w:u w:val="single" w:color="auto"/>
          <w:color w:val="auto"/>
        </w:rPr>
        <w:t>Separation from Service under Section 409A</w:t>
      </w:r>
      <w:r>
        <w:rPr>
          <w:rFonts w:ascii="Times New Roman" w:cs="Times New Roman" w:eastAsia="Times New Roman" w:hAnsi="Times New Roman"/>
          <w:sz w:val="16"/>
          <w:szCs w:val="16"/>
          <w:color w:val="auto"/>
        </w:rPr>
        <w:t>. Notwithstanding any provision to the contrary in this Agreement: (a) no amount shall be payable pursuant to Section 6.2 unless the termination of Executive’s employment constitutes a “separation from service” within the meaning of Section 1.409A-1(h) of the Department of Treasury Regulations; (b) for purposes of Section 409A, Executive’s right to receive installment payments pursuant to Section 6.2 shall be treated as a right to receive a series of separate and distinct payments; and (c) to the extent that any reimbursement of expenses or in-kind benefits constitutes “deferred compensation” under Section 409A, such reimbursement or benefit shall be provided no later than December 31 of the year following the year in which the expense was incurred. The amount of expenses reimbursed in one year shall not affect the amount eligible for reimbursement in any subsequent year. The amount of any in-kind benefits provided in one year shall not affect the amount of in-kind benefits provided in any other year.</w:t>
      </w:r>
    </w:p>
    <w:p>
      <w:pPr>
        <w:spacing w:after="0" w:line="82" w:lineRule="exact"/>
        <w:rPr>
          <w:sz w:val="20"/>
          <w:szCs w:val="20"/>
          <w:color w:val="auto"/>
        </w:rPr>
      </w:pPr>
    </w:p>
    <w:p>
      <w:pPr>
        <w:ind w:right="80" w:firstLine="1146"/>
        <w:spacing w:after="0" w:line="275" w:lineRule="auto"/>
        <w:rPr>
          <w:sz w:val="20"/>
          <w:szCs w:val="20"/>
          <w:color w:val="auto"/>
        </w:rPr>
      </w:pPr>
      <w:r>
        <w:rPr>
          <w:rFonts w:ascii="Times New Roman" w:cs="Times New Roman" w:eastAsia="Times New Roman" w:hAnsi="Times New Roman"/>
          <w:sz w:val="16"/>
          <w:szCs w:val="16"/>
          <w:color w:val="auto"/>
        </w:rPr>
        <w:t xml:space="preserve">10.3 </w:t>
      </w:r>
      <w:r>
        <w:rPr>
          <w:rFonts w:ascii="Times New Roman" w:cs="Times New Roman" w:eastAsia="Times New Roman" w:hAnsi="Times New Roman"/>
          <w:sz w:val="16"/>
          <w:szCs w:val="16"/>
          <w:u w:val="single" w:color="auto"/>
          <w:color w:val="auto"/>
        </w:rPr>
        <w:t>Release</w:t>
      </w:r>
      <w:r>
        <w:rPr>
          <w:rFonts w:ascii="Times New Roman" w:cs="Times New Roman" w:eastAsia="Times New Roman" w:hAnsi="Times New Roman"/>
          <w:sz w:val="16"/>
          <w:szCs w:val="16"/>
          <w:color w:val="auto"/>
        </w:rPr>
        <w:t>. Notwithstanding anything to the contrary in this Agreement, to the extent that any payments of “nonqualified deferred compensation” (within the meaning of Section 409A) due under this Agreement as a result of Executive’s termination of employment are subject to Executive’s execution and delivery of a Release, (a) the Company shall deliver the Release to Executive within ten (10) business days following the date of termination of employment, and the Company’s failure to deliver a Release prior to the expiration of such ten (10) business day period shall constitute a waiver of any requirement to</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90"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execute a Release, (b) if Executive fails to execute the Release on or prior to the Release Expiration Date (as defined below) or timely revokes his acceptance of the Release thereafter, Executive shall not be entitled to any payments or benefits otherwise conditioned on the Release, and (c) in any case where the date of termination of employment and the Release Expiration Date fall in two separate taxable years, any payments required to be made to Executive that are conditioned on the Release and are treated as nonqualified deferred compensation for purposes of Section 409A shall be made in the later taxable year. For purposes of this Section 10.3, “</w:t>
      </w:r>
      <w:r>
        <w:rPr>
          <w:rFonts w:ascii="Times New Roman" w:cs="Times New Roman" w:eastAsia="Times New Roman" w:hAnsi="Times New Roman"/>
          <w:sz w:val="16"/>
          <w:szCs w:val="16"/>
          <w:u w:val="single" w:color="auto"/>
          <w:color w:val="auto"/>
        </w:rPr>
        <w:t>Release Expiration Date</w:t>
      </w:r>
      <w:r>
        <w:rPr>
          <w:rFonts w:ascii="Times New Roman" w:cs="Times New Roman" w:eastAsia="Times New Roman" w:hAnsi="Times New Roman"/>
          <w:sz w:val="16"/>
          <w:szCs w:val="16"/>
          <w:color w:val="auto"/>
        </w:rPr>
        <w:t>” shall mean the date that is twenty-one (21) days following the date upon which the Company timely delivers the Release to Executive, or, in the event that Executive’s termination of employment is “in connection with an exit incentive or other employment termination program” (as such phrase is defined in the Age Discrimination in Employment Act of 1967), the date that is forty-five (45) days following such delivery date. To the extent that any payments of nonqualified deferred compensation (within the meaning of Section 409A) due under this Agreement as a result of Executive’s termination of employment are delayed pursuant to this Section 10.3, such amounts shall be paid in a lump sum on the first payroll date following the date that Executive executes and does not revoke the Release (and the applicable revocation period has expired) or, in the case of any payments subject to Section 10.3(c), on the first payroll period to occur in the subsequent taxable year, if later.</w:t>
      </w:r>
    </w:p>
    <w:p>
      <w:pPr>
        <w:spacing w:after="0" w:line="86" w:lineRule="exact"/>
        <w:rPr>
          <w:sz w:val="20"/>
          <w:szCs w:val="20"/>
          <w:color w:val="auto"/>
        </w:rPr>
      </w:pPr>
    </w:p>
    <w:p>
      <w:pPr>
        <w:ind w:left="880" w:hanging="363"/>
        <w:spacing w:after="0"/>
        <w:tabs>
          <w:tab w:leader="none" w:pos="88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Miscellaneous.</w:t>
      </w:r>
    </w:p>
    <w:p>
      <w:pPr>
        <w:spacing w:after="0" w:line="127" w:lineRule="exact"/>
        <w:rPr>
          <w:sz w:val="20"/>
          <w:szCs w:val="20"/>
          <w:color w:val="auto"/>
        </w:rPr>
      </w:pPr>
    </w:p>
    <w:p>
      <w:pPr>
        <w:ind w:right="120" w:firstLine="1146"/>
        <w:spacing w:after="0" w:line="275" w:lineRule="auto"/>
        <w:rPr>
          <w:sz w:val="20"/>
          <w:szCs w:val="20"/>
          <w:color w:val="auto"/>
        </w:rPr>
      </w:pPr>
      <w:r>
        <w:rPr>
          <w:rFonts w:ascii="Times New Roman" w:cs="Times New Roman" w:eastAsia="Times New Roman" w:hAnsi="Times New Roman"/>
          <w:sz w:val="16"/>
          <w:szCs w:val="16"/>
          <w:color w:val="auto"/>
        </w:rPr>
        <w:t xml:space="preserve">11.1 </w:t>
      </w:r>
      <w:r>
        <w:rPr>
          <w:rFonts w:ascii="Times New Roman" w:cs="Times New Roman" w:eastAsia="Times New Roman" w:hAnsi="Times New Roman"/>
          <w:sz w:val="16"/>
          <w:szCs w:val="16"/>
          <w:u w:val="single" w:color="auto"/>
          <w:color w:val="auto"/>
        </w:rPr>
        <w:t>Notice</w:t>
      </w:r>
      <w:r>
        <w:rPr>
          <w:rFonts w:ascii="Times New Roman" w:cs="Times New Roman" w:eastAsia="Times New Roman" w:hAnsi="Times New Roman"/>
          <w:sz w:val="16"/>
          <w:szCs w:val="16"/>
          <w:color w:val="auto"/>
        </w:rPr>
        <w:t>. Any notice required or permitted to be given hereunder shall be deemed sufficiently given if sent by registered or certified mail, postage prepaid, addressed to the addressee at the address last provided to the sender in writing by the addressee for purposes of receiving notices hereunder or, unless or until such address shall be so furnished, to the address indicated opposite addressee’s signature to this Agreement. Each party may also provide notice by sending the other party a facsimile at a number provided by such other party.</w:t>
      </w:r>
    </w:p>
    <w:p>
      <w:pPr>
        <w:spacing w:after="0" w:line="200" w:lineRule="exact"/>
        <w:rPr>
          <w:sz w:val="20"/>
          <w:szCs w:val="20"/>
          <w:color w:val="auto"/>
        </w:rPr>
      </w:pPr>
    </w:p>
    <w:p>
      <w:pPr>
        <w:spacing w:after="0" w:line="21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color w:val="auto"/>
        </w:rPr>
        <w:t>If to Executive:</w:t>
      </w:r>
    </w:p>
    <w:p>
      <w:pPr>
        <w:spacing w:after="0" w:line="27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color w:val="auto"/>
        </w:rPr>
        <w:t>At the address (or to the facsimile number) shown</w:t>
      </w:r>
    </w:p>
    <w:p>
      <w:pPr>
        <w:spacing w:after="0" w:line="2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color w:val="auto"/>
        </w:rPr>
        <w:t>in the books and records of the Company.</w:t>
      </w:r>
    </w:p>
    <w:p>
      <w:pPr>
        <w:spacing w:after="0" w:line="28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color w:val="auto"/>
        </w:rPr>
        <w:t>If to the Company:</w:t>
      </w:r>
    </w:p>
    <w:p>
      <w:pPr>
        <w:spacing w:after="0" w:line="27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color w:val="auto"/>
        </w:rPr>
        <w:t>c/o Advent International Corporation</w:t>
      </w:r>
    </w:p>
    <w:p>
      <w:pPr>
        <w:spacing w:after="0" w:line="4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color w:val="auto"/>
        </w:rPr>
        <w:t>75 State Street</w:t>
      </w:r>
    </w:p>
    <w:p>
      <w:pPr>
        <w:spacing w:after="0" w:line="4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color w:val="auto"/>
        </w:rPr>
        <w:t>Boston, MA 02109</w:t>
      </w:r>
    </w:p>
    <w:p>
      <w:pPr>
        <w:spacing w:after="0" w:line="27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Attention: J. Christopher Egan</w:t>
      </w:r>
    </w:p>
    <w:p>
      <w:pPr>
        <w:spacing w:after="0" w:line="4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Eric Wei</w:t>
      </w:r>
    </w:p>
    <w:p>
      <w:pPr>
        <w:spacing w:after="0" w:line="4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James Westra</w:t>
      </w:r>
    </w:p>
    <w:p>
      <w:pPr>
        <w:spacing w:after="0" w:line="4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Facsimile No.: 617-516-2010</w:t>
      </w:r>
    </w:p>
    <w:p>
      <w:pPr>
        <w:spacing w:after="0" w:line="46" w:lineRule="exact"/>
        <w:rPr>
          <w:sz w:val="20"/>
          <w:szCs w:val="20"/>
          <w:color w:val="auto"/>
        </w:rPr>
      </w:pPr>
    </w:p>
    <w:p>
      <w:pPr>
        <w:ind w:left="1680"/>
        <w:spacing w:after="0"/>
        <w:tabs>
          <w:tab w:leader="none" w:pos="2600" w:val="left"/>
        </w:tabs>
        <w:rPr>
          <w:sz w:val="20"/>
          <w:szCs w:val="20"/>
          <w:color w:val="auto"/>
        </w:rPr>
      </w:pPr>
      <w:r>
        <w:rPr>
          <w:rFonts w:ascii="Times New Roman" w:cs="Times New Roman" w:eastAsia="Times New Roman" w:hAnsi="Times New Roman"/>
          <w:sz w:val="16"/>
          <w:szCs w:val="16"/>
          <w:color w:val="auto"/>
        </w:rPr>
        <w:t>Email:</w:t>
      </w:r>
      <w:r>
        <w:rPr>
          <w:sz w:val="20"/>
          <w:szCs w:val="20"/>
          <w:color w:val="auto"/>
        </w:rPr>
        <w:tab/>
      </w:r>
      <w:r>
        <w:rPr>
          <w:rFonts w:ascii="Times New Roman" w:cs="Times New Roman" w:eastAsia="Times New Roman" w:hAnsi="Times New Roman"/>
          <w:sz w:val="16"/>
          <w:szCs w:val="16"/>
          <w:color w:val="auto"/>
        </w:rPr>
        <w:t>*****</w:t>
      </w:r>
    </w:p>
    <w:p>
      <w:pPr>
        <w:spacing w:after="0" w:line="46"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color w:val="auto"/>
        </w:rPr>
        <w:t>*****</w:t>
      </w:r>
    </w:p>
    <w:p>
      <w:pPr>
        <w:spacing w:after="0" w:line="46"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color w:val="auto"/>
        </w:rPr>
        <w:t>*****</w:t>
      </w:r>
    </w:p>
    <w:p>
      <w:pPr>
        <w:spacing w:after="0" w:line="27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u w:val="single" w:color="auto"/>
          <w:color w:val="auto"/>
        </w:rPr>
        <w:t>with a copy to, which shall not constitute notice:</w:t>
      </w:r>
    </w:p>
    <w:p>
      <w:pPr>
        <w:spacing w:after="0" w:line="27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Kirkland &amp; Ellis LLP</w:t>
      </w:r>
    </w:p>
    <w:p>
      <w:pPr>
        <w:spacing w:after="0" w:line="2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601 Lexington Avenue</w:t>
      </w:r>
    </w:p>
    <w:p>
      <w:pPr>
        <w:spacing w:after="0" w:line="5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New York, NY 10022</w:t>
      </w:r>
    </w:p>
    <w:p>
      <w:pPr>
        <w:spacing w:after="0" w:line="4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Attention: Douglas Ryder, P.C.</w:t>
      </w:r>
    </w:p>
    <w:p>
      <w:pPr>
        <w:spacing w:after="0" w:line="46"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6"/>
          <w:szCs w:val="16"/>
          <w:color w:val="auto"/>
        </w:rPr>
        <w:t>Joshua Soszynski</w:t>
      </w:r>
    </w:p>
    <w:p>
      <w:pPr>
        <w:spacing w:after="0" w:line="4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Facsimile No.: 212-446-6460</w:t>
      </w:r>
    </w:p>
    <w:p>
      <w:pPr>
        <w:spacing w:after="0" w:line="46" w:lineRule="exact"/>
        <w:rPr>
          <w:sz w:val="20"/>
          <w:szCs w:val="20"/>
          <w:color w:val="auto"/>
        </w:rPr>
      </w:pPr>
    </w:p>
    <w:p>
      <w:pPr>
        <w:ind w:left="1680"/>
        <w:spacing w:after="0"/>
        <w:tabs>
          <w:tab w:leader="none" w:pos="2600" w:val="left"/>
        </w:tabs>
        <w:rPr>
          <w:sz w:val="20"/>
          <w:szCs w:val="20"/>
          <w:color w:val="auto"/>
        </w:rPr>
      </w:pPr>
      <w:r>
        <w:rPr>
          <w:rFonts w:ascii="Times New Roman" w:cs="Times New Roman" w:eastAsia="Times New Roman" w:hAnsi="Times New Roman"/>
          <w:sz w:val="16"/>
          <w:szCs w:val="16"/>
          <w:color w:val="auto"/>
        </w:rPr>
        <w:t>Email:</w:t>
      </w:r>
      <w:r>
        <w:rPr>
          <w:sz w:val="20"/>
          <w:szCs w:val="20"/>
          <w:color w:val="auto"/>
        </w:rPr>
        <w:tab/>
      </w:r>
      <w:r>
        <w:rPr>
          <w:rFonts w:ascii="Times New Roman" w:cs="Times New Roman" w:eastAsia="Times New Roman" w:hAnsi="Times New Roman"/>
          <w:sz w:val="16"/>
          <w:szCs w:val="16"/>
          <w:color w:val="auto"/>
        </w:rPr>
        <w:t>*****</w:t>
      </w:r>
    </w:p>
    <w:p>
      <w:pPr>
        <w:spacing w:after="0" w:line="46"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color w:val="auto"/>
        </w:rPr>
        <w:t>*****</w:t>
      </w:r>
    </w:p>
    <w:p>
      <w:pPr>
        <w:spacing w:after="0" w:line="140" w:lineRule="exact"/>
        <w:rPr>
          <w:sz w:val="20"/>
          <w:szCs w:val="20"/>
          <w:color w:val="auto"/>
        </w:rPr>
      </w:pPr>
    </w:p>
    <w:p>
      <w:pPr>
        <w:jc w:val="both"/>
        <w:ind w:right="40" w:firstLine="1146"/>
        <w:spacing w:after="0" w:line="281" w:lineRule="auto"/>
        <w:rPr>
          <w:sz w:val="20"/>
          <w:szCs w:val="20"/>
          <w:color w:val="auto"/>
        </w:rPr>
      </w:pPr>
      <w:r>
        <w:rPr>
          <w:rFonts w:ascii="Times New Roman" w:cs="Times New Roman" w:eastAsia="Times New Roman" w:hAnsi="Times New Roman"/>
          <w:sz w:val="16"/>
          <w:szCs w:val="16"/>
          <w:color w:val="auto"/>
        </w:rPr>
        <w:t xml:space="preserve">11.2 </w:t>
      </w:r>
      <w:r>
        <w:rPr>
          <w:rFonts w:ascii="Times New Roman" w:cs="Times New Roman" w:eastAsia="Times New Roman" w:hAnsi="Times New Roman"/>
          <w:sz w:val="16"/>
          <w:szCs w:val="16"/>
          <w:u w:val="single" w:color="auto"/>
          <w:color w:val="auto"/>
        </w:rPr>
        <w:t>Modification and No Waiver of Breach</w:t>
      </w:r>
      <w:r>
        <w:rPr>
          <w:rFonts w:ascii="Times New Roman" w:cs="Times New Roman" w:eastAsia="Times New Roman" w:hAnsi="Times New Roman"/>
          <w:sz w:val="16"/>
          <w:szCs w:val="16"/>
          <w:color w:val="auto"/>
        </w:rPr>
        <w:t>. No waiver or modification of this Agreement shall be binding unless it is in writing, approved by the Board and signed by the parties hereto. No waiver by a party of a breach hereof by the other party shall be deemed to constitute a waiver of a future breach, whether of a similar or dissimilar nature, except to the extent specifically provided in any written waiver under this Section 11.2.</w:t>
      </w:r>
    </w:p>
    <w:p>
      <w:pPr>
        <w:spacing w:after="0" w:line="69" w:lineRule="exact"/>
        <w:rPr>
          <w:sz w:val="20"/>
          <w:szCs w:val="20"/>
          <w:color w:val="auto"/>
        </w:rPr>
      </w:pPr>
    </w:p>
    <w:p>
      <w:pPr>
        <w:ind w:right="80" w:firstLine="1146"/>
        <w:spacing w:after="0" w:line="281" w:lineRule="auto"/>
        <w:rPr>
          <w:sz w:val="20"/>
          <w:szCs w:val="20"/>
          <w:color w:val="auto"/>
        </w:rPr>
      </w:pPr>
      <w:r>
        <w:rPr>
          <w:rFonts w:ascii="Times New Roman" w:cs="Times New Roman" w:eastAsia="Times New Roman" w:hAnsi="Times New Roman"/>
          <w:sz w:val="16"/>
          <w:szCs w:val="16"/>
          <w:color w:val="auto"/>
        </w:rPr>
        <w:t xml:space="preserve">11.3 </w:t>
      </w: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This Agreement shall be governed by and construed and interpreted in accordance with the laws of the State of Delaware (without regard to principles of conflicts of laws), and all questions relating to the validity and performance hereof and remedies hereunder shall be determined in accordance with such law.</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0" w:name="page111"/>
    <w:bookmarkEnd w:id="110"/>
    <w:p>
      <w:pPr>
        <w:spacing w:after="0" w:line="90" w:lineRule="exact"/>
        <w:rPr>
          <w:sz w:val="20"/>
          <w:szCs w:val="20"/>
          <w:color w:val="auto"/>
        </w:rPr>
      </w:pPr>
    </w:p>
    <w:p>
      <w:pPr>
        <w:ind w:right="340" w:firstLine="1146"/>
        <w:spacing w:after="0" w:line="298" w:lineRule="auto"/>
        <w:rPr>
          <w:sz w:val="20"/>
          <w:szCs w:val="20"/>
          <w:color w:val="auto"/>
        </w:rPr>
      </w:pPr>
      <w:r>
        <w:rPr>
          <w:rFonts w:ascii="Times New Roman" w:cs="Times New Roman" w:eastAsia="Times New Roman" w:hAnsi="Times New Roman"/>
          <w:sz w:val="16"/>
          <w:szCs w:val="16"/>
          <w:color w:val="auto"/>
        </w:rPr>
        <w:t xml:space="preserve">11.4 </w:t>
      </w: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This Agreement may be executed by facsimile in two counterparts, each of which shall be deemed an original, but both of which taken together shall constitute one and the same Agreement.</w:t>
      </w:r>
    </w:p>
    <w:p>
      <w:pPr>
        <w:spacing w:after="0" w:line="56" w:lineRule="exact"/>
        <w:rPr>
          <w:sz w:val="20"/>
          <w:szCs w:val="20"/>
          <w:color w:val="auto"/>
        </w:rPr>
      </w:pPr>
    </w:p>
    <w:p>
      <w:pPr>
        <w:ind w:left="1160"/>
        <w:spacing w:after="0"/>
        <w:tabs>
          <w:tab w:leader="none" w:pos="1580" w:val="left"/>
        </w:tabs>
        <w:rPr>
          <w:sz w:val="20"/>
          <w:szCs w:val="20"/>
          <w:color w:val="auto"/>
        </w:rPr>
      </w:pPr>
      <w:r>
        <w:rPr>
          <w:rFonts w:ascii="Times New Roman" w:cs="Times New Roman" w:eastAsia="Times New Roman" w:hAnsi="Times New Roman"/>
          <w:sz w:val="16"/>
          <w:szCs w:val="16"/>
          <w:color w:val="auto"/>
        </w:rPr>
        <w:t>11.5</w:t>
      </w:r>
      <w:r>
        <w:rPr>
          <w:sz w:val="20"/>
          <w:szCs w:val="20"/>
          <w:color w:val="auto"/>
        </w:rPr>
        <w:tab/>
      </w:r>
      <w:r>
        <w:rPr>
          <w:rFonts w:ascii="Times New Roman" w:cs="Times New Roman" w:eastAsia="Times New Roman" w:hAnsi="Times New Roman"/>
          <w:sz w:val="16"/>
          <w:szCs w:val="16"/>
          <w:u w:val="single" w:color="auto"/>
          <w:color w:val="auto"/>
        </w:rPr>
        <w:t>Captions</w:t>
      </w:r>
      <w:r>
        <w:rPr>
          <w:rFonts w:ascii="Times New Roman" w:cs="Times New Roman" w:eastAsia="Times New Roman" w:hAnsi="Times New Roman"/>
          <w:sz w:val="16"/>
          <w:szCs w:val="16"/>
          <w:color w:val="auto"/>
        </w:rPr>
        <w:t>. The captions used herein are for ease of reference only and shall not define or limit the provisions hereof.</w:t>
      </w:r>
    </w:p>
    <w:p>
      <w:pPr>
        <w:spacing w:after="0" w:line="127" w:lineRule="exact"/>
        <w:rPr>
          <w:sz w:val="20"/>
          <w:szCs w:val="20"/>
          <w:color w:val="auto"/>
        </w:rPr>
      </w:pPr>
    </w:p>
    <w:p>
      <w:pPr>
        <w:ind w:right="100" w:firstLine="1146"/>
        <w:spacing w:after="0" w:line="281" w:lineRule="auto"/>
        <w:rPr>
          <w:sz w:val="20"/>
          <w:szCs w:val="20"/>
          <w:color w:val="auto"/>
        </w:rPr>
      </w:pPr>
      <w:r>
        <w:rPr>
          <w:rFonts w:ascii="Times New Roman" w:cs="Times New Roman" w:eastAsia="Times New Roman" w:hAnsi="Times New Roman"/>
          <w:sz w:val="16"/>
          <w:szCs w:val="16"/>
          <w:color w:val="auto"/>
        </w:rPr>
        <w:t xml:space="preserve">11.6 </w:t>
      </w: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Agreement constitutes the entire agreement between the parties hereto relating to the matters encompassed hereby and supersedes any prior oral or written agreements relating to such matters. The parties hereto acknowledge and agree that, as of the Effective Date, the Prior Agreement shall be terminated and of no further force and effect.</w:t>
      </w:r>
    </w:p>
    <w:p>
      <w:pPr>
        <w:spacing w:after="0" w:line="69" w:lineRule="exact"/>
        <w:rPr>
          <w:sz w:val="20"/>
          <w:szCs w:val="20"/>
          <w:color w:val="auto"/>
        </w:rPr>
      </w:pPr>
    </w:p>
    <w:p>
      <w:pPr>
        <w:jc w:val="both"/>
        <w:ind w:right="120" w:firstLine="1146"/>
        <w:spacing w:after="0" w:line="281" w:lineRule="auto"/>
        <w:rPr>
          <w:sz w:val="20"/>
          <w:szCs w:val="20"/>
          <w:color w:val="auto"/>
        </w:rPr>
      </w:pPr>
      <w:r>
        <w:rPr>
          <w:rFonts w:ascii="Times New Roman" w:cs="Times New Roman" w:eastAsia="Times New Roman" w:hAnsi="Times New Roman"/>
          <w:sz w:val="16"/>
          <w:szCs w:val="16"/>
          <w:color w:val="auto"/>
        </w:rPr>
        <w:t xml:space="preserve">11.7 </w:t>
      </w:r>
      <w:r>
        <w:rPr>
          <w:rFonts w:ascii="Times New Roman" w:cs="Times New Roman" w:eastAsia="Times New Roman" w:hAnsi="Times New Roman"/>
          <w:sz w:val="16"/>
          <w:szCs w:val="16"/>
          <w:u w:val="single" w:color="auto"/>
          <w:color w:val="auto"/>
        </w:rPr>
        <w:t>Assignment</w:t>
      </w:r>
      <w:r>
        <w:rPr>
          <w:rFonts w:ascii="Times New Roman" w:cs="Times New Roman" w:eastAsia="Times New Roman" w:hAnsi="Times New Roman"/>
          <w:sz w:val="16"/>
          <w:szCs w:val="16"/>
          <w:color w:val="auto"/>
        </w:rPr>
        <w:t>. The rights of the Company under this Agreement may; without the consent of Executive, be assigned by the Company, in its sole and unfettered discretion, to any person, firm, corporation or other business entity which at any time, whether by purchase, merger or otherwise, directly or indirectly, acquires 80% or more of the stock, assets or business of the Company.</w:t>
      </w:r>
    </w:p>
    <w:p>
      <w:pPr>
        <w:spacing w:after="0" w:line="69" w:lineRule="exact"/>
        <w:rPr>
          <w:sz w:val="20"/>
          <w:szCs w:val="20"/>
          <w:color w:val="auto"/>
        </w:rPr>
      </w:pPr>
    </w:p>
    <w:p>
      <w:pPr>
        <w:ind w:firstLine="1146"/>
        <w:spacing w:after="0" w:line="275" w:lineRule="auto"/>
        <w:rPr>
          <w:sz w:val="20"/>
          <w:szCs w:val="20"/>
          <w:color w:val="auto"/>
        </w:rPr>
      </w:pPr>
      <w:r>
        <w:rPr>
          <w:rFonts w:ascii="Times New Roman" w:cs="Times New Roman" w:eastAsia="Times New Roman" w:hAnsi="Times New Roman"/>
          <w:sz w:val="16"/>
          <w:szCs w:val="16"/>
          <w:color w:val="auto"/>
        </w:rPr>
        <w:t xml:space="preserve">11.8 </w:t>
      </w:r>
      <w:r>
        <w:rPr>
          <w:rFonts w:ascii="Times New Roman" w:cs="Times New Roman" w:eastAsia="Times New Roman" w:hAnsi="Times New Roman"/>
          <w:sz w:val="16"/>
          <w:szCs w:val="16"/>
          <w:u w:val="single" w:color="auto"/>
          <w:color w:val="auto"/>
        </w:rPr>
        <w:t>Non-Transferability of Interest</w:t>
      </w:r>
      <w:r>
        <w:rPr>
          <w:rFonts w:ascii="Times New Roman" w:cs="Times New Roman" w:eastAsia="Times New Roman" w:hAnsi="Times New Roman"/>
          <w:sz w:val="16"/>
          <w:szCs w:val="16"/>
          <w:color w:val="auto"/>
        </w:rPr>
        <w:t>. None of the rights of Executive to receive any form of compensation payable pursuant to this Agreement shall be assignable or transferable except through a testamentary disposition or by the laws of descent and distribution upon the death of Executive. Any other attempted assignment, transfer, conveyance or other disposition of any interest in the rights of Executive to receive any form of compensation to be made by the Company pursuant to this Agreement shall be void.</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6"/>
          <w:szCs w:val="16"/>
          <w:color w:val="auto"/>
        </w:rPr>
        <w:t>IN WITNESS WHEREOF, this Agreement has been duly executed as of the Effective Date.</w:t>
      </w:r>
    </w:p>
    <w:p>
      <w:pPr>
        <w:spacing w:after="0" w:line="200" w:lineRule="exact"/>
        <w:rPr>
          <w:sz w:val="20"/>
          <w:szCs w:val="20"/>
          <w:color w:val="auto"/>
        </w:rPr>
      </w:pPr>
    </w:p>
    <w:p>
      <w:pPr>
        <w:spacing w:after="0" w:line="264"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6"/>
          <w:szCs w:val="16"/>
          <w:color w:val="auto"/>
        </w:rPr>
        <w:t>CYPRESS INTERMEDIATE HOLDINGS III,</w:t>
      </w:r>
    </w:p>
    <w:p>
      <w:pPr>
        <w:spacing w:after="0" w:line="26"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6"/>
          <w:szCs w:val="16"/>
          <w:color w:val="auto"/>
        </w:rPr>
        <w:t>INC., a Delaware corporation</w:t>
      </w:r>
    </w:p>
    <w:p>
      <w:pPr>
        <w:spacing w:after="0" w:line="281" w:lineRule="exact"/>
        <w:rPr>
          <w:sz w:val="20"/>
          <w:szCs w:val="20"/>
          <w:color w:val="auto"/>
        </w:rPr>
      </w:pPr>
    </w:p>
    <w:tbl>
      <w:tblPr>
        <w:tblLayout w:type="fixed"/>
        <w:tblInd w:w="6140" w:type="dxa"/>
        <w:tblCellMar>
          <w:top w:w="0" w:type="dxa"/>
          <w:left w:w="0" w:type="dxa"/>
          <w:bottom w:w="0" w:type="dxa"/>
          <w:right w:w="0" w:type="dxa"/>
        </w:tblCellMar>
      </w:tblPr>
      <w:tr>
        <w:trPr>
          <w:trHeight w:val="213"/>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Githesh Ramamurthy</w:t>
            </w: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Githesh Ramamurthy</w:t>
            </w:r>
          </w:p>
        </w:tc>
      </w:tr>
      <w:tr>
        <w:trPr>
          <w:trHeight w:val="229"/>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r>
        <w:trPr>
          <w:trHeight w:val="459"/>
        </w:trPr>
        <w:tc>
          <w:tcPr>
            <w:tcW w:w="4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EXECUTIVE</w:t>
            </w:r>
          </w:p>
        </w:tc>
      </w:tr>
      <w:tr>
        <w:trPr>
          <w:trHeight w:val="462"/>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Mary Jo Prigge</w:t>
            </w:r>
          </w:p>
        </w:tc>
      </w:tr>
      <w:tr>
        <w:trPr>
          <w:trHeight w:val="233"/>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Mary Jo Prigge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6"/>
          <w:szCs w:val="16"/>
          <w:color w:val="auto"/>
        </w:rPr>
        <w:t>Signature Page to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487680</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840" w:top="1422" w:right="35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03"/>
        </w:trPr>
        <w:tc>
          <w:tcPr>
            <w:tcW w:w="2540" w:type="dxa"/>
            <w:vAlign w:val="bottom"/>
          </w:tcPr>
          <w:p>
            <w:pPr>
              <w:spacing w:after="0"/>
              <w:rPr>
                <w:sz w:val="17"/>
                <w:szCs w:val="17"/>
                <w:color w:val="auto"/>
              </w:rPr>
            </w:pPr>
          </w:p>
        </w:tc>
        <w:tc>
          <w:tcPr>
            <w:tcW w:w="7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EXHIBIT A</w:t>
            </w:r>
          </w:p>
        </w:tc>
      </w:tr>
      <w:tr>
        <w:trPr>
          <w:trHeight w:val="203"/>
        </w:trPr>
        <w:tc>
          <w:tcPr>
            <w:tcW w:w="2540" w:type="dxa"/>
            <w:vAlign w:val="bottom"/>
          </w:tcPr>
          <w:p>
            <w:pPr>
              <w:spacing w:after="0"/>
              <w:rPr>
                <w:sz w:val="17"/>
                <w:szCs w:val="17"/>
                <w:color w:val="auto"/>
              </w:rPr>
            </w:pPr>
          </w:p>
        </w:tc>
        <w:tc>
          <w:tcPr>
            <w:tcW w:w="7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to</w:t>
            </w:r>
          </w:p>
        </w:tc>
      </w:tr>
      <w:tr>
        <w:trPr>
          <w:trHeight w:val="176"/>
        </w:trPr>
        <w:tc>
          <w:tcPr>
            <w:tcW w:w="2540" w:type="dxa"/>
            <w:vAlign w:val="bottom"/>
          </w:tcPr>
          <w:p>
            <w:pPr>
              <w:spacing w:after="0"/>
              <w:rPr>
                <w:sz w:val="15"/>
                <w:szCs w:val="15"/>
                <w:color w:val="auto"/>
              </w:rPr>
            </w:pPr>
          </w:p>
        </w:tc>
        <w:tc>
          <w:tcPr>
            <w:tcW w:w="7100" w:type="dxa"/>
            <w:vAlign w:val="bottom"/>
          </w:tcPr>
          <w:p>
            <w:pPr>
              <w:spacing w:after="0"/>
              <w:rPr>
                <w:sz w:val="15"/>
                <w:szCs w:val="15"/>
                <w:color w:val="auto"/>
              </w:rPr>
            </w:pPr>
          </w:p>
        </w:tc>
        <w:tc>
          <w:tcPr>
            <w:tcW w:w="16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Employment Agreement</w:t>
            </w:r>
          </w:p>
        </w:tc>
      </w:tr>
      <w:tr>
        <w:trPr>
          <w:trHeight w:val="663"/>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Name of Executive:</w:t>
            </w:r>
          </w:p>
        </w:tc>
        <w:tc>
          <w:tcPr>
            <w:tcW w:w="870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Mary Jo Prigge</w:t>
            </w:r>
          </w:p>
        </w:tc>
      </w:tr>
      <w:tr>
        <w:trPr>
          <w:trHeight w:val="459"/>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Title(s):</w:t>
            </w:r>
          </w:p>
        </w:tc>
        <w:tc>
          <w:tcPr>
            <w:tcW w:w="870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President, Service Operations</w:t>
            </w:r>
          </w:p>
        </w:tc>
      </w:tr>
      <w:tr>
        <w:trPr>
          <w:trHeight w:val="459"/>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Base Salary:</w:t>
            </w:r>
          </w:p>
        </w:tc>
        <w:tc>
          <w:tcPr>
            <w:tcW w:w="870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$444,807.83 per annum</w:t>
            </w:r>
          </w:p>
        </w:tc>
      </w:tr>
      <w:tr>
        <w:trPr>
          <w:trHeight w:val="451"/>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Performance-Based Bonus:</w:t>
            </w:r>
          </w:p>
        </w:tc>
        <w:tc>
          <w:tcPr>
            <w:tcW w:w="870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During the Period of Employment, Executive shall be entitled to an annual performance-based cash bonus of 50% of the</w:t>
            </w:r>
          </w:p>
        </w:tc>
      </w:tr>
      <w:tr>
        <w:trPr>
          <w:trHeight w:val="203"/>
        </w:trPr>
        <w:tc>
          <w:tcPr>
            <w:tcW w:w="2540" w:type="dxa"/>
            <w:vAlign w:val="bottom"/>
          </w:tcPr>
          <w:p>
            <w:pPr>
              <w:spacing w:after="0"/>
              <w:rPr>
                <w:sz w:val="17"/>
                <w:szCs w:val="17"/>
                <w:color w:val="auto"/>
              </w:rPr>
            </w:pPr>
          </w:p>
        </w:tc>
        <w:tc>
          <w:tcPr>
            <w:tcW w:w="870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then current Base Salary based on achievement of EBITDA (as defined for purposes of the Company’s business plan for</w:t>
            </w:r>
          </w:p>
        </w:tc>
      </w:tr>
      <w:tr>
        <w:trPr>
          <w:trHeight w:val="203"/>
        </w:trPr>
        <w:tc>
          <w:tcPr>
            <w:tcW w:w="2540" w:type="dxa"/>
            <w:vAlign w:val="bottom"/>
          </w:tcPr>
          <w:p>
            <w:pPr>
              <w:spacing w:after="0"/>
              <w:rPr>
                <w:sz w:val="17"/>
                <w:szCs w:val="17"/>
                <w:color w:val="auto"/>
              </w:rPr>
            </w:pPr>
          </w:p>
        </w:tc>
        <w:tc>
          <w:tcPr>
            <w:tcW w:w="870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the relevant fiscal year) targets and/or other performance or personal objectives set by the Board with respect to each</w:t>
            </w:r>
          </w:p>
        </w:tc>
      </w:tr>
      <w:tr>
        <w:trPr>
          <w:trHeight w:val="203"/>
        </w:trPr>
        <w:tc>
          <w:tcPr>
            <w:tcW w:w="2540" w:type="dxa"/>
            <w:vAlign w:val="bottom"/>
          </w:tcPr>
          <w:p>
            <w:pPr>
              <w:spacing w:after="0"/>
              <w:rPr>
                <w:sz w:val="17"/>
                <w:szCs w:val="17"/>
                <w:color w:val="auto"/>
              </w:rPr>
            </w:pPr>
          </w:p>
        </w:tc>
        <w:tc>
          <w:tcPr>
            <w:tcW w:w="870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fiscal year. Such bonus, if any, shall be payable on the fifth (5th) business day after the completion of the Company’s</w:t>
            </w:r>
          </w:p>
        </w:tc>
      </w:tr>
      <w:tr>
        <w:trPr>
          <w:trHeight w:val="203"/>
        </w:trPr>
        <w:tc>
          <w:tcPr>
            <w:tcW w:w="2540" w:type="dxa"/>
            <w:vAlign w:val="bottom"/>
          </w:tcPr>
          <w:p>
            <w:pPr>
              <w:spacing w:after="0"/>
              <w:rPr>
                <w:sz w:val="17"/>
                <w:szCs w:val="17"/>
                <w:color w:val="auto"/>
              </w:rPr>
            </w:pPr>
          </w:p>
        </w:tc>
        <w:tc>
          <w:tcPr>
            <w:tcW w:w="870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audited financial statements for the fiscal year to which the bonus relates, but in no event later than December 31 of the</w:t>
            </w:r>
          </w:p>
        </w:tc>
      </w:tr>
      <w:tr>
        <w:trPr>
          <w:trHeight w:val="203"/>
        </w:trPr>
        <w:tc>
          <w:tcPr>
            <w:tcW w:w="2540" w:type="dxa"/>
            <w:vAlign w:val="bottom"/>
          </w:tcPr>
          <w:p>
            <w:pPr>
              <w:spacing w:after="0"/>
              <w:rPr>
                <w:sz w:val="17"/>
                <w:szCs w:val="17"/>
                <w:color w:val="auto"/>
              </w:rPr>
            </w:pPr>
          </w:p>
        </w:tc>
        <w:tc>
          <w:tcPr>
            <w:tcW w:w="870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calendar year following such fiscal year, subject to Executive’s employment through the last day of the fiscal year to</w:t>
            </w:r>
          </w:p>
        </w:tc>
      </w:tr>
      <w:tr>
        <w:trPr>
          <w:trHeight w:val="210"/>
        </w:trPr>
        <w:tc>
          <w:tcPr>
            <w:tcW w:w="2540" w:type="dxa"/>
            <w:vAlign w:val="bottom"/>
          </w:tcPr>
          <w:p>
            <w:pPr>
              <w:spacing w:after="0"/>
              <w:rPr>
                <w:sz w:val="18"/>
                <w:szCs w:val="18"/>
                <w:color w:val="auto"/>
              </w:rPr>
            </w:pPr>
          </w:p>
        </w:tc>
        <w:tc>
          <w:tcPr>
            <w:tcW w:w="870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which such bonus relates.</w:t>
            </w:r>
          </w:p>
        </w:tc>
      </w:tr>
      <w:tr>
        <w:trPr>
          <w:trHeight w:val="1795"/>
        </w:trPr>
        <w:tc>
          <w:tcPr>
            <w:tcW w:w="2540" w:type="dxa"/>
            <w:vAlign w:val="bottom"/>
            <w:tcBorders>
              <w:bottom w:val="single" w:sz="8" w:color="9A9A9A"/>
            </w:tcBorders>
          </w:tcPr>
          <w:p>
            <w:pPr>
              <w:spacing w:after="0"/>
              <w:rPr>
                <w:sz w:val="24"/>
                <w:szCs w:val="24"/>
                <w:color w:val="auto"/>
              </w:rPr>
            </w:pPr>
          </w:p>
        </w:tc>
        <w:tc>
          <w:tcPr>
            <w:tcW w:w="71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13" w:name="page114"/>
    <w:bookmarkEnd w:id="113"/>
    <w:p>
      <w:pPr>
        <w:ind w:left="10220"/>
        <w:spacing w:after="0"/>
        <w:rPr>
          <w:sz w:val="20"/>
          <w:szCs w:val="20"/>
          <w:color w:val="auto"/>
        </w:rPr>
      </w:pPr>
      <w:r>
        <w:rPr>
          <w:rFonts w:ascii="Times New Roman" w:cs="Times New Roman" w:eastAsia="Times New Roman" w:hAnsi="Times New Roman"/>
          <w:sz w:val="19"/>
          <w:szCs w:val="19"/>
          <w:b w:val="1"/>
          <w:bCs w:val="1"/>
          <w:color w:val="auto"/>
        </w:rPr>
        <w:t>Exhibit 10.9</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EMPLOYMENT AGREEMENT</w:t>
      </w:r>
    </w:p>
    <w:p>
      <w:pPr>
        <w:spacing w:after="0" w:line="237" w:lineRule="exact"/>
        <w:rPr>
          <w:sz w:val="20"/>
          <w:szCs w:val="20"/>
          <w:color w:val="auto"/>
        </w:rPr>
      </w:pPr>
    </w:p>
    <w:p>
      <w:pPr>
        <w:jc w:val="both"/>
        <w:ind w:firstLine="749"/>
        <w:spacing w:after="0" w:line="281" w:lineRule="auto"/>
        <w:rPr>
          <w:sz w:val="20"/>
          <w:szCs w:val="20"/>
          <w:color w:val="auto"/>
        </w:rPr>
      </w:pPr>
      <w:r>
        <w:rPr>
          <w:rFonts w:ascii="Times New Roman" w:cs="Times New Roman" w:eastAsia="Times New Roman" w:hAnsi="Times New Roman"/>
          <w:sz w:val="16"/>
          <w:szCs w:val="16"/>
          <w:color w:val="auto"/>
        </w:rPr>
        <w:t>This Employment Agreement (this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is made and entered into on August 9, 2021 (the “Effective Date”), by and between CCC Intelligent Solutions Inc., a Delaware corporation (together with any of its subsidiaries and affiliates as may employ Executive from time to time and any successor(s) thereto,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and John Goodson (“</w:t>
      </w:r>
      <w:r>
        <w:rPr>
          <w:rFonts w:ascii="Times New Roman" w:cs="Times New Roman" w:eastAsia="Times New Roman" w:hAnsi="Times New Roman"/>
          <w:sz w:val="16"/>
          <w:szCs w:val="16"/>
          <w:u w:val="single" w:color="auto"/>
          <w:color w:val="auto"/>
        </w:rPr>
        <w:t>Executive</w:t>
      </w:r>
      <w:r>
        <w:rPr>
          <w:rFonts w:ascii="Times New Roman" w:cs="Times New Roman" w:eastAsia="Times New Roman" w:hAnsi="Times New Roman"/>
          <w:sz w:val="16"/>
          <w:szCs w:val="16"/>
          <w:color w:val="auto"/>
        </w:rPr>
        <w:t>”).</w:t>
      </w:r>
    </w:p>
    <w:p>
      <w:pPr>
        <w:spacing w:after="0" w:line="69" w:lineRule="exact"/>
        <w:rPr>
          <w:sz w:val="20"/>
          <w:szCs w:val="20"/>
          <w:color w:val="auto"/>
        </w:rPr>
      </w:pPr>
    </w:p>
    <w:p>
      <w:pPr>
        <w:jc w:val="both"/>
        <w:ind w:firstLine="749"/>
        <w:spacing w:after="0" w:line="281" w:lineRule="auto"/>
        <w:rPr>
          <w:sz w:val="20"/>
          <w:szCs w:val="20"/>
          <w:color w:val="auto"/>
        </w:rPr>
      </w:pPr>
      <w:r>
        <w:rPr>
          <w:rFonts w:ascii="Times New Roman" w:cs="Times New Roman" w:eastAsia="Times New Roman" w:hAnsi="Times New Roman"/>
          <w:sz w:val="16"/>
          <w:szCs w:val="16"/>
          <w:color w:val="auto"/>
        </w:rPr>
        <w:t>WHEREAS, the Company has employed Executive prior to the Effective Date, and, in connection with the promotion of Executive to Senior Vice President and Chief Technology Officer as of the Effective Date, hereby agrees to continue to employ Executive in this new role, and Executive hereby accepts such employment, on the terms and conditions hereinafter set forth.</w:t>
      </w:r>
    </w:p>
    <w:p>
      <w:pPr>
        <w:spacing w:after="0" w:line="69" w:lineRule="exact"/>
        <w:rPr>
          <w:sz w:val="20"/>
          <w:szCs w:val="20"/>
          <w:color w:val="auto"/>
        </w:rPr>
      </w:pPr>
    </w:p>
    <w:p>
      <w:pPr>
        <w:jc w:val="both"/>
        <w:ind w:right="20" w:firstLine="749"/>
        <w:spacing w:after="0" w:line="298" w:lineRule="auto"/>
        <w:rPr>
          <w:sz w:val="20"/>
          <w:szCs w:val="20"/>
          <w:color w:val="auto"/>
        </w:rPr>
      </w:pPr>
      <w:r>
        <w:rPr>
          <w:rFonts w:ascii="Times New Roman" w:cs="Times New Roman" w:eastAsia="Times New Roman" w:hAnsi="Times New Roman"/>
          <w:sz w:val="16"/>
          <w:szCs w:val="16"/>
          <w:color w:val="auto"/>
        </w:rPr>
        <w:t>NOW, THEREFORE, in consideration of the foregoing, and for other good and valuable consideration, including the respective covenants and agreements set forth below, the parties hereto agree as follows:</w:t>
      </w:r>
    </w:p>
    <w:p>
      <w:pPr>
        <w:spacing w:after="0" w:line="56" w:lineRule="exact"/>
        <w:rPr>
          <w:sz w:val="20"/>
          <w:szCs w:val="20"/>
          <w:color w:val="auto"/>
        </w:rPr>
      </w:pPr>
    </w:p>
    <w:p>
      <w:pPr>
        <w:jc w:val="both"/>
        <w:ind w:firstLine="757"/>
        <w:spacing w:after="0" w:line="269" w:lineRule="auto"/>
        <w:tabs>
          <w:tab w:leader="none" w:pos="1018" w:val="left"/>
        </w:tabs>
        <w:numPr>
          <w:ilvl w:val="0"/>
          <w:numId w:val="82"/>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u w:val="single" w:color="auto"/>
          <w:color w:val="auto"/>
        </w:rPr>
        <w:t>Position</w:t>
      </w:r>
      <w:r>
        <w:rPr>
          <w:rFonts w:ascii="Times New Roman" w:cs="Times New Roman" w:eastAsia="Times New Roman" w:hAnsi="Times New Roman"/>
          <w:sz w:val="16"/>
          <w:szCs w:val="16"/>
          <w:color w:val="auto"/>
        </w:rPr>
        <w:t xml:space="preserve">. During the Period of Employment (as defined below), Executive shall serve in the capacity indicated on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Executive shall perform the normal duties and responsibilities of such position and such other duties and responsibilities not inconsistent with such position as the Chief Executive Officer of the Company may assign to Executive from time to time. During the Period of Employment, Executive will (a) during normal business hours, devote Executive’s full time and exclusive attention to, and use Executive’s best efforts to advance, the business and welfare of the Company, and (b) not engage in any other employment activities for any direct or indirect remuneration without the concurrence of the Board of Directors of the Company (the “</w:t>
      </w:r>
      <w:r>
        <w:rPr>
          <w:rFonts w:ascii="Times New Roman" w:cs="Times New Roman" w:eastAsia="Times New Roman" w:hAnsi="Times New Roman"/>
          <w:sz w:val="16"/>
          <w:szCs w:val="16"/>
          <w:u w:val="single" w:color="auto"/>
          <w:color w:val="auto"/>
        </w:rPr>
        <w:t>Board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Executive may engage in charitable activities to the extent they are not inconsistent with Executive’s duties hereunder so long as Executive continues to spend substantially all of their time performing Executive’s duties hereunder.</w:t>
      </w:r>
    </w:p>
    <w:p>
      <w:pPr>
        <w:spacing w:after="0" w:line="81" w:lineRule="exact"/>
        <w:rPr>
          <w:rFonts w:ascii="Times New Roman" w:cs="Times New Roman" w:eastAsia="Times New Roman" w:hAnsi="Times New Roman"/>
          <w:sz w:val="16"/>
          <w:szCs w:val="16"/>
          <w:color w:val="010000"/>
        </w:rPr>
      </w:pPr>
    </w:p>
    <w:p>
      <w:pPr>
        <w:jc w:val="both"/>
        <w:ind w:firstLine="757"/>
        <w:spacing w:after="0" w:line="272" w:lineRule="auto"/>
        <w:tabs>
          <w:tab w:leader="none" w:pos="1018" w:val="left"/>
        </w:tabs>
        <w:numPr>
          <w:ilvl w:val="0"/>
          <w:numId w:val="82"/>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u w:val="single" w:color="auto"/>
          <w:color w:val="auto"/>
        </w:rPr>
        <w:t>Period of Employment</w:t>
      </w:r>
      <w:r>
        <w:rPr>
          <w:rFonts w:ascii="Times New Roman" w:cs="Times New Roman" w:eastAsia="Times New Roman" w:hAnsi="Times New Roman"/>
          <w:sz w:val="16"/>
          <w:szCs w:val="16"/>
          <w:color w:val="auto"/>
        </w:rPr>
        <w:t>. Subject to earlier termination pursuant to Section 6, the period of Executive’s employment by the Company (the “</w:t>
      </w:r>
      <w:r>
        <w:rPr>
          <w:rFonts w:ascii="Times New Roman" w:cs="Times New Roman" w:eastAsia="Times New Roman" w:hAnsi="Times New Roman"/>
          <w:sz w:val="16"/>
          <w:szCs w:val="16"/>
          <w:u w:val="single" w:color="auto"/>
          <w:color w:val="auto"/>
        </w:rPr>
        <w:t>Period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Employment</w:t>
      </w:r>
      <w:r>
        <w:rPr>
          <w:rFonts w:ascii="Times New Roman" w:cs="Times New Roman" w:eastAsia="Times New Roman" w:hAnsi="Times New Roman"/>
          <w:sz w:val="16"/>
          <w:szCs w:val="16"/>
          <w:color w:val="auto"/>
        </w:rPr>
        <w:t xml:space="preserve">”) shall be for three (3) years commencing on the Effective Date;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thereafter the Period of Employment shall be automatically renewed for successive one (1) year periods on each anniversary of the Effective Date unless either party hereto gives the other party written notice no later than thirty (30) days prior to such anniversary of the Effective Date of its election not to so renew the Period of Employment for the additional one (1) year period. The Company’s election not to renew the initial Period of Employment or any subsequent Period of Employment shall constitute a termination of Executive’s employment without Cause for purposes of Section 6.</w:t>
      </w:r>
    </w:p>
    <w:p>
      <w:pPr>
        <w:spacing w:after="0" w:line="280" w:lineRule="exact"/>
        <w:rPr>
          <w:rFonts w:ascii="Times New Roman" w:cs="Times New Roman" w:eastAsia="Times New Roman" w:hAnsi="Times New Roman"/>
          <w:sz w:val="16"/>
          <w:szCs w:val="16"/>
          <w:color w:val="010000"/>
        </w:rPr>
      </w:pPr>
    </w:p>
    <w:p>
      <w:pPr>
        <w:ind w:left="1020" w:hanging="263"/>
        <w:spacing w:after="0"/>
        <w:tabs>
          <w:tab w:leader="none" w:pos="1020" w:val="left"/>
        </w:tabs>
        <w:numPr>
          <w:ilvl w:val="0"/>
          <w:numId w:val="82"/>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u w:val="single" w:color="auto"/>
          <w:color w:val="auto"/>
        </w:rPr>
        <w:t>Compensation</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jc w:val="both"/>
        <w:ind w:firstLine="1497"/>
        <w:spacing w:after="0" w:line="280" w:lineRule="auto"/>
        <w:rPr>
          <w:sz w:val="20"/>
          <w:szCs w:val="20"/>
          <w:color w:val="auto"/>
        </w:rPr>
      </w:pPr>
      <w:r>
        <w:rPr>
          <w:rFonts w:ascii="Times New Roman" w:cs="Times New Roman" w:eastAsia="Times New Roman" w:hAnsi="Times New Roman"/>
          <w:sz w:val="15"/>
          <w:szCs w:val="15"/>
          <w:color w:val="010000"/>
        </w:rPr>
        <w:t xml:space="preserve">3.1 </w:t>
      </w:r>
      <w:r>
        <w:rPr>
          <w:rFonts w:ascii="Times New Roman" w:cs="Times New Roman" w:eastAsia="Times New Roman" w:hAnsi="Times New Roman"/>
          <w:sz w:val="16"/>
          <w:szCs w:val="16"/>
          <w:u w:val="single" w:color="auto"/>
          <w:color w:val="000000"/>
        </w:rPr>
        <w:t>Base Salary</w:t>
      </w:r>
      <w:r>
        <w:rPr>
          <w:rFonts w:ascii="Times New Roman" w:cs="Times New Roman" w:eastAsia="Times New Roman" w:hAnsi="Times New Roman"/>
          <w:sz w:val="16"/>
          <w:szCs w:val="16"/>
          <w:color w:val="000000"/>
        </w:rPr>
        <w:t>. During the Period of Employment, the Company shall pay Executive a per annum base salary as set forth in</w:t>
      </w:r>
      <w:r>
        <w:rPr>
          <w:rFonts w:ascii="Times New Roman" w:cs="Times New Roman" w:eastAsia="Times New Roman" w:hAnsi="Times New Roman"/>
          <w:sz w:val="15"/>
          <w:szCs w:val="15"/>
          <w:color w:val="010000"/>
        </w:rPr>
        <w:t xml:space="preserve"> </w:t>
      </w:r>
      <w:r>
        <w:rPr>
          <w:rFonts w:ascii="Times New Roman" w:cs="Times New Roman" w:eastAsia="Times New Roman" w:hAnsi="Times New Roman"/>
          <w:sz w:val="16"/>
          <w:szCs w:val="16"/>
          <w:u w:val="single" w:color="auto"/>
          <w:color w:val="000000"/>
        </w:rPr>
        <w:t>Exhibit A</w:t>
      </w:r>
      <w:r>
        <w:rPr>
          <w:rFonts w:ascii="Times New Roman" w:cs="Times New Roman" w:eastAsia="Times New Roman" w:hAnsi="Times New Roman"/>
          <w:sz w:val="15"/>
          <w:szCs w:val="15"/>
          <w:color w:val="010000"/>
        </w:rPr>
        <w:t xml:space="preserve"> </w:t>
      </w:r>
      <w:r>
        <w:rPr>
          <w:rFonts w:ascii="Times New Roman" w:cs="Times New Roman" w:eastAsia="Times New Roman" w:hAnsi="Times New Roman"/>
          <w:sz w:val="16"/>
          <w:szCs w:val="16"/>
          <w:color w:val="000000"/>
        </w:rPr>
        <w:t>(as</w:t>
      </w:r>
      <w:r>
        <w:rPr>
          <w:rFonts w:ascii="Times New Roman" w:cs="Times New Roman" w:eastAsia="Times New Roman" w:hAnsi="Times New Roman"/>
          <w:sz w:val="15"/>
          <w:szCs w:val="15"/>
          <w:color w:val="010000"/>
        </w:rPr>
        <w:t xml:space="preserve"> </w:t>
      </w:r>
      <w:r>
        <w:rPr>
          <w:rFonts w:ascii="Times New Roman" w:cs="Times New Roman" w:eastAsia="Times New Roman" w:hAnsi="Times New Roman"/>
          <w:sz w:val="16"/>
          <w:szCs w:val="16"/>
          <w:color w:val="000000"/>
        </w:rPr>
        <w:t>adjusted from time to time by the Board in its sole discretion, the “</w:t>
      </w:r>
      <w:r>
        <w:rPr>
          <w:rFonts w:ascii="Times New Roman" w:cs="Times New Roman" w:eastAsia="Times New Roman" w:hAnsi="Times New Roman"/>
          <w:sz w:val="16"/>
          <w:szCs w:val="16"/>
          <w:u w:val="single" w:color="auto"/>
          <w:color w:val="000000"/>
        </w:rPr>
        <w:t>Base Salary</w:t>
      </w:r>
      <w:r>
        <w:rPr>
          <w:rFonts w:ascii="Times New Roman" w:cs="Times New Roman" w:eastAsia="Times New Roman" w:hAnsi="Times New Roman"/>
          <w:sz w:val="16"/>
          <w:szCs w:val="16"/>
          <w:color w:val="000000"/>
        </w:rPr>
        <w:t xml:space="preserve">”) payable in accordance with the standard policies of the Company. Executive’s Base Salary shall be subject to annual review by the Board; </w:t>
      </w:r>
      <w:r>
        <w:rPr>
          <w:rFonts w:ascii="Times New Roman" w:cs="Times New Roman" w:eastAsia="Times New Roman" w:hAnsi="Times New Roman"/>
          <w:sz w:val="16"/>
          <w:szCs w:val="16"/>
          <w:u w:val="single" w:color="auto"/>
          <w:color w:val="000000"/>
        </w:rPr>
        <w:t>provided</w:t>
      </w:r>
      <w:r>
        <w:rPr>
          <w:rFonts w:ascii="Times New Roman" w:cs="Times New Roman" w:eastAsia="Times New Roman" w:hAnsi="Times New Roman"/>
          <w:sz w:val="16"/>
          <w:szCs w:val="16"/>
          <w:color w:val="000000"/>
        </w:rPr>
        <w:t xml:space="preserve">, </w:t>
      </w:r>
      <w:r>
        <w:rPr>
          <w:rFonts w:ascii="Times New Roman" w:cs="Times New Roman" w:eastAsia="Times New Roman" w:hAnsi="Times New Roman"/>
          <w:sz w:val="16"/>
          <w:szCs w:val="16"/>
          <w:u w:val="single" w:color="auto"/>
          <w:color w:val="000000"/>
        </w:rPr>
        <w:t>however,</w:t>
      </w:r>
      <w:r>
        <w:rPr>
          <w:rFonts w:ascii="Times New Roman" w:cs="Times New Roman" w:eastAsia="Times New Roman" w:hAnsi="Times New Roman"/>
          <w:sz w:val="16"/>
          <w:szCs w:val="16"/>
          <w:color w:val="000000"/>
        </w:rPr>
        <w:t xml:space="preserve"> that the level of such Base Salary shall not be subject to reduction unless consented to in writing by Executive.</w:t>
      </w:r>
    </w:p>
    <w:p>
      <w:pPr>
        <w:spacing w:after="0" w:line="274"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5"/>
          <w:szCs w:val="15"/>
          <w:color w:val="010000"/>
        </w:rPr>
        <w:t xml:space="preserve">3.2 </w:t>
      </w:r>
      <w:r>
        <w:rPr>
          <w:rFonts w:ascii="Times New Roman" w:cs="Times New Roman" w:eastAsia="Times New Roman" w:hAnsi="Times New Roman"/>
          <w:sz w:val="16"/>
          <w:szCs w:val="16"/>
          <w:u w:val="single" w:color="auto"/>
          <w:color w:val="000000"/>
        </w:rPr>
        <w:t>Performance-Based Compensation</w:t>
      </w:r>
      <w:r>
        <w:rPr>
          <w:rFonts w:ascii="Times New Roman" w:cs="Times New Roman" w:eastAsia="Times New Roman" w:hAnsi="Times New Roman"/>
          <w:sz w:val="16"/>
          <w:szCs w:val="16"/>
          <w:color w:val="000000"/>
        </w:rPr>
        <w:t>. During the Period of Employment, Executive shall also be entitled to participate in an annual</w:t>
      </w:r>
      <w:r>
        <w:rPr>
          <w:rFonts w:ascii="Times New Roman" w:cs="Times New Roman" w:eastAsia="Times New Roman" w:hAnsi="Times New Roman"/>
          <w:sz w:val="15"/>
          <w:szCs w:val="15"/>
          <w:color w:val="010000"/>
        </w:rPr>
        <w:t xml:space="preserve"> </w:t>
      </w:r>
      <w:r>
        <w:rPr>
          <w:rFonts w:ascii="Times New Roman" w:cs="Times New Roman" w:eastAsia="Times New Roman" w:hAnsi="Times New Roman"/>
          <w:sz w:val="16"/>
          <w:szCs w:val="16"/>
          <w:color w:val="000000"/>
        </w:rPr>
        <w:t xml:space="preserve">performance-based cash bonus program as set forth in </w:t>
      </w:r>
      <w:r>
        <w:rPr>
          <w:rFonts w:ascii="Times New Roman" w:cs="Times New Roman" w:eastAsia="Times New Roman" w:hAnsi="Times New Roman"/>
          <w:sz w:val="16"/>
          <w:szCs w:val="16"/>
          <w:u w:val="single" w:color="auto"/>
          <w:color w:val="000000"/>
        </w:rPr>
        <w:t>Exhibit A</w:t>
      </w:r>
      <w:r>
        <w:rPr>
          <w:rFonts w:ascii="Times New Roman" w:cs="Times New Roman" w:eastAsia="Times New Roman" w:hAnsi="Times New Roman"/>
          <w:sz w:val="16"/>
          <w:szCs w:val="16"/>
          <w:color w:val="000000"/>
        </w:rPr>
        <w:t xml:space="preserve">. Executive’s annual performance-based cash bonus opportunity shall be subject to annual review by the Board; </w:t>
      </w:r>
      <w:r>
        <w:rPr>
          <w:rFonts w:ascii="Times New Roman" w:cs="Times New Roman" w:eastAsia="Times New Roman" w:hAnsi="Times New Roman"/>
          <w:sz w:val="16"/>
          <w:szCs w:val="16"/>
          <w:u w:val="single" w:color="auto"/>
          <w:color w:val="000000"/>
        </w:rPr>
        <w:t>provided</w:t>
      </w:r>
      <w:r>
        <w:rPr>
          <w:rFonts w:ascii="Times New Roman" w:cs="Times New Roman" w:eastAsia="Times New Roman" w:hAnsi="Times New Roman"/>
          <w:sz w:val="16"/>
          <w:szCs w:val="16"/>
          <w:color w:val="000000"/>
        </w:rPr>
        <w:t xml:space="preserve">, </w:t>
      </w:r>
      <w:r>
        <w:rPr>
          <w:rFonts w:ascii="Times New Roman" w:cs="Times New Roman" w:eastAsia="Times New Roman" w:hAnsi="Times New Roman"/>
          <w:sz w:val="16"/>
          <w:szCs w:val="16"/>
          <w:u w:val="single" w:color="auto"/>
          <w:color w:val="000000"/>
        </w:rPr>
        <w:t>however</w:t>
      </w:r>
      <w:r>
        <w:rPr>
          <w:rFonts w:ascii="Times New Roman" w:cs="Times New Roman" w:eastAsia="Times New Roman" w:hAnsi="Times New Roman"/>
          <w:sz w:val="16"/>
          <w:szCs w:val="16"/>
          <w:color w:val="000000"/>
        </w:rPr>
        <w:t>, that the target level of such bonus, determined as a percentage of Base Salary, shall not be subject to reduction unless consented to in writing by Executive. With respect to the 2021 calendar year, any annual bonus ultimately payable based on actual performance will be pro-rated such that Executive’s pre-Period of Employment base salary and bonus target will be applied to the bonus calculation for the time period from January 1, 2021 to August 8, 2021.</w:t>
      </w:r>
    </w:p>
    <w:p>
      <w:pPr>
        <w:spacing w:after="0" w:line="78" w:lineRule="exact"/>
        <w:rPr>
          <w:sz w:val="20"/>
          <w:szCs w:val="20"/>
          <w:color w:val="auto"/>
        </w:rPr>
      </w:pPr>
    </w:p>
    <w:p>
      <w:pPr>
        <w:jc w:val="both"/>
        <w:ind w:firstLine="1497"/>
        <w:spacing w:after="0" w:line="281" w:lineRule="auto"/>
        <w:rPr>
          <w:sz w:val="20"/>
          <w:szCs w:val="20"/>
          <w:color w:val="auto"/>
        </w:rPr>
      </w:pPr>
      <w:r>
        <w:rPr>
          <w:rFonts w:ascii="Times New Roman" w:cs="Times New Roman" w:eastAsia="Times New Roman" w:hAnsi="Times New Roman"/>
          <w:sz w:val="15"/>
          <w:szCs w:val="15"/>
          <w:color w:val="010000"/>
        </w:rPr>
        <w:t xml:space="preserve">3.3 </w:t>
      </w:r>
      <w:r>
        <w:rPr>
          <w:rFonts w:ascii="Times New Roman" w:cs="Times New Roman" w:eastAsia="Times New Roman" w:hAnsi="Times New Roman"/>
          <w:sz w:val="16"/>
          <w:szCs w:val="16"/>
          <w:u w:val="single" w:color="auto"/>
          <w:color w:val="000000"/>
        </w:rPr>
        <w:t>Equity-Based Compensation</w:t>
      </w:r>
      <w:r>
        <w:rPr>
          <w:rFonts w:ascii="Times New Roman" w:cs="Times New Roman" w:eastAsia="Times New Roman" w:hAnsi="Times New Roman"/>
          <w:sz w:val="16"/>
          <w:szCs w:val="16"/>
          <w:color w:val="000000"/>
        </w:rPr>
        <w:t>. Executive shall be eligible to participate in the Company’s equity-based compensation plans or programs as</w:t>
      </w:r>
      <w:r>
        <w:rPr>
          <w:rFonts w:ascii="Times New Roman" w:cs="Times New Roman" w:eastAsia="Times New Roman" w:hAnsi="Times New Roman"/>
          <w:sz w:val="15"/>
          <w:szCs w:val="15"/>
          <w:color w:val="010000"/>
        </w:rPr>
        <w:t xml:space="preserve"> </w:t>
      </w:r>
      <w:r>
        <w:rPr>
          <w:rFonts w:ascii="Times New Roman" w:cs="Times New Roman" w:eastAsia="Times New Roman" w:hAnsi="Times New Roman"/>
          <w:sz w:val="16"/>
          <w:szCs w:val="16"/>
          <w:color w:val="000000"/>
        </w:rPr>
        <w:t>may be adopted by the Company from time to time for its senior executives, at such level and in such amounts as may be determined by the Board in its sole discretion, subject to the terms and conditions of such equity-based plans and any applicable award agreements thereunder.</w:t>
      </w:r>
    </w:p>
    <w:p>
      <w:pPr>
        <w:spacing w:after="0" w:line="69" w:lineRule="exact"/>
        <w:rPr>
          <w:sz w:val="20"/>
          <w:szCs w:val="20"/>
          <w:color w:val="auto"/>
        </w:rPr>
      </w:pPr>
    </w:p>
    <w:p>
      <w:pPr>
        <w:jc w:val="both"/>
        <w:ind w:firstLine="1497"/>
        <w:spacing w:after="0" w:line="298" w:lineRule="auto"/>
        <w:rPr>
          <w:sz w:val="20"/>
          <w:szCs w:val="20"/>
          <w:color w:val="auto"/>
        </w:rPr>
      </w:pPr>
      <w:r>
        <w:rPr>
          <w:rFonts w:ascii="Times New Roman" w:cs="Times New Roman" w:eastAsia="Times New Roman" w:hAnsi="Times New Roman"/>
          <w:sz w:val="16"/>
          <w:szCs w:val="16"/>
          <w:color w:val="auto"/>
        </w:rPr>
        <w:t xml:space="preserve">3.5 </w:t>
      </w:r>
      <w:r>
        <w:rPr>
          <w:rFonts w:ascii="Times New Roman" w:cs="Times New Roman" w:eastAsia="Times New Roman" w:hAnsi="Times New Roman"/>
          <w:sz w:val="16"/>
          <w:szCs w:val="16"/>
          <w:u w:val="single" w:color="auto"/>
          <w:color w:val="auto"/>
        </w:rPr>
        <w:t>Taxes</w:t>
      </w:r>
      <w:r>
        <w:rPr>
          <w:rFonts w:ascii="Times New Roman" w:cs="Times New Roman" w:eastAsia="Times New Roman" w:hAnsi="Times New Roman"/>
          <w:sz w:val="16"/>
          <w:szCs w:val="16"/>
          <w:color w:val="auto"/>
        </w:rPr>
        <w:t>. Federal, state, local and other applicable taxes shall be withheld on all cash and in-kind payments made by the Company to Executive pursuant to this Agreement in accordance with applicable tax laws and regulations.</w:t>
      </w:r>
    </w:p>
    <w:p>
      <w:pPr>
        <w:spacing w:after="0" w:line="56" w:lineRule="exact"/>
        <w:rPr>
          <w:sz w:val="20"/>
          <w:szCs w:val="20"/>
          <w:color w:val="auto"/>
        </w:rPr>
      </w:pPr>
    </w:p>
    <w:p>
      <w:pPr>
        <w:jc w:val="both"/>
        <w:ind w:firstLine="757"/>
        <w:spacing w:after="0" w:line="275" w:lineRule="auto"/>
        <w:tabs>
          <w:tab w:leader="none" w:pos="1018" w:val="left"/>
        </w:tabs>
        <w:numPr>
          <w:ilvl w:val="0"/>
          <w:numId w:val="83"/>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u w:val="single" w:color="auto"/>
          <w:color w:val="auto"/>
        </w:rPr>
        <w:t>Benefits</w:t>
      </w:r>
      <w:r>
        <w:rPr>
          <w:rFonts w:ascii="Times New Roman" w:cs="Times New Roman" w:eastAsia="Times New Roman" w:hAnsi="Times New Roman"/>
          <w:sz w:val="16"/>
          <w:szCs w:val="16"/>
          <w:color w:val="auto"/>
        </w:rPr>
        <w:t xml:space="preserve">. During the Period of Employment, Executive shall be entitled to participate in benefit plans and programs maintained by the Company from time to time and generally made available to its senior executive officers;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(a) Executive’s right to participate in such plans and programs shall not affect the Company’s right to amend or terminate any such plan and program, and (b) Executive acknowledges that Executive shall have no vested rights under any such plan or program except as expressly provided under the terms thereof.</w:t>
      </w:r>
    </w:p>
    <w:p>
      <w:pPr>
        <w:spacing w:after="0" w:line="74" w:lineRule="exact"/>
        <w:rPr>
          <w:rFonts w:ascii="Times New Roman" w:cs="Times New Roman" w:eastAsia="Times New Roman" w:hAnsi="Times New Roman"/>
          <w:sz w:val="16"/>
          <w:szCs w:val="16"/>
          <w:color w:val="010000"/>
        </w:rPr>
      </w:pPr>
    </w:p>
    <w:p>
      <w:pPr>
        <w:ind w:firstLine="757"/>
        <w:spacing w:after="0" w:line="298" w:lineRule="auto"/>
        <w:tabs>
          <w:tab w:leader="none" w:pos="1018" w:val="left"/>
        </w:tabs>
        <w:numPr>
          <w:ilvl w:val="0"/>
          <w:numId w:val="83"/>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u w:val="single" w:color="auto"/>
          <w:color w:val="auto"/>
        </w:rPr>
        <w:t>Expenses</w:t>
      </w:r>
      <w:r>
        <w:rPr>
          <w:rFonts w:ascii="Times New Roman" w:cs="Times New Roman" w:eastAsia="Times New Roman" w:hAnsi="Times New Roman"/>
          <w:sz w:val="16"/>
          <w:szCs w:val="16"/>
          <w:color w:val="auto"/>
        </w:rPr>
        <w:t>. Upon presentation of acceptable substantiation therefor, the Company will pay or reimburse Executive for such reasonable travel, entertainment and other expenses as Executive may incur during the Period of Employment in connection with the performance of his duties hereunder.</w:t>
      </w:r>
    </w:p>
    <w:p>
      <w:pPr>
        <w:spacing w:after="0" w:line="56" w:lineRule="exact"/>
        <w:rPr>
          <w:rFonts w:ascii="Times New Roman" w:cs="Times New Roman" w:eastAsia="Times New Roman" w:hAnsi="Times New Roman"/>
          <w:sz w:val="16"/>
          <w:szCs w:val="16"/>
          <w:color w:val="010000"/>
        </w:rPr>
      </w:pPr>
    </w:p>
    <w:p>
      <w:pPr>
        <w:jc w:val="both"/>
        <w:ind w:firstLine="757"/>
        <w:spacing w:after="0" w:line="281" w:lineRule="auto"/>
        <w:tabs>
          <w:tab w:leader="none" w:pos="1018" w:val="left"/>
        </w:tabs>
        <w:numPr>
          <w:ilvl w:val="0"/>
          <w:numId w:val="83"/>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u w:val="single" w:color="auto"/>
          <w:color w:val="auto"/>
        </w:rPr>
        <w:t>Termination of Employment</w:t>
      </w:r>
      <w:r>
        <w:rPr>
          <w:rFonts w:ascii="Times New Roman" w:cs="Times New Roman" w:eastAsia="Times New Roman" w:hAnsi="Times New Roman"/>
          <w:sz w:val="16"/>
          <w:szCs w:val="16"/>
          <w:color w:val="auto"/>
        </w:rPr>
        <w:t>. The parties hereto expressly agree that Executive’s employment may be terminated by either (i) the Company immediately upon written notice to Executive or (ii) Executive upon thirty (30) days’ advance written notice to the Company and that, upon any such termination, except as set forth in Section 6.2, Executive shall not be entitled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862965</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14" w:name="page115"/>
    <w:bookmarkEnd w:id="114"/>
    <w:p>
      <w:pPr>
        <w:spacing w:after="0" w:line="90"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to any payment in the nature of severance or otherwise (other than Base Salary, reimbursement of expenses incurred prior to termination and any other benefits earned and accrued through the date of such termination).</w:t>
      </w:r>
    </w:p>
    <w:p>
      <w:pPr>
        <w:spacing w:after="0" w:line="56" w:lineRule="exact"/>
        <w:rPr>
          <w:sz w:val="20"/>
          <w:szCs w:val="20"/>
          <w:color w:val="auto"/>
        </w:rPr>
      </w:pPr>
    </w:p>
    <w:p>
      <w:pPr>
        <w:jc w:val="both"/>
        <w:ind w:firstLine="1497"/>
        <w:spacing w:after="0" w:line="281" w:lineRule="auto"/>
        <w:rPr>
          <w:sz w:val="20"/>
          <w:szCs w:val="20"/>
          <w:color w:val="auto"/>
        </w:rPr>
      </w:pPr>
      <w:r>
        <w:rPr>
          <w:rFonts w:ascii="Times New Roman" w:cs="Times New Roman" w:eastAsia="Times New Roman" w:hAnsi="Times New Roman"/>
          <w:sz w:val="15"/>
          <w:szCs w:val="15"/>
          <w:color w:val="010000"/>
        </w:rPr>
        <w:t xml:space="preserve">6.1 </w:t>
      </w:r>
      <w:r>
        <w:rPr>
          <w:rFonts w:ascii="Times New Roman" w:cs="Times New Roman" w:eastAsia="Times New Roman" w:hAnsi="Times New Roman"/>
          <w:sz w:val="16"/>
          <w:szCs w:val="16"/>
          <w:u w:val="single" w:color="auto"/>
          <w:color w:val="000000"/>
        </w:rPr>
        <w:t>Death or Disability</w:t>
      </w:r>
      <w:r>
        <w:rPr>
          <w:rFonts w:ascii="Times New Roman" w:cs="Times New Roman" w:eastAsia="Times New Roman" w:hAnsi="Times New Roman"/>
          <w:sz w:val="16"/>
          <w:szCs w:val="16"/>
          <w:color w:val="000000"/>
        </w:rPr>
        <w:t>. The employment of Executive and all rights to compensation under this Agreement shall terminate upon the death or</w:t>
      </w:r>
      <w:r>
        <w:rPr>
          <w:rFonts w:ascii="Times New Roman" w:cs="Times New Roman" w:eastAsia="Times New Roman" w:hAnsi="Times New Roman"/>
          <w:sz w:val="15"/>
          <w:szCs w:val="15"/>
          <w:color w:val="010000"/>
        </w:rPr>
        <w:t xml:space="preserve"> </w:t>
      </w:r>
      <w:r>
        <w:rPr>
          <w:rFonts w:ascii="Times New Roman" w:cs="Times New Roman" w:eastAsia="Times New Roman" w:hAnsi="Times New Roman"/>
          <w:sz w:val="16"/>
          <w:szCs w:val="16"/>
          <w:color w:val="000000"/>
        </w:rPr>
        <w:t>Disability (as defined below) of Executive, except for such death or disability payments as may be payable under one or more benefit plans maintained at that time by the Company and applicable to Executive.</w:t>
      </w:r>
    </w:p>
    <w:p>
      <w:pPr>
        <w:spacing w:after="0" w:line="69"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6"/>
          <w:szCs w:val="16"/>
          <w:color w:val="auto"/>
        </w:rPr>
        <w:t>As used herein, “</w:t>
      </w:r>
      <w:r>
        <w:rPr>
          <w:rFonts w:ascii="Times New Roman" w:cs="Times New Roman" w:eastAsia="Times New Roman" w:hAnsi="Times New Roman"/>
          <w:sz w:val="16"/>
          <w:szCs w:val="16"/>
          <w:u w:val="single" w:color="auto"/>
          <w:color w:val="auto"/>
        </w:rPr>
        <w:t>Disability</w:t>
      </w:r>
      <w:r>
        <w:rPr>
          <w:rFonts w:ascii="Times New Roman" w:cs="Times New Roman" w:eastAsia="Times New Roman" w:hAnsi="Times New Roman"/>
          <w:sz w:val="16"/>
          <w:szCs w:val="16"/>
          <w:color w:val="auto"/>
        </w:rPr>
        <w:t>” means the Board has made a good faith determination that Executive has become physically or mentally incapacitated or disabled such that Executive is unable to perform for the Company substantially the same services as Executive performed prior to incurring such incapacity or disability, and such incapacity or disability exists for an aggregate of 120 calendar days in any twelve (12) month period. In connection with making such determination, the Company, at its option and expense, shall be entitled to select and retain a physician to confirm the existence of such incapacity or disability, and the determination made by such physician shall be binding on the parties for the purposes of this Agreement.</w:t>
      </w:r>
    </w:p>
    <w:p>
      <w:pPr>
        <w:spacing w:after="0" w:line="78" w:lineRule="exact"/>
        <w:rPr>
          <w:sz w:val="20"/>
          <w:szCs w:val="20"/>
          <w:color w:val="auto"/>
        </w:rPr>
      </w:pPr>
    </w:p>
    <w:p>
      <w:pPr>
        <w:jc w:val="both"/>
        <w:ind w:firstLine="1497"/>
        <w:spacing w:after="0" w:line="267" w:lineRule="auto"/>
        <w:rPr>
          <w:sz w:val="20"/>
          <w:szCs w:val="20"/>
          <w:color w:val="auto"/>
        </w:rPr>
      </w:pPr>
      <w:r>
        <w:rPr>
          <w:rFonts w:ascii="Times New Roman" w:cs="Times New Roman" w:eastAsia="Times New Roman" w:hAnsi="Times New Roman"/>
          <w:sz w:val="15"/>
          <w:szCs w:val="15"/>
          <w:color w:val="010000"/>
        </w:rPr>
        <w:t xml:space="preserve">6.2 </w:t>
      </w:r>
      <w:r>
        <w:rPr>
          <w:rFonts w:ascii="Times New Roman" w:cs="Times New Roman" w:eastAsia="Times New Roman" w:hAnsi="Times New Roman"/>
          <w:sz w:val="16"/>
          <w:szCs w:val="16"/>
          <w:u w:val="single" w:color="auto"/>
          <w:color w:val="000000"/>
        </w:rPr>
        <w:t>Termination with Severance Obligation</w:t>
      </w:r>
      <w:r>
        <w:rPr>
          <w:rFonts w:ascii="Times New Roman" w:cs="Times New Roman" w:eastAsia="Times New Roman" w:hAnsi="Times New Roman"/>
          <w:sz w:val="16"/>
          <w:szCs w:val="16"/>
          <w:color w:val="000000"/>
        </w:rPr>
        <w:t>. Upon termination of Executive’s employment by the Company without Cause (as defined below) or</w:t>
      </w:r>
      <w:r>
        <w:rPr>
          <w:rFonts w:ascii="Times New Roman" w:cs="Times New Roman" w:eastAsia="Times New Roman" w:hAnsi="Times New Roman"/>
          <w:sz w:val="15"/>
          <w:szCs w:val="15"/>
          <w:color w:val="010000"/>
        </w:rPr>
        <w:t xml:space="preserve"> </w:t>
      </w:r>
      <w:r>
        <w:rPr>
          <w:rFonts w:ascii="Times New Roman" w:cs="Times New Roman" w:eastAsia="Times New Roman" w:hAnsi="Times New Roman"/>
          <w:sz w:val="16"/>
          <w:szCs w:val="16"/>
          <w:color w:val="000000"/>
        </w:rPr>
        <w:t>by Executive for Good Reason (as defined below), subject to Executive’s execution and non-revocation of a Release (as defined in Section 6.3) in accordance with Section 10.3, and for so long as Executive is in material compliance with the terms of this Agreement (including, without limitation, Section 7.1), Executive shall, subject to Section</w:t>
      </w:r>
    </w:p>
    <w:p>
      <w:pPr>
        <w:spacing w:after="0" w:line="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 xml:space="preserve">10.1, be entitled to receive from the Company (i) a monthly cash severance payment in an amount equal to the Monthly Severance Amount (as defined below) for a period of twelve (12) months from the date of termination, (ii) a lump sum cash payment in an amount equal to Executive’s salary, pro rata target bonus (determined without regard to the actual performance of the Company) and unused vacation (as determined in accordance with the Company’s policy in effect from time to time) accrued and unpaid through the date of termination, in each case, payable in accordance with the standard policies of the Company and (iii) a lump sum cash payment in an amount, if any, that Executive would have been entitled to receive pursuant to the annual performance-based cash bonus program set forth in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for the Company’s then current fiscal year had Executive’s employment terminated immediately after the bonus payment date for such fiscal year, in each case, payable in accordance with the standard policies of the Company;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in the case of clause (iii), such cash severance payment shall be payable only if, when and to the extent that Executive would have been paid pursuant to the annual performance-based cash bonus program set forth in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xml:space="preserve"> that any such amount shall be reduced, but not below zero, by the amount of the pro rata target bonus paid pursuant to Section 6.2(ii) above. Provided Executive elects to continue health coverage under COBRA following the date of termination, the Company will pay a portion of the premiums to continue Executive’s medical, vision and dental insurance for the period during which Executive is entitled to receive the Monthly Severance Amount, regardless of whether Executive is legally entitled to COBRA benefits during such period (the “</w:t>
      </w:r>
      <w:r>
        <w:rPr>
          <w:rFonts w:ascii="Times New Roman" w:cs="Times New Roman" w:eastAsia="Times New Roman" w:hAnsi="Times New Roman"/>
          <w:sz w:val="16"/>
          <w:szCs w:val="16"/>
          <w:u w:val="single" w:color="auto"/>
          <w:color w:val="auto"/>
        </w:rPr>
        <w:t>Health Benefits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Continuation</w:t>
      </w:r>
      <w:r>
        <w:rPr>
          <w:rFonts w:ascii="Times New Roman" w:cs="Times New Roman" w:eastAsia="Times New Roman" w:hAnsi="Times New Roman"/>
          <w:sz w:val="16"/>
          <w:szCs w:val="16"/>
          <w:color w:val="auto"/>
        </w:rPr>
        <w:t>”). During the period of Health Benefits Continuation, the Company shall pay a portion of each monthly premium equal to the portion of the monthly premium that it pays on behalf of active employees (or a cash severance payment to Executive equal to such monthly premium if such premium payments would result in excise taxes or penalties to either Executive or the Company), and Executive shall be responsible for any remaining portion of such premium. In the event that Executive does not pay Executive’s monthly premium, the Health Benefits Continuation shall cease.</w:t>
      </w:r>
    </w:p>
    <w:p>
      <w:pPr>
        <w:spacing w:after="0" w:line="90" w:lineRule="exact"/>
        <w:rPr>
          <w:sz w:val="20"/>
          <w:szCs w:val="20"/>
          <w:color w:val="auto"/>
        </w:rPr>
      </w:pPr>
    </w:p>
    <w:p>
      <w:pPr>
        <w:jc w:val="both"/>
        <w:ind w:firstLine="1497"/>
        <w:spacing w:after="0" w:line="281" w:lineRule="auto"/>
        <w:rPr>
          <w:sz w:val="20"/>
          <w:szCs w:val="20"/>
          <w:color w:val="auto"/>
        </w:rPr>
      </w:pPr>
      <w:r>
        <w:rPr>
          <w:rFonts w:ascii="Times New Roman" w:cs="Times New Roman" w:eastAsia="Times New Roman" w:hAnsi="Times New Roman"/>
          <w:sz w:val="16"/>
          <w:szCs w:val="16"/>
          <w:color w:val="auto"/>
        </w:rPr>
        <w:t>As used herein, “</w:t>
      </w:r>
      <w:r>
        <w:rPr>
          <w:rFonts w:ascii="Times New Roman" w:cs="Times New Roman" w:eastAsia="Times New Roman" w:hAnsi="Times New Roman"/>
          <w:sz w:val="16"/>
          <w:szCs w:val="16"/>
          <w:u w:val="single" w:color="auto"/>
          <w:color w:val="auto"/>
        </w:rPr>
        <w:t>Cause</w:t>
      </w:r>
      <w:r>
        <w:rPr>
          <w:rFonts w:ascii="Times New Roman" w:cs="Times New Roman" w:eastAsia="Times New Roman" w:hAnsi="Times New Roman"/>
          <w:sz w:val="16"/>
          <w:szCs w:val="16"/>
          <w:color w:val="auto"/>
        </w:rPr>
        <w:t xml:space="preserve">” means that Executive (i) has been convicted of a felony, or has entered a plea of guilty or </w:t>
      </w:r>
      <w:r>
        <w:rPr>
          <w:rFonts w:ascii="Times New Roman" w:cs="Times New Roman" w:eastAsia="Times New Roman" w:hAnsi="Times New Roman"/>
          <w:sz w:val="16"/>
          <w:szCs w:val="16"/>
          <w:u w:val="single" w:color="auto"/>
          <w:color w:val="auto"/>
        </w:rPr>
        <w:t>nolo contendere</w:t>
      </w:r>
      <w:r>
        <w:rPr>
          <w:rFonts w:ascii="Times New Roman" w:cs="Times New Roman" w:eastAsia="Times New Roman" w:hAnsi="Times New Roman"/>
          <w:sz w:val="16"/>
          <w:szCs w:val="16"/>
          <w:color w:val="auto"/>
        </w:rPr>
        <w:t xml:space="preserve"> to a felony, (ii) has committed an act of fraud involving dishonesty which is injurious to the Company or any of its subsidiaries, (iii) has willfully and continually refused to perform his duties with the Company or any of its subsidiaries or (iv) has engaged in misconduct that is materially injurious to the Company or any of its subsidiaries.</w:t>
      </w:r>
    </w:p>
    <w:p>
      <w:pPr>
        <w:spacing w:after="0" w:line="6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6"/>
          <w:szCs w:val="16"/>
          <w:color w:val="auto"/>
        </w:rPr>
        <w:t>As used herein, “</w:t>
      </w:r>
      <w:r>
        <w:rPr>
          <w:rFonts w:ascii="Times New Roman" w:cs="Times New Roman" w:eastAsia="Times New Roman" w:hAnsi="Times New Roman"/>
          <w:sz w:val="16"/>
          <w:szCs w:val="16"/>
          <w:u w:val="single" w:color="auto"/>
          <w:color w:val="auto"/>
        </w:rPr>
        <w:t>Good Reason</w:t>
      </w:r>
      <w:r>
        <w:rPr>
          <w:rFonts w:ascii="Times New Roman" w:cs="Times New Roman" w:eastAsia="Times New Roman" w:hAnsi="Times New Roman"/>
          <w:sz w:val="16"/>
          <w:szCs w:val="16"/>
          <w:color w:val="auto"/>
        </w:rPr>
        <w:t>” means Executive’s voluntary resignation within ninety (90) days following the initial existence of one or more of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following conditions: (i) a change in Executive’s position or the assignment to Executive of duties constituting a material diminution in Executive’s position, duties or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responsibilities compared with Executive’s position, duties or responsibilities with the Company on the Effective Date or (ii) a material reduction of Executive’s Base Salary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in effect from time to time. In the event that any change in Executive’s position, duties or responsibilities is implemented or proposed to be implemented by the Company,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then: (A) unless Executive provides written notice to the Board within thirty (30) days of being notified of such change or proposed change that Executive asserts that such</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change constitutes a “material diminution” for purposes of clause (i) of the definition of Good Reason, such change shall be deemed not to be such a “material diminution”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thereafter Executive’s position, duties and responsibilities shall be as so changed; and (B) in the event that Executive provides such notice in a timely manner and,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within thirty (30) days thereafter, the Company, in its sole discretion, rescinds or alters such change, then for purposes of such clause (i) of the definition of Good Reason the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original change shall be disregarded (except to any extent so altered). Nothing in this Section 6.2 shall limit the Company’s right to contest any assertion that Executive may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make with respect to any such change.</w:t>
      </w:r>
    </w:p>
    <w:p>
      <w:pPr>
        <w:spacing w:after="0" w:line="11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6"/>
          <w:szCs w:val="16"/>
          <w:color w:val="auto"/>
        </w:rPr>
        <w:t>As used herein, “</w:t>
      </w:r>
      <w:r>
        <w:rPr>
          <w:rFonts w:ascii="Times New Roman" w:cs="Times New Roman" w:eastAsia="Times New Roman" w:hAnsi="Times New Roman"/>
          <w:sz w:val="16"/>
          <w:szCs w:val="16"/>
          <w:u w:val="single" w:color="auto"/>
          <w:color w:val="auto"/>
        </w:rPr>
        <w:t>Monthly Severance Amount</w:t>
      </w:r>
      <w:r>
        <w:rPr>
          <w:rFonts w:ascii="Times New Roman" w:cs="Times New Roman" w:eastAsia="Times New Roman" w:hAnsi="Times New Roman"/>
          <w:sz w:val="16"/>
          <w:szCs w:val="16"/>
          <w:color w:val="auto"/>
        </w:rPr>
        <w:t xml:space="preserve">” means an amount equal to the quotient of (i) the Base Salary as of the date of termination </w:t>
      </w:r>
      <w:r>
        <w:rPr>
          <w:rFonts w:ascii="Times New Roman" w:cs="Times New Roman" w:eastAsia="Times New Roman" w:hAnsi="Times New Roman"/>
          <w:sz w:val="16"/>
          <w:szCs w:val="16"/>
          <w:u w:val="single" w:color="auto"/>
          <w:color w:val="auto"/>
        </w:rPr>
        <w:t>divided by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(ii) 12.</w:t>
      </w:r>
    </w:p>
    <w:p>
      <w:pPr>
        <w:spacing w:after="0" w:line="119" w:lineRule="exact"/>
        <w:rPr>
          <w:sz w:val="20"/>
          <w:szCs w:val="20"/>
          <w:color w:val="auto"/>
        </w:rPr>
      </w:pPr>
    </w:p>
    <w:p>
      <w:pPr>
        <w:jc w:val="both"/>
        <w:ind w:firstLine="1497"/>
        <w:spacing w:after="0" w:line="280" w:lineRule="auto"/>
        <w:rPr>
          <w:sz w:val="20"/>
          <w:szCs w:val="20"/>
          <w:color w:val="auto"/>
        </w:rPr>
      </w:pPr>
      <w:r>
        <w:rPr>
          <w:rFonts w:ascii="Times New Roman" w:cs="Times New Roman" w:eastAsia="Times New Roman" w:hAnsi="Times New Roman"/>
          <w:sz w:val="15"/>
          <w:szCs w:val="15"/>
          <w:color w:val="010000"/>
        </w:rPr>
        <w:t xml:space="preserve">6.3 </w:t>
      </w:r>
      <w:r>
        <w:rPr>
          <w:rFonts w:ascii="Times New Roman" w:cs="Times New Roman" w:eastAsia="Times New Roman" w:hAnsi="Times New Roman"/>
          <w:sz w:val="16"/>
          <w:szCs w:val="16"/>
          <w:u w:val="single" w:color="auto"/>
          <w:color w:val="000000"/>
        </w:rPr>
        <w:t>Release</w:t>
      </w:r>
      <w:r>
        <w:rPr>
          <w:rFonts w:ascii="Times New Roman" w:cs="Times New Roman" w:eastAsia="Times New Roman" w:hAnsi="Times New Roman"/>
          <w:sz w:val="16"/>
          <w:szCs w:val="16"/>
          <w:color w:val="000000"/>
        </w:rPr>
        <w:t>. At the time of termination of Executive’s employment, Executive agrees to execute a general release in a form provided by the</w:t>
      </w:r>
      <w:r>
        <w:rPr>
          <w:rFonts w:ascii="Times New Roman" w:cs="Times New Roman" w:eastAsia="Times New Roman" w:hAnsi="Times New Roman"/>
          <w:sz w:val="15"/>
          <w:szCs w:val="15"/>
          <w:color w:val="010000"/>
        </w:rPr>
        <w:t xml:space="preserve"> </w:t>
      </w:r>
      <w:r>
        <w:rPr>
          <w:rFonts w:ascii="Times New Roman" w:cs="Times New Roman" w:eastAsia="Times New Roman" w:hAnsi="Times New Roman"/>
          <w:sz w:val="16"/>
          <w:szCs w:val="16"/>
          <w:color w:val="000000"/>
        </w:rPr>
        <w:t>Company (a “</w:t>
      </w:r>
      <w:r>
        <w:rPr>
          <w:rFonts w:ascii="Times New Roman" w:cs="Times New Roman" w:eastAsia="Times New Roman" w:hAnsi="Times New Roman"/>
          <w:sz w:val="16"/>
          <w:szCs w:val="16"/>
          <w:u w:val="single" w:color="auto"/>
          <w:color w:val="000000"/>
        </w:rPr>
        <w:t>Release</w:t>
      </w:r>
      <w:r>
        <w:rPr>
          <w:rFonts w:ascii="Times New Roman" w:cs="Times New Roman" w:eastAsia="Times New Roman" w:hAnsi="Times New Roman"/>
          <w:sz w:val="16"/>
          <w:szCs w:val="16"/>
          <w:color w:val="000000"/>
        </w:rPr>
        <w:t>”) whereby Executive will release, relinquish and forever discharge the Company and each of its parents and subsidiaries and any director, officer, employee, shareholder, controlling person or agent of the Company and each parent and subsidiary from any and all claims, damages, losses, costs, expenses, liabilities or obligations,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9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whether known or unknown (other than any rights Executive may have pursuant to (i) any indemnification arrangement of the Company with respect to Executive, (ii) any employee benefit plan or program covering Executive on a post termination basis in accordance with its terms and the terms of this Agreement, (iii) any stock purchase or stock option plan or agreement to which the Company and Executive are parties or (iv) Executive’s capacity as a stockholder of the Company), which Executive has incurred or suffered or may incur or suffer as a result of Executive’s employment by the Company or the termination of such employment.</w:t>
      </w:r>
    </w:p>
    <w:p>
      <w:pPr>
        <w:spacing w:after="0" w:line="75" w:lineRule="exact"/>
        <w:rPr>
          <w:sz w:val="20"/>
          <w:szCs w:val="20"/>
          <w:color w:val="auto"/>
        </w:rPr>
      </w:pPr>
    </w:p>
    <w:p>
      <w:pPr>
        <w:ind w:left="1020" w:hanging="263"/>
        <w:spacing w:after="0"/>
        <w:tabs>
          <w:tab w:leader="none" w:pos="1020" w:val="left"/>
        </w:tabs>
        <w:numPr>
          <w:ilvl w:val="0"/>
          <w:numId w:val="84"/>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u w:val="single" w:color="auto"/>
          <w:color w:val="auto"/>
        </w:rPr>
        <w:t>Non-Competition; Non-Disclosure of Proprietary Information, Surrender of Records; Inventions and Patents</w:t>
      </w:r>
      <w:r>
        <w:rPr>
          <w:rFonts w:ascii="Times New Roman" w:cs="Times New Roman" w:eastAsia="Times New Roman" w:hAnsi="Times New Roman"/>
          <w:sz w:val="16"/>
          <w:szCs w:val="16"/>
          <w:color w:val="auto"/>
        </w:rPr>
        <w:t>.</w:t>
      </w:r>
    </w:p>
    <w:p>
      <w:pPr>
        <w:spacing w:after="0" w:line="126" w:lineRule="exact"/>
        <w:rPr>
          <w:rFonts w:ascii="Times New Roman" w:cs="Times New Roman" w:eastAsia="Times New Roman" w:hAnsi="Times New Roman"/>
          <w:sz w:val="16"/>
          <w:szCs w:val="16"/>
          <w:color w:val="010000"/>
        </w:rPr>
      </w:pPr>
    </w:p>
    <w:p>
      <w:pPr>
        <w:ind w:left="1500"/>
        <w:spacing w:after="0"/>
        <w:rPr>
          <w:rFonts w:ascii="Times New Roman" w:cs="Times New Roman" w:eastAsia="Times New Roman" w:hAnsi="Times New Roman"/>
          <w:sz w:val="16"/>
          <w:szCs w:val="16"/>
          <w:color w:val="010000"/>
        </w:rPr>
      </w:pPr>
      <w:r>
        <w:rPr>
          <w:rFonts w:ascii="Times New Roman" w:cs="Times New Roman" w:eastAsia="Times New Roman" w:hAnsi="Times New Roman"/>
          <w:sz w:val="15"/>
          <w:szCs w:val="15"/>
          <w:color w:val="010000"/>
        </w:rPr>
        <w:t>7.1</w:t>
      </w:r>
      <w:r>
        <w:rPr>
          <w:rFonts w:ascii="Times New Roman" w:cs="Times New Roman" w:eastAsia="Times New Roman" w:hAnsi="Times New Roman"/>
          <w:sz w:val="16"/>
          <w:szCs w:val="16"/>
          <w:u w:val="single" w:color="auto"/>
          <w:color w:val="auto"/>
        </w:rPr>
        <w:t>Non-Competition</w:t>
      </w:r>
      <w:r>
        <w:rPr>
          <w:rFonts w:ascii="Times New Roman" w:cs="Times New Roman" w:eastAsia="Times New Roman" w:hAnsi="Times New Roman"/>
          <w:sz w:val="16"/>
          <w:szCs w:val="16"/>
          <w:color w:val="auto"/>
        </w:rPr>
        <w:t>.</w:t>
      </w:r>
    </w:p>
    <w:p>
      <w:pPr>
        <w:spacing w:after="0" w:line="153" w:lineRule="exact"/>
        <w:rPr>
          <w:rFonts w:ascii="Times New Roman" w:cs="Times New Roman" w:eastAsia="Times New Roman" w:hAnsi="Times New Roman"/>
          <w:sz w:val="16"/>
          <w:szCs w:val="16"/>
          <w:color w:val="010000"/>
        </w:rPr>
      </w:pPr>
    </w:p>
    <w:p>
      <w:pPr>
        <w:jc w:val="both"/>
        <w:ind w:firstLine="2254"/>
        <w:spacing w:after="0" w:line="259" w:lineRule="auto"/>
        <w:tabs>
          <w:tab w:leader="none" w:pos="2546" w:val="left"/>
        </w:tabs>
        <w:numPr>
          <w:ilvl w:val="1"/>
          <w:numId w:val="84"/>
        </w:numPr>
        <w:rPr>
          <w:rFonts w:ascii="Times New Roman" w:cs="Times New Roman" w:eastAsia="Times New Roman" w:hAnsi="Times New Roman"/>
          <w:sz w:val="20"/>
          <w:szCs w:val="20"/>
          <w:color w:val="010000"/>
        </w:rPr>
      </w:pPr>
      <w:r>
        <w:rPr>
          <w:rFonts w:ascii="Times New Roman" w:cs="Times New Roman" w:eastAsia="Times New Roman" w:hAnsi="Times New Roman"/>
          <w:sz w:val="16"/>
          <w:szCs w:val="16"/>
          <w:color w:val="auto"/>
        </w:rPr>
        <w:t>Executive acknowledges that in the course of Executive’s employment with the Company Executive will become familiar with trade secrets and other confidential information of the Company and that Executive’s services will be of special, unique and extraordinary value to the Company. Therefore, Executive agrees that, during the Period of Employment and for twelve (12) months thereafter (the “</w:t>
      </w:r>
      <w:r>
        <w:rPr>
          <w:rFonts w:ascii="Times New Roman" w:cs="Times New Roman" w:eastAsia="Times New Roman" w:hAnsi="Times New Roman"/>
          <w:sz w:val="16"/>
          <w:szCs w:val="16"/>
          <w:u w:val="single" w:color="auto"/>
          <w:color w:val="auto"/>
        </w:rPr>
        <w:t>Noncompete Period</w:t>
      </w:r>
      <w:r>
        <w:rPr>
          <w:rFonts w:ascii="Times New Roman" w:cs="Times New Roman" w:eastAsia="Times New Roman" w:hAnsi="Times New Roman"/>
          <w:sz w:val="16"/>
          <w:szCs w:val="16"/>
          <w:color w:val="auto"/>
        </w:rPr>
        <w:t>”), Executive shall not directly or indirectly own, manage, control, participate in, consult with, render services for, or in any manner engage in any business competing with any business of the Company within the United States and any other geographical area in which the Company then engages in business or engaged in business at any time during Executive’s employment with the Company. Nothing herein shall prohibit Executive from being a passive owner of not more than two percent (2%) of the outstanding stock of any class of a corporation which is publicly traded so long as Executive has no direct or indirect active participation in the business of such corporation.</w:t>
      </w:r>
    </w:p>
    <w:p>
      <w:pPr>
        <w:spacing w:after="0" w:line="113" w:lineRule="exact"/>
        <w:rPr>
          <w:rFonts w:ascii="Times New Roman" w:cs="Times New Roman" w:eastAsia="Times New Roman" w:hAnsi="Times New Roman"/>
          <w:sz w:val="20"/>
          <w:szCs w:val="20"/>
          <w:color w:val="010000"/>
        </w:rPr>
      </w:pPr>
    </w:p>
    <w:p>
      <w:pPr>
        <w:jc w:val="both"/>
        <w:ind w:firstLine="2254"/>
        <w:spacing w:after="0" w:line="256" w:lineRule="auto"/>
        <w:tabs>
          <w:tab w:leader="none" w:pos="2546" w:val="left"/>
        </w:tabs>
        <w:numPr>
          <w:ilvl w:val="1"/>
          <w:numId w:val="84"/>
        </w:numPr>
        <w:rPr>
          <w:rFonts w:ascii="Times New Roman" w:cs="Times New Roman" w:eastAsia="Times New Roman" w:hAnsi="Times New Roman"/>
          <w:sz w:val="20"/>
          <w:szCs w:val="20"/>
          <w:color w:val="010000"/>
        </w:rPr>
      </w:pPr>
      <w:r>
        <w:rPr>
          <w:rFonts w:ascii="Times New Roman" w:cs="Times New Roman" w:eastAsia="Times New Roman" w:hAnsi="Times New Roman"/>
          <w:sz w:val="16"/>
          <w:szCs w:val="16"/>
          <w:color w:val="auto"/>
        </w:rPr>
        <w:t>During the Noncompete Period, Executive shall not directly or indirectly (i) induce or attempt to induce any employee of the Company to terminate such employment, or in any way interfere with the employee relationship between the Company and any such employee, (ii) hire any person who is, or at any time during the 18-month period immediately prior to the date of Executive’s termination of employment was, an employee of the Company or (iii) induce or attempt to induce any person having a business relationship with the Company to cease doing business with the Company or interfere materially with the relationship between any such person and the Company.</w:t>
      </w:r>
    </w:p>
    <w:p>
      <w:pPr>
        <w:spacing w:after="0" w:line="90" w:lineRule="exact"/>
        <w:rPr>
          <w:sz w:val="20"/>
          <w:szCs w:val="20"/>
          <w:color w:val="auto"/>
        </w:rPr>
      </w:pPr>
    </w:p>
    <w:p>
      <w:pPr>
        <w:jc w:val="both"/>
        <w:ind w:firstLine="1497"/>
        <w:spacing w:after="0" w:line="267" w:lineRule="auto"/>
        <w:rPr>
          <w:sz w:val="20"/>
          <w:szCs w:val="20"/>
          <w:color w:val="auto"/>
        </w:rPr>
      </w:pPr>
      <w:r>
        <w:rPr>
          <w:rFonts w:ascii="Times New Roman" w:cs="Times New Roman" w:eastAsia="Times New Roman" w:hAnsi="Times New Roman"/>
          <w:sz w:val="15"/>
          <w:szCs w:val="15"/>
          <w:color w:val="010000"/>
        </w:rPr>
        <w:t xml:space="preserve">7.2 </w:t>
      </w:r>
      <w:r>
        <w:rPr>
          <w:rFonts w:ascii="Times New Roman" w:cs="Times New Roman" w:eastAsia="Times New Roman" w:hAnsi="Times New Roman"/>
          <w:sz w:val="16"/>
          <w:szCs w:val="16"/>
          <w:u w:val="single" w:color="auto"/>
          <w:color w:val="000000"/>
        </w:rPr>
        <w:t>Proprietary Information</w:t>
      </w:r>
      <w:r>
        <w:rPr>
          <w:rFonts w:ascii="Times New Roman" w:cs="Times New Roman" w:eastAsia="Times New Roman" w:hAnsi="Times New Roman"/>
          <w:sz w:val="16"/>
          <w:szCs w:val="16"/>
          <w:color w:val="000000"/>
        </w:rPr>
        <w:t>. Executive agrees that Executive shall not use for Executive’s own purpose or for the benefit of any person or entity</w:t>
      </w:r>
      <w:r>
        <w:rPr>
          <w:rFonts w:ascii="Times New Roman" w:cs="Times New Roman" w:eastAsia="Times New Roman" w:hAnsi="Times New Roman"/>
          <w:sz w:val="15"/>
          <w:szCs w:val="15"/>
          <w:color w:val="010000"/>
        </w:rPr>
        <w:t xml:space="preserve"> </w:t>
      </w:r>
      <w:r>
        <w:rPr>
          <w:rFonts w:ascii="Times New Roman" w:cs="Times New Roman" w:eastAsia="Times New Roman" w:hAnsi="Times New Roman"/>
          <w:sz w:val="16"/>
          <w:szCs w:val="16"/>
          <w:color w:val="000000"/>
        </w:rPr>
        <w:t>other than the Company or its shareholders or affiliates, nor shall Executive otherwise disclose to any individual or entity at any time while Executive is employed by the Company or thereafter any proprietary information of the Company unless such disclosure (a) has been authorized by the Board, (b) is reasonably required within the course and scope of Executive’s employment hereunder or (c) is required by law, a court of competent jurisdiction or a governmental or regulatory agency. For purposes of this Agreement, “proprietary information” shall mean: (i) the name or address of any customer, supplier or affiliate of the Company or any information concerning the transactions or relations of any customer, supplier or affiliate of the Company or any of its shareholders; (ii) any information concerning any product, service, technology or procedure offered or used by the Company, or under development by or being considered for use by the Company; (iii) any information relating to marketing or pricing plans or methods, capital structure, or any business or strategic plans of the Company, (iv) any inventions, innovations, trade secrets or other items covered by Section 7.4; and (v) any other information which the Board has determined by resolution and communicated to Executive in writing to be proprietary information for purposes hereof. However, proprietary information shall not include any information that is or becomes generally known to the public other than through actions of Executive in violation of Sections 7.1, 7.2 or 7.3.</w:t>
      </w:r>
    </w:p>
    <w:p>
      <w:pPr>
        <w:spacing w:after="0" w:line="289" w:lineRule="exact"/>
        <w:rPr>
          <w:sz w:val="20"/>
          <w:szCs w:val="20"/>
          <w:color w:val="auto"/>
        </w:rPr>
      </w:pPr>
    </w:p>
    <w:p>
      <w:pPr>
        <w:jc w:val="both"/>
        <w:ind w:firstLine="1497"/>
        <w:spacing w:after="0" w:line="281" w:lineRule="auto"/>
        <w:rPr>
          <w:sz w:val="20"/>
          <w:szCs w:val="20"/>
          <w:color w:val="auto"/>
        </w:rPr>
      </w:pPr>
      <w:r>
        <w:rPr>
          <w:rFonts w:ascii="Times New Roman" w:cs="Times New Roman" w:eastAsia="Times New Roman" w:hAnsi="Times New Roman"/>
          <w:sz w:val="15"/>
          <w:szCs w:val="15"/>
          <w:color w:val="010000"/>
        </w:rPr>
        <w:t xml:space="preserve">7.3 </w:t>
      </w:r>
      <w:r>
        <w:rPr>
          <w:rFonts w:ascii="Times New Roman" w:cs="Times New Roman" w:eastAsia="Times New Roman" w:hAnsi="Times New Roman"/>
          <w:sz w:val="16"/>
          <w:szCs w:val="16"/>
          <w:u w:val="single" w:color="auto"/>
          <w:color w:val="000000"/>
        </w:rPr>
        <w:t>Surrender of Records</w:t>
      </w:r>
      <w:r>
        <w:rPr>
          <w:rFonts w:ascii="Times New Roman" w:cs="Times New Roman" w:eastAsia="Times New Roman" w:hAnsi="Times New Roman"/>
          <w:sz w:val="16"/>
          <w:szCs w:val="16"/>
          <w:color w:val="000000"/>
        </w:rPr>
        <w:t>. Executive agrees that Executive shall not retain and shall promptly surrender to the Company all correspondence,</w:t>
      </w:r>
      <w:r>
        <w:rPr>
          <w:rFonts w:ascii="Times New Roman" w:cs="Times New Roman" w:eastAsia="Times New Roman" w:hAnsi="Times New Roman"/>
          <w:sz w:val="15"/>
          <w:szCs w:val="15"/>
          <w:color w:val="010000"/>
        </w:rPr>
        <w:t xml:space="preserve"> </w:t>
      </w:r>
      <w:r>
        <w:rPr>
          <w:rFonts w:ascii="Times New Roman" w:cs="Times New Roman" w:eastAsia="Times New Roman" w:hAnsi="Times New Roman"/>
          <w:sz w:val="16"/>
          <w:szCs w:val="16"/>
          <w:color w:val="000000"/>
        </w:rPr>
        <w:t>memoranda, files, manuals, financial, operating or marketing records, magnetic tape, or electronic or other media of any kind which may be in Executive’s possession or under Executive’s control or accessible to Executive which contains any proprietary information as defined in Section 7.2.</w:t>
      </w:r>
    </w:p>
    <w:p>
      <w:pPr>
        <w:spacing w:after="0" w:line="69" w:lineRule="exact"/>
        <w:rPr>
          <w:sz w:val="20"/>
          <w:szCs w:val="20"/>
          <w:color w:val="auto"/>
        </w:rPr>
      </w:pPr>
    </w:p>
    <w:p>
      <w:pPr>
        <w:jc w:val="both"/>
        <w:ind w:firstLine="1497"/>
        <w:spacing w:after="0" w:line="280" w:lineRule="auto"/>
        <w:rPr>
          <w:sz w:val="20"/>
          <w:szCs w:val="20"/>
          <w:color w:val="auto"/>
        </w:rPr>
      </w:pPr>
      <w:r>
        <w:rPr>
          <w:rFonts w:ascii="Times New Roman" w:cs="Times New Roman" w:eastAsia="Times New Roman" w:hAnsi="Times New Roman"/>
          <w:sz w:val="15"/>
          <w:szCs w:val="15"/>
          <w:color w:val="010000"/>
        </w:rPr>
        <w:t xml:space="preserve">7.4 </w:t>
      </w:r>
      <w:r>
        <w:rPr>
          <w:rFonts w:ascii="Times New Roman" w:cs="Times New Roman" w:eastAsia="Times New Roman" w:hAnsi="Times New Roman"/>
          <w:sz w:val="16"/>
          <w:szCs w:val="16"/>
          <w:u w:val="single" w:color="auto"/>
          <w:color w:val="000000"/>
        </w:rPr>
        <w:t>Inventions and Patents</w:t>
      </w:r>
      <w:r>
        <w:rPr>
          <w:rFonts w:ascii="Times New Roman" w:cs="Times New Roman" w:eastAsia="Times New Roman" w:hAnsi="Times New Roman"/>
          <w:sz w:val="16"/>
          <w:szCs w:val="16"/>
          <w:color w:val="000000"/>
        </w:rPr>
        <w:t>. Executive agrees that all inventions, innovations, trade secrets, patents and processes in any way relating, directly or</w:t>
      </w:r>
      <w:r>
        <w:rPr>
          <w:rFonts w:ascii="Times New Roman" w:cs="Times New Roman" w:eastAsia="Times New Roman" w:hAnsi="Times New Roman"/>
          <w:sz w:val="15"/>
          <w:szCs w:val="15"/>
          <w:color w:val="010000"/>
        </w:rPr>
        <w:t xml:space="preserve"> </w:t>
      </w:r>
      <w:r>
        <w:rPr>
          <w:rFonts w:ascii="Times New Roman" w:cs="Times New Roman" w:eastAsia="Times New Roman" w:hAnsi="Times New Roman"/>
          <w:sz w:val="16"/>
          <w:szCs w:val="16"/>
          <w:color w:val="000000"/>
        </w:rPr>
        <w:t>indirectly, to the Company’s business developed by Executive alone or in conjunction with others at any time during Executive’s employment by the Company shall belong to the Company. Executive will use Executive’s best efforts to perform all actions reasonably requested by the Board to establish and confirm such ownership by the Company.</w:t>
      </w:r>
    </w:p>
    <w:p>
      <w:pPr>
        <w:spacing w:after="0" w:line="274" w:lineRule="exact"/>
        <w:rPr>
          <w:sz w:val="20"/>
          <w:szCs w:val="20"/>
          <w:color w:val="auto"/>
        </w:rPr>
      </w:pPr>
    </w:p>
    <w:p>
      <w:pPr>
        <w:jc w:val="both"/>
        <w:ind w:firstLine="1497"/>
        <w:spacing w:after="0" w:line="298" w:lineRule="auto"/>
        <w:rPr>
          <w:sz w:val="20"/>
          <w:szCs w:val="20"/>
          <w:color w:val="auto"/>
        </w:rPr>
      </w:pPr>
      <w:r>
        <w:rPr>
          <w:rFonts w:ascii="Times New Roman" w:cs="Times New Roman" w:eastAsia="Times New Roman" w:hAnsi="Times New Roman"/>
          <w:sz w:val="15"/>
          <w:szCs w:val="15"/>
          <w:color w:val="010000"/>
        </w:rPr>
        <w:t xml:space="preserve">7.5 </w:t>
      </w:r>
      <w:r>
        <w:rPr>
          <w:rFonts w:ascii="Times New Roman" w:cs="Times New Roman" w:eastAsia="Times New Roman" w:hAnsi="Times New Roman"/>
          <w:sz w:val="16"/>
          <w:szCs w:val="16"/>
          <w:u w:val="single" w:color="auto"/>
          <w:color w:val="000000"/>
        </w:rPr>
        <w:t>Definition of Company</w:t>
      </w:r>
      <w:r>
        <w:rPr>
          <w:rFonts w:ascii="Times New Roman" w:cs="Times New Roman" w:eastAsia="Times New Roman" w:hAnsi="Times New Roman"/>
          <w:sz w:val="16"/>
          <w:szCs w:val="16"/>
          <w:color w:val="000000"/>
        </w:rPr>
        <w:t>. For purposes of this Section 7, the term “</w:t>
      </w:r>
      <w:r>
        <w:rPr>
          <w:rFonts w:ascii="Times New Roman" w:cs="Times New Roman" w:eastAsia="Times New Roman" w:hAnsi="Times New Roman"/>
          <w:sz w:val="16"/>
          <w:szCs w:val="16"/>
          <w:u w:val="single" w:color="auto"/>
          <w:color w:val="000000"/>
        </w:rPr>
        <w:t>Company</w:t>
      </w:r>
      <w:r>
        <w:rPr>
          <w:rFonts w:ascii="Times New Roman" w:cs="Times New Roman" w:eastAsia="Times New Roman" w:hAnsi="Times New Roman"/>
          <w:sz w:val="16"/>
          <w:szCs w:val="16"/>
          <w:color w:val="000000"/>
        </w:rPr>
        <w:t>” shall include the Company and any and all of its parents,</w:t>
      </w:r>
      <w:r>
        <w:rPr>
          <w:rFonts w:ascii="Times New Roman" w:cs="Times New Roman" w:eastAsia="Times New Roman" w:hAnsi="Times New Roman"/>
          <w:sz w:val="15"/>
          <w:szCs w:val="15"/>
          <w:color w:val="010000"/>
        </w:rPr>
        <w:t xml:space="preserve"> </w:t>
      </w:r>
      <w:r>
        <w:rPr>
          <w:rFonts w:ascii="Times New Roman" w:cs="Times New Roman" w:eastAsia="Times New Roman" w:hAnsi="Times New Roman"/>
          <w:sz w:val="16"/>
          <w:szCs w:val="16"/>
          <w:color w:val="000000"/>
        </w:rPr>
        <w:t>subsidiaries, joint ventures and affiliated entities as the same may exist from time to time.</w:t>
      </w:r>
    </w:p>
    <w:p>
      <w:pPr>
        <w:spacing w:after="0" w:line="56"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15"/>
          <w:szCs w:val="15"/>
          <w:color w:val="010000"/>
        </w:rPr>
        <w:t xml:space="preserve">7.6 </w:t>
      </w:r>
      <w:r>
        <w:rPr>
          <w:rFonts w:ascii="Times New Roman" w:cs="Times New Roman" w:eastAsia="Times New Roman" w:hAnsi="Times New Roman"/>
          <w:sz w:val="16"/>
          <w:szCs w:val="16"/>
          <w:u w:val="single" w:color="auto"/>
          <w:color w:val="000000"/>
        </w:rPr>
        <w:t>Enforcement</w:t>
      </w:r>
      <w:r>
        <w:rPr>
          <w:rFonts w:ascii="Times New Roman" w:cs="Times New Roman" w:eastAsia="Times New Roman" w:hAnsi="Times New Roman"/>
          <w:sz w:val="16"/>
          <w:szCs w:val="16"/>
          <w:color w:val="000000"/>
        </w:rPr>
        <w:t>. The parties hereto agree that the duration and area for which the covenants set forth in this Section 7 are to be effective are</w:t>
      </w:r>
      <w:r>
        <w:rPr>
          <w:rFonts w:ascii="Times New Roman" w:cs="Times New Roman" w:eastAsia="Times New Roman" w:hAnsi="Times New Roman"/>
          <w:sz w:val="15"/>
          <w:szCs w:val="15"/>
          <w:color w:val="010000"/>
        </w:rPr>
        <w:t xml:space="preserve"> </w:t>
      </w:r>
      <w:r>
        <w:rPr>
          <w:rFonts w:ascii="Times New Roman" w:cs="Times New Roman" w:eastAsia="Times New Roman" w:hAnsi="Times New Roman"/>
          <w:sz w:val="16"/>
          <w:szCs w:val="16"/>
          <w:color w:val="000000"/>
        </w:rPr>
        <w:t>reasonable. In the event that any court or arbitrator determines that the time period or the area, or both of them, are unreasonable and that any of the covenants are to that extent unenforceable, the parties hereto agree that such covenants will remain in full force and effect, first, for the greatest time period, and second, in the greatest geographical area that would not render them unenforceable. The parties intend that this Agreement will be deemed to be a series of separate covenants, one for each and every county of each and every state of the United States of America. Executive agrees that damages are an inadequate remedy for any breach of the covenants in this Section 7 and that the Company will, whether or not it is pursuing any potential remedies at law, be entitled to equitable relief in the form of preliminary and permanent injunctions without bond or other security upon any actual or threatened breach of this Agreement.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90" w:lineRule="exact"/>
        <w:rPr>
          <w:sz w:val="20"/>
          <w:szCs w:val="20"/>
          <w:color w:val="auto"/>
        </w:rPr>
      </w:pPr>
    </w:p>
    <w:p>
      <w:pPr>
        <w:jc w:val="both"/>
        <w:ind w:firstLine="757"/>
        <w:spacing w:after="0" w:line="272" w:lineRule="auto"/>
        <w:tabs>
          <w:tab w:leader="none" w:pos="1018" w:val="left"/>
        </w:tabs>
        <w:numPr>
          <w:ilvl w:val="0"/>
          <w:numId w:val="85"/>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u w:val="single" w:color="auto"/>
          <w:color w:val="auto"/>
        </w:rPr>
        <w:t>Whistleblower Protection</w:t>
      </w:r>
      <w:r>
        <w:rPr>
          <w:rFonts w:ascii="Times New Roman" w:cs="Times New Roman" w:eastAsia="Times New Roman" w:hAnsi="Times New Roman"/>
          <w:sz w:val="16"/>
          <w:szCs w:val="16"/>
          <w:color w:val="auto"/>
        </w:rPr>
        <w:t>. Notwithstanding anything to the contrary contained herein, no provision of this Agreement shall be interpreted so as to impede Executive (or any other individual) from reporting possible violations of federal law or regulation to any governmental agency or entity, including but not limited to the Department of Justice, the Securities and Exchange Commission, the Congress, and any agency Inspector General, or making other disclosures under the whistleblower provisions of federal law or regulation. Executive does not need the prior authorization of the Company to make any such reports or disclosures and Executive shall not be required to notify the Company that such reports or disclosures have been made.</w:t>
      </w:r>
    </w:p>
    <w:p>
      <w:pPr>
        <w:spacing w:after="0" w:line="77" w:lineRule="exact"/>
        <w:rPr>
          <w:rFonts w:ascii="Times New Roman" w:cs="Times New Roman" w:eastAsia="Times New Roman" w:hAnsi="Times New Roman"/>
          <w:sz w:val="16"/>
          <w:szCs w:val="16"/>
          <w:color w:val="010000"/>
        </w:rPr>
      </w:pPr>
    </w:p>
    <w:p>
      <w:pPr>
        <w:jc w:val="both"/>
        <w:ind w:firstLine="757"/>
        <w:spacing w:after="0" w:line="269" w:lineRule="auto"/>
        <w:tabs>
          <w:tab w:leader="none" w:pos="1018" w:val="left"/>
        </w:tabs>
        <w:numPr>
          <w:ilvl w:val="0"/>
          <w:numId w:val="85"/>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u w:val="single" w:color="auto"/>
          <w:color w:val="auto"/>
        </w:rPr>
        <w:t>Trade Secrets</w:t>
      </w:r>
      <w:r>
        <w:rPr>
          <w:rFonts w:ascii="Times New Roman" w:cs="Times New Roman" w:eastAsia="Times New Roman" w:hAnsi="Times New Roman"/>
          <w:sz w:val="16"/>
          <w:szCs w:val="16"/>
          <w:color w:val="auto"/>
        </w:rPr>
        <w:t>. 18 U.S.C. § 1833(b) provides: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Nothing in this Agreement is intended to conflict with 18 U.S.C. § 1833(b) or create liability for disclosures of trade secrets that are expressly allowed by 18 U.S.C. § 1833(b). Accordingly, the parties to this Agreement have the right to disclose in confidence trade secrets to federal, state, and local government officials, or to an attorney, for the sole purpose of reporting or investigating a suspected violation of the law. The parties also have the right to disclose trade secrets in a document filed in a lawsuit or other proceeding, but only if the filing is made under seal and protected from public disclosure.</w:t>
      </w:r>
    </w:p>
    <w:p>
      <w:pPr>
        <w:spacing w:after="0" w:line="81" w:lineRule="exact"/>
        <w:rPr>
          <w:rFonts w:ascii="Times New Roman" w:cs="Times New Roman" w:eastAsia="Times New Roman" w:hAnsi="Times New Roman"/>
          <w:sz w:val="16"/>
          <w:szCs w:val="16"/>
          <w:color w:val="010000"/>
        </w:rPr>
      </w:pPr>
    </w:p>
    <w:p>
      <w:pPr>
        <w:ind w:left="1020" w:hanging="263"/>
        <w:spacing w:after="0"/>
        <w:tabs>
          <w:tab w:leader="none" w:pos="1020" w:val="left"/>
        </w:tabs>
        <w:numPr>
          <w:ilvl w:val="0"/>
          <w:numId w:val="85"/>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u w:val="single" w:color="auto"/>
          <w:color w:val="auto"/>
        </w:rPr>
        <w:t>Section 409A of the Code</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jc w:val="both"/>
        <w:ind w:firstLine="1497"/>
        <w:spacing w:after="0" w:line="267" w:lineRule="auto"/>
        <w:rPr>
          <w:sz w:val="20"/>
          <w:szCs w:val="20"/>
          <w:color w:val="auto"/>
        </w:rPr>
      </w:pPr>
      <w:r>
        <w:rPr>
          <w:rFonts w:ascii="Times New Roman" w:cs="Times New Roman" w:eastAsia="Times New Roman" w:hAnsi="Times New Roman"/>
          <w:sz w:val="15"/>
          <w:szCs w:val="15"/>
          <w:color w:val="010000"/>
        </w:rPr>
        <w:t xml:space="preserve">10.1 </w:t>
      </w:r>
      <w:r>
        <w:rPr>
          <w:rFonts w:ascii="Times New Roman" w:cs="Times New Roman" w:eastAsia="Times New Roman" w:hAnsi="Times New Roman"/>
          <w:sz w:val="16"/>
          <w:szCs w:val="16"/>
          <w:u w:val="single" w:color="auto"/>
          <w:color w:val="000000"/>
        </w:rPr>
        <w:t>General</w:t>
      </w:r>
      <w:r>
        <w:rPr>
          <w:rFonts w:ascii="Times New Roman" w:cs="Times New Roman" w:eastAsia="Times New Roman" w:hAnsi="Times New Roman"/>
          <w:sz w:val="16"/>
          <w:szCs w:val="16"/>
          <w:color w:val="000000"/>
        </w:rPr>
        <w:t>. It is the intent of the parties to this Agreement that the provisions of this Agreement comply with Section 409A of the Internal</w:t>
      </w:r>
      <w:r>
        <w:rPr>
          <w:rFonts w:ascii="Times New Roman" w:cs="Times New Roman" w:eastAsia="Times New Roman" w:hAnsi="Times New Roman"/>
          <w:sz w:val="15"/>
          <w:szCs w:val="15"/>
          <w:color w:val="010000"/>
        </w:rPr>
        <w:t xml:space="preserve"> </w:t>
      </w:r>
      <w:r>
        <w:rPr>
          <w:rFonts w:ascii="Times New Roman" w:cs="Times New Roman" w:eastAsia="Times New Roman" w:hAnsi="Times New Roman"/>
          <w:sz w:val="16"/>
          <w:szCs w:val="16"/>
          <w:color w:val="000000"/>
        </w:rPr>
        <w:t>Revenue Code of 1986, as amended (the “</w:t>
      </w:r>
      <w:r>
        <w:rPr>
          <w:rFonts w:ascii="Times New Roman" w:cs="Times New Roman" w:eastAsia="Times New Roman" w:hAnsi="Times New Roman"/>
          <w:sz w:val="16"/>
          <w:szCs w:val="16"/>
          <w:u w:val="single" w:color="auto"/>
          <w:color w:val="000000"/>
        </w:rPr>
        <w:t>Code</w:t>
      </w:r>
      <w:r>
        <w:rPr>
          <w:rFonts w:ascii="Times New Roman" w:cs="Times New Roman" w:eastAsia="Times New Roman" w:hAnsi="Times New Roman"/>
          <w:sz w:val="16"/>
          <w:szCs w:val="16"/>
          <w:color w:val="000000"/>
        </w:rPr>
        <w:t>”), and this Agreement shall be construed and interpreted in compliance with Section 409A of the Code and the Department of Treasury Regulations and other interpretive guidance issued thereunder (collectively, “</w:t>
      </w:r>
      <w:r>
        <w:rPr>
          <w:rFonts w:ascii="Times New Roman" w:cs="Times New Roman" w:eastAsia="Times New Roman" w:hAnsi="Times New Roman"/>
          <w:sz w:val="16"/>
          <w:szCs w:val="16"/>
          <w:u w:val="single" w:color="auto"/>
          <w:color w:val="000000"/>
        </w:rPr>
        <w:t>Section 409A</w:t>
      </w:r>
      <w:r>
        <w:rPr>
          <w:rFonts w:ascii="Times New Roman" w:cs="Times New Roman" w:eastAsia="Times New Roman" w:hAnsi="Times New Roman"/>
          <w:sz w:val="16"/>
          <w:szCs w:val="16"/>
          <w:color w:val="000000"/>
        </w:rPr>
        <w:t>”). Notwithstanding any provision of this Agreement to the contrary, in the event that the Company determines that any amounts payable hereunder will be immediately taxable to Executive under Section 409A, the Company reserves the right (without any obligation to do so or to indemnify Executive for failure to do so) to (a) adopt such amendments to this Agreement and appropriate policies and procedures, including amendments and policies with retroactive effect, that the Company determines to be necessary or appropriate to preserve the intended tax treatment of the benefits provided by this Agreement, to preserve the economic benefits of this Agreement and to avoid less favorable accounting or tax consequences for the Company and/or (b) take such other actions as the Company determines to be necessary or appropriate to exempt the amounts payable hereunder from Section 409A or to comply with the requirements of Section 409A and thereby avoid the application of penalty taxes thereunder. No provision of this Agreement shall be interpreted or construed to transfer any liability for failure to comply with the requirements of Section 409A from Executive or any other individual to the Company or any of its affiliates, employees or agents.</w:t>
      </w:r>
    </w:p>
    <w:p>
      <w:pPr>
        <w:spacing w:after="0" w:line="86"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15"/>
          <w:szCs w:val="15"/>
          <w:color w:val="010000"/>
        </w:rPr>
        <w:t xml:space="preserve">10.2 </w:t>
      </w:r>
      <w:r>
        <w:rPr>
          <w:rFonts w:ascii="Times New Roman" w:cs="Times New Roman" w:eastAsia="Times New Roman" w:hAnsi="Times New Roman"/>
          <w:sz w:val="16"/>
          <w:szCs w:val="16"/>
          <w:u w:val="single" w:color="auto"/>
          <w:color w:val="000000"/>
        </w:rPr>
        <w:t>Separation from Service under Section 409A</w:t>
      </w:r>
      <w:r>
        <w:rPr>
          <w:rFonts w:ascii="Times New Roman" w:cs="Times New Roman" w:eastAsia="Times New Roman" w:hAnsi="Times New Roman"/>
          <w:sz w:val="16"/>
          <w:szCs w:val="16"/>
          <w:color w:val="000000"/>
        </w:rPr>
        <w:t>. Notwithstanding any provision to the contrary in this Agreement: (a) no amount shall be</w:t>
      </w:r>
      <w:r>
        <w:rPr>
          <w:rFonts w:ascii="Times New Roman" w:cs="Times New Roman" w:eastAsia="Times New Roman" w:hAnsi="Times New Roman"/>
          <w:sz w:val="15"/>
          <w:szCs w:val="15"/>
          <w:color w:val="010000"/>
        </w:rPr>
        <w:t xml:space="preserve"> </w:t>
      </w:r>
      <w:r>
        <w:rPr>
          <w:rFonts w:ascii="Times New Roman" w:cs="Times New Roman" w:eastAsia="Times New Roman" w:hAnsi="Times New Roman"/>
          <w:sz w:val="16"/>
          <w:szCs w:val="16"/>
          <w:color w:val="000000"/>
        </w:rPr>
        <w:t>payable pursuant to Section 6.2 unless the termination of Executive’s employment constitutes a “separation from service” within the meaning of Section 1.409A-1(h) of the Department of Treasury Regulations; (b) for purposes of Section 409A, Executive’s right to receive installment payments pursuant to Section 6.2 shall be treated as a right to receive a series of separate and distinct payments; and (c) to the extent that any reimbursement of expenses or in-kind benefits constitutes “deferred compensation” under Section 409A, such reimbursement or benefit shall be provided no later than December 31 of the year following the year in which the expense was incurred. The amount of expenses reimbursed in one year shall not affect the amount eligible for reimbursement in any subsequent year. The amount of any in-kind benefits provided in one year shall not affect the amount of in-kind benefits provided in any other year.</w:t>
      </w:r>
    </w:p>
    <w:p>
      <w:pPr>
        <w:spacing w:after="0" w:line="82" w:lineRule="exact"/>
        <w:rPr>
          <w:sz w:val="20"/>
          <w:szCs w:val="20"/>
          <w:color w:val="auto"/>
        </w:rPr>
      </w:pPr>
    </w:p>
    <w:p>
      <w:pPr>
        <w:jc w:val="both"/>
        <w:ind w:firstLine="1497"/>
        <w:spacing w:after="0" w:line="266" w:lineRule="auto"/>
        <w:rPr>
          <w:sz w:val="20"/>
          <w:szCs w:val="20"/>
          <w:color w:val="auto"/>
        </w:rPr>
      </w:pPr>
      <w:r>
        <w:rPr>
          <w:rFonts w:ascii="Times New Roman" w:cs="Times New Roman" w:eastAsia="Times New Roman" w:hAnsi="Times New Roman"/>
          <w:sz w:val="15"/>
          <w:szCs w:val="15"/>
          <w:color w:val="010000"/>
        </w:rPr>
        <w:t xml:space="preserve">10.3 </w:t>
      </w:r>
      <w:r>
        <w:rPr>
          <w:rFonts w:ascii="Times New Roman" w:cs="Times New Roman" w:eastAsia="Times New Roman" w:hAnsi="Times New Roman"/>
          <w:sz w:val="16"/>
          <w:szCs w:val="16"/>
          <w:u w:val="single" w:color="auto"/>
          <w:color w:val="000000"/>
        </w:rPr>
        <w:t>Release</w:t>
      </w:r>
      <w:r>
        <w:rPr>
          <w:rFonts w:ascii="Times New Roman" w:cs="Times New Roman" w:eastAsia="Times New Roman" w:hAnsi="Times New Roman"/>
          <w:sz w:val="16"/>
          <w:szCs w:val="16"/>
          <w:color w:val="000000"/>
        </w:rPr>
        <w:t>. Notwithstanding anything to the contrary in this Agreement, to the extent that any payments of “nonqualified deferred</w:t>
      </w:r>
      <w:r>
        <w:rPr>
          <w:rFonts w:ascii="Times New Roman" w:cs="Times New Roman" w:eastAsia="Times New Roman" w:hAnsi="Times New Roman"/>
          <w:sz w:val="15"/>
          <w:szCs w:val="15"/>
          <w:color w:val="010000"/>
        </w:rPr>
        <w:t xml:space="preserve"> </w:t>
      </w:r>
      <w:r>
        <w:rPr>
          <w:rFonts w:ascii="Times New Roman" w:cs="Times New Roman" w:eastAsia="Times New Roman" w:hAnsi="Times New Roman"/>
          <w:sz w:val="16"/>
          <w:szCs w:val="16"/>
          <w:color w:val="000000"/>
        </w:rPr>
        <w:t>compensation” (within the meaning of Section 409A) due under this Agreement as a result of Executive’s termination of employment are subject to Executive’s execution and delivery of a Release, (a) the Company shall deliver the Release to Executive within ten (10) business days following the date of termination of employment, and the Company’s failure to deliver a Release prior to the expiration of such ten (10) business day period shall constitute a waiver of any requirement to execute a Release, (b) if Executive fails to execute the Release on or prior to the Release Expiration Date (as defined below) or timely revokes his acceptance of the Release thereafter, Executive shall not be entitled to any payments or benefits otherwise conditioned on the Release, and (c) in any case where the date of termination of employment and the Release Expiration Date fall in two separate taxable years, any payments required to be made to Executive that are conditioned on the Release and are treated as nonqualified deferred compensation for purposes of Section 409A shall be made in the later taxable year. For purposes of this Section 10.3, “</w:t>
      </w:r>
      <w:r>
        <w:rPr>
          <w:rFonts w:ascii="Times New Roman" w:cs="Times New Roman" w:eastAsia="Times New Roman" w:hAnsi="Times New Roman"/>
          <w:sz w:val="16"/>
          <w:szCs w:val="16"/>
          <w:u w:val="single" w:color="auto"/>
          <w:color w:val="000000"/>
        </w:rPr>
        <w:t>Release Expiration Date</w:t>
      </w:r>
      <w:r>
        <w:rPr>
          <w:rFonts w:ascii="Times New Roman" w:cs="Times New Roman" w:eastAsia="Times New Roman" w:hAnsi="Times New Roman"/>
          <w:sz w:val="16"/>
          <w:szCs w:val="16"/>
          <w:color w:val="000000"/>
        </w:rPr>
        <w:t>” shall mean the date that is twenty-one (21) days following the date upon which the Company timely delivers the Release to Executive, or, in the event that Executive’s termination of employment is in connection with an exit incentive or other employment termination program (as such phrase is defined in the Age Discrimination in Employment Act of 1967), the date that is forty-five (45) days following such delivery date. To the extent that any payments of nonqualified deferred compensation (within the meaning of Section 409A) due under this Agreement as a result of Executive’s termination of employment are delayed pursuant to this Section 10.3, such amounts shall be paid in a lump sum on the first payroll date following the date that Executive executes and does not revoke the Release (and the applicable revocation period has expired) or, in the case of any payments subject to Section 10.3(c), on the first payroll period to occur in the subsequent taxable year, if later.</w:t>
      </w:r>
    </w:p>
    <w:p>
      <w:pPr>
        <w:spacing w:after="0" w:line="88" w:lineRule="exact"/>
        <w:rPr>
          <w:sz w:val="20"/>
          <w:szCs w:val="20"/>
          <w:color w:val="auto"/>
        </w:rPr>
      </w:pPr>
    </w:p>
    <w:p>
      <w:pPr>
        <w:ind w:left="1020" w:hanging="263"/>
        <w:spacing w:after="0"/>
        <w:tabs>
          <w:tab w:leader="none" w:pos="1020" w:val="left"/>
        </w:tabs>
        <w:numPr>
          <w:ilvl w:val="0"/>
          <w:numId w:val="86"/>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90" w:lineRule="exact"/>
        <w:rPr>
          <w:sz w:val="20"/>
          <w:szCs w:val="20"/>
          <w:color w:val="auto"/>
        </w:rPr>
      </w:pPr>
    </w:p>
    <w:p>
      <w:pPr>
        <w:jc w:val="both"/>
        <w:ind w:firstLine="1497"/>
        <w:spacing w:after="0" w:line="268" w:lineRule="auto"/>
        <w:rPr>
          <w:sz w:val="20"/>
          <w:szCs w:val="20"/>
          <w:color w:val="auto"/>
        </w:rPr>
      </w:pPr>
      <w:r>
        <w:rPr>
          <w:rFonts w:ascii="Times New Roman" w:cs="Times New Roman" w:eastAsia="Times New Roman" w:hAnsi="Times New Roman"/>
          <w:sz w:val="15"/>
          <w:szCs w:val="15"/>
          <w:color w:val="010000"/>
        </w:rPr>
        <w:t xml:space="preserve">11.1 </w:t>
      </w:r>
      <w:r>
        <w:rPr>
          <w:rFonts w:ascii="Times New Roman" w:cs="Times New Roman" w:eastAsia="Times New Roman" w:hAnsi="Times New Roman"/>
          <w:sz w:val="16"/>
          <w:szCs w:val="16"/>
          <w:u w:val="single" w:color="auto"/>
          <w:color w:val="000000"/>
        </w:rPr>
        <w:t>Notice</w:t>
      </w:r>
      <w:r>
        <w:rPr>
          <w:rFonts w:ascii="Times New Roman" w:cs="Times New Roman" w:eastAsia="Times New Roman" w:hAnsi="Times New Roman"/>
          <w:sz w:val="16"/>
          <w:szCs w:val="16"/>
          <w:color w:val="000000"/>
        </w:rPr>
        <w:t>. Any notice required or permitted to be given hereunder shall be deemed sufficiently given if sent by registered or certified mail,</w:t>
      </w:r>
      <w:r>
        <w:rPr>
          <w:rFonts w:ascii="Times New Roman" w:cs="Times New Roman" w:eastAsia="Times New Roman" w:hAnsi="Times New Roman"/>
          <w:sz w:val="15"/>
          <w:szCs w:val="15"/>
          <w:color w:val="010000"/>
        </w:rPr>
        <w:t xml:space="preserve"> </w:t>
      </w:r>
      <w:r>
        <w:rPr>
          <w:rFonts w:ascii="Times New Roman" w:cs="Times New Roman" w:eastAsia="Times New Roman" w:hAnsi="Times New Roman"/>
          <w:sz w:val="16"/>
          <w:szCs w:val="16"/>
          <w:color w:val="000000"/>
        </w:rPr>
        <w:t>postage prepaid, addressed to the addressee at the address last provided to the sender in writing by the addressee for purposes of receiving notices hereunder or, unless or until such address shall be so furnished, to the address indicated opposite addressee’s signature to this Agreement. Each party may also provide notice by sending the other party a facsimile at a number provided by such other party.</w:t>
      </w:r>
    </w:p>
    <w:p>
      <w:pPr>
        <w:spacing w:after="0" w:line="2"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6"/>
          <w:szCs w:val="16"/>
          <w:color w:val="auto"/>
        </w:rPr>
        <w:t>If to Executive:</w:t>
      </w:r>
    </w:p>
    <w:p>
      <w:pPr>
        <w:spacing w:after="0" w:line="221"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6"/>
          <w:szCs w:val="16"/>
          <w:color w:val="auto"/>
        </w:rPr>
        <w:t>At the address (or to the facsimile number) shown</w:t>
      </w:r>
    </w:p>
    <w:p>
      <w:pPr>
        <w:spacing w:after="0" w:line="26"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6"/>
          <w:szCs w:val="16"/>
          <w:color w:val="auto"/>
        </w:rPr>
        <w:t>in the books and records of the Company.</w:t>
      </w:r>
    </w:p>
    <w:p>
      <w:pPr>
        <w:spacing w:after="0" w:line="213"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6"/>
          <w:szCs w:val="16"/>
          <w:color w:val="auto"/>
        </w:rPr>
        <w:t>If to the Company:</w:t>
      </w:r>
    </w:p>
    <w:p>
      <w:pPr>
        <w:spacing w:after="0" w:line="26"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6"/>
          <w:szCs w:val="16"/>
          <w:color w:val="auto"/>
        </w:rPr>
        <w:t>c/o Advent International Corporation</w:t>
      </w:r>
    </w:p>
    <w:p>
      <w:pPr>
        <w:spacing w:after="0" w:line="1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6"/>
          <w:szCs w:val="16"/>
          <w:color w:val="auto"/>
        </w:rPr>
        <w:t>75 State Street</w:t>
      </w:r>
    </w:p>
    <w:p>
      <w:pPr>
        <w:spacing w:after="0" w:line="1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6"/>
          <w:szCs w:val="16"/>
          <w:color w:val="auto"/>
        </w:rPr>
        <w:t>Boston, MA 02109</w:t>
      </w:r>
    </w:p>
    <w:p>
      <w:pPr>
        <w:spacing w:after="0" w:line="19" w:lineRule="exact"/>
        <w:rPr>
          <w:sz w:val="20"/>
          <w:szCs w:val="20"/>
          <w:color w:val="auto"/>
        </w:rPr>
      </w:pPr>
    </w:p>
    <w:p>
      <w:pPr>
        <w:ind w:left="2080"/>
        <w:spacing w:after="0"/>
        <w:tabs>
          <w:tab w:leader="none" w:pos="3040" w:val="left"/>
        </w:tabs>
        <w:rPr>
          <w:sz w:val="20"/>
          <w:szCs w:val="20"/>
          <w:color w:val="auto"/>
        </w:rPr>
      </w:pPr>
      <w:r>
        <w:rPr>
          <w:rFonts w:ascii="Times New Roman" w:cs="Times New Roman" w:eastAsia="Times New Roman" w:hAnsi="Times New Roman"/>
          <w:sz w:val="16"/>
          <w:szCs w:val="16"/>
          <w:color w:val="auto"/>
        </w:rPr>
        <w:t>Attention:</w:t>
      </w:r>
      <w:r>
        <w:rPr>
          <w:sz w:val="20"/>
          <w:szCs w:val="20"/>
          <w:color w:val="auto"/>
        </w:rPr>
        <w:tab/>
      </w:r>
      <w:r>
        <w:rPr>
          <w:rFonts w:ascii="Times New Roman" w:cs="Times New Roman" w:eastAsia="Times New Roman" w:hAnsi="Times New Roman"/>
          <w:sz w:val="16"/>
          <w:szCs w:val="16"/>
          <w:color w:val="auto"/>
        </w:rPr>
        <w:t>J. Christopher Egan</w:t>
      </w:r>
    </w:p>
    <w:p>
      <w:pPr>
        <w:spacing w:after="0" w:line="1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color w:val="auto"/>
        </w:rPr>
        <w:t>Eric Wei</w:t>
      </w:r>
    </w:p>
    <w:p>
      <w:pPr>
        <w:spacing w:after="0" w:line="1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color w:val="auto"/>
        </w:rPr>
        <w:t>James Westra</w:t>
      </w:r>
    </w:p>
    <w:p>
      <w:pPr>
        <w:spacing w:after="0" w:line="19" w:lineRule="exact"/>
        <w:rPr>
          <w:sz w:val="20"/>
          <w:szCs w:val="20"/>
          <w:color w:val="auto"/>
        </w:rPr>
      </w:pPr>
    </w:p>
    <w:p>
      <w:pPr>
        <w:ind w:left="2080"/>
        <w:spacing w:after="0"/>
        <w:tabs>
          <w:tab w:leader="none" w:pos="3360" w:val="left"/>
        </w:tabs>
        <w:rPr>
          <w:sz w:val="20"/>
          <w:szCs w:val="20"/>
          <w:color w:val="auto"/>
        </w:rPr>
      </w:pPr>
      <w:r>
        <w:rPr>
          <w:rFonts w:ascii="Times New Roman" w:cs="Times New Roman" w:eastAsia="Times New Roman" w:hAnsi="Times New Roman"/>
          <w:sz w:val="16"/>
          <w:szCs w:val="16"/>
          <w:color w:val="auto"/>
        </w:rPr>
        <w:t>Facsimile No.:</w:t>
      </w:r>
      <w:r>
        <w:rPr>
          <w:sz w:val="20"/>
          <w:szCs w:val="20"/>
          <w:color w:val="auto"/>
        </w:rPr>
        <w:tab/>
      </w:r>
      <w:r>
        <w:rPr>
          <w:rFonts w:ascii="Times New Roman" w:cs="Times New Roman" w:eastAsia="Times New Roman" w:hAnsi="Times New Roman"/>
          <w:sz w:val="16"/>
          <w:szCs w:val="16"/>
          <w:color w:val="auto"/>
        </w:rPr>
        <w:t>617-516-2010</w:t>
      </w:r>
    </w:p>
    <w:p>
      <w:pPr>
        <w:spacing w:after="0" w:line="19" w:lineRule="exact"/>
        <w:rPr>
          <w:sz w:val="20"/>
          <w:szCs w:val="20"/>
          <w:color w:val="auto"/>
        </w:rPr>
      </w:pPr>
    </w:p>
    <w:p>
      <w:pPr>
        <w:ind w:left="2080"/>
        <w:spacing w:after="0"/>
        <w:tabs>
          <w:tab w:leader="none" w:pos="2700" w:val="left"/>
        </w:tabs>
        <w:rPr>
          <w:sz w:val="20"/>
          <w:szCs w:val="20"/>
          <w:color w:val="auto"/>
        </w:rPr>
      </w:pPr>
      <w:r>
        <w:rPr>
          <w:rFonts w:ascii="Times New Roman" w:cs="Times New Roman" w:eastAsia="Times New Roman" w:hAnsi="Times New Roman"/>
          <w:sz w:val="16"/>
          <w:szCs w:val="16"/>
          <w:color w:val="auto"/>
        </w:rPr>
        <w:t>Email:</w:t>
        <w:tab/>
        <w:t>*****</w:t>
      </w:r>
    </w:p>
    <w:p>
      <w:pPr>
        <w:spacing w:after="0" w:line="1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color w:val="auto"/>
        </w:rPr>
        <w:t>*****</w:t>
      </w:r>
    </w:p>
    <w:p>
      <w:pPr>
        <w:spacing w:after="0" w:line="1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color w:val="auto"/>
        </w:rPr>
        <w:t>*****</w:t>
      </w:r>
    </w:p>
    <w:p>
      <w:pPr>
        <w:spacing w:after="0" w:line="213"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6"/>
          <w:szCs w:val="16"/>
          <w:u w:val="single" w:color="auto"/>
          <w:color w:val="auto"/>
        </w:rPr>
        <w:t>with a copy to, which shall not constitute notice:</w:t>
      </w:r>
    </w:p>
    <w:p>
      <w:pPr>
        <w:spacing w:after="0" w:line="221"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6"/>
          <w:szCs w:val="16"/>
          <w:color w:val="auto"/>
        </w:rPr>
        <w:t>Kirkland &amp; Ellis LLP</w:t>
      </w:r>
    </w:p>
    <w:p>
      <w:pPr>
        <w:spacing w:after="0" w:line="26"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6"/>
          <w:szCs w:val="16"/>
          <w:color w:val="auto"/>
        </w:rPr>
        <w:t>601 Lexington Avenue</w:t>
      </w:r>
    </w:p>
    <w:p>
      <w:pPr>
        <w:spacing w:after="0" w:line="1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6"/>
          <w:szCs w:val="16"/>
          <w:color w:val="auto"/>
        </w:rPr>
        <w:t>New York, NY 10022</w:t>
      </w:r>
    </w:p>
    <w:p>
      <w:pPr>
        <w:spacing w:after="0" w:line="1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6"/>
          <w:szCs w:val="16"/>
          <w:color w:val="auto"/>
        </w:rPr>
        <w:t>Attention: Douglas Ryder, P.C.</w:t>
      </w:r>
    </w:p>
    <w:p>
      <w:pPr>
        <w:spacing w:after="0" w:line="1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6"/>
          <w:szCs w:val="16"/>
          <w:color w:val="auto"/>
        </w:rPr>
        <w:t>Facsimile No.: 212-446-6460</w:t>
      </w:r>
    </w:p>
    <w:p>
      <w:pPr>
        <w:spacing w:after="0" w:line="1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6"/>
          <w:szCs w:val="16"/>
          <w:color w:val="auto"/>
        </w:rPr>
        <w:t>Email: *****</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firstLine="1497"/>
        <w:spacing w:after="0" w:line="281" w:lineRule="auto"/>
        <w:rPr>
          <w:sz w:val="20"/>
          <w:szCs w:val="20"/>
          <w:color w:val="auto"/>
        </w:rPr>
      </w:pPr>
      <w:r>
        <w:rPr>
          <w:rFonts w:ascii="Times New Roman" w:cs="Times New Roman" w:eastAsia="Times New Roman" w:hAnsi="Times New Roman"/>
          <w:sz w:val="15"/>
          <w:szCs w:val="15"/>
          <w:color w:val="010000"/>
        </w:rPr>
        <w:t xml:space="preserve">11.2 </w:t>
      </w:r>
      <w:r>
        <w:rPr>
          <w:rFonts w:ascii="Times New Roman" w:cs="Times New Roman" w:eastAsia="Times New Roman" w:hAnsi="Times New Roman"/>
          <w:sz w:val="16"/>
          <w:szCs w:val="16"/>
          <w:u w:val="single" w:color="auto"/>
          <w:color w:val="000000"/>
        </w:rPr>
        <w:t>Modification and No Waiver of Breach</w:t>
      </w:r>
      <w:r>
        <w:rPr>
          <w:rFonts w:ascii="Times New Roman" w:cs="Times New Roman" w:eastAsia="Times New Roman" w:hAnsi="Times New Roman"/>
          <w:sz w:val="16"/>
          <w:szCs w:val="16"/>
          <w:color w:val="000000"/>
        </w:rPr>
        <w:t>. No waiver or modification of this Agreement shall be binding unless it is in writing, approved by the</w:t>
      </w:r>
      <w:r>
        <w:rPr>
          <w:rFonts w:ascii="Times New Roman" w:cs="Times New Roman" w:eastAsia="Times New Roman" w:hAnsi="Times New Roman"/>
          <w:sz w:val="15"/>
          <w:szCs w:val="15"/>
          <w:color w:val="010000"/>
        </w:rPr>
        <w:t xml:space="preserve"> </w:t>
      </w:r>
      <w:r>
        <w:rPr>
          <w:rFonts w:ascii="Times New Roman" w:cs="Times New Roman" w:eastAsia="Times New Roman" w:hAnsi="Times New Roman"/>
          <w:sz w:val="16"/>
          <w:szCs w:val="16"/>
          <w:color w:val="000000"/>
        </w:rPr>
        <w:t>Board and signed by the parties hereto. No waiver by a party of a breach hereof by the other party shall be deemed to constitute a waiver of a future breach, whether of a similar or dissimilar nature, except to the extent specifically provided in any written waiver under this Section 11.2.</w:t>
      </w:r>
    </w:p>
    <w:p>
      <w:pPr>
        <w:spacing w:after="0" w:line="69" w:lineRule="exact"/>
        <w:rPr>
          <w:sz w:val="20"/>
          <w:szCs w:val="20"/>
          <w:color w:val="auto"/>
        </w:rPr>
      </w:pPr>
    </w:p>
    <w:p>
      <w:pPr>
        <w:jc w:val="both"/>
        <w:ind w:firstLine="1497"/>
        <w:spacing w:after="0" w:line="281" w:lineRule="auto"/>
        <w:rPr>
          <w:sz w:val="20"/>
          <w:szCs w:val="20"/>
          <w:color w:val="auto"/>
        </w:rPr>
      </w:pPr>
      <w:r>
        <w:rPr>
          <w:rFonts w:ascii="Times New Roman" w:cs="Times New Roman" w:eastAsia="Times New Roman" w:hAnsi="Times New Roman"/>
          <w:sz w:val="15"/>
          <w:szCs w:val="15"/>
          <w:color w:val="010000"/>
        </w:rPr>
        <w:t xml:space="preserve">11.3 </w:t>
      </w:r>
      <w:r>
        <w:rPr>
          <w:rFonts w:ascii="Times New Roman" w:cs="Times New Roman" w:eastAsia="Times New Roman" w:hAnsi="Times New Roman"/>
          <w:sz w:val="16"/>
          <w:szCs w:val="16"/>
          <w:u w:val="single" w:color="auto"/>
          <w:color w:val="000000"/>
        </w:rPr>
        <w:t>Governing Law</w:t>
      </w:r>
      <w:r>
        <w:rPr>
          <w:rFonts w:ascii="Times New Roman" w:cs="Times New Roman" w:eastAsia="Times New Roman" w:hAnsi="Times New Roman"/>
          <w:sz w:val="16"/>
          <w:szCs w:val="16"/>
          <w:color w:val="000000"/>
        </w:rPr>
        <w:t>. This Agreement shall be governed by and construed and interpreted in accordance with the laws of the State of Delaware</w:t>
      </w:r>
      <w:r>
        <w:rPr>
          <w:rFonts w:ascii="Times New Roman" w:cs="Times New Roman" w:eastAsia="Times New Roman" w:hAnsi="Times New Roman"/>
          <w:sz w:val="15"/>
          <w:szCs w:val="15"/>
          <w:color w:val="010000"/>
        </w:rPr>
        <w:t xml:space="preserve"> </w:t>
      </w:r>
      <w:r>
        <w:rPr>
          <w:rFonts w:ascii="Times New Roman" w:cs="Times New Roman" w:eastAsia="Times New Roman" w:hAnsi="Times New Roman"/>
          <w:sz w:val="16"/>
          <w:szCs w:val="16"/>
          <w:color w:val="000000"/>
        </w:rPr>
        <w:t>(without regard to principles of conflicts of laws), and all questions relating to the validity and performance hereof and remedies hereunder shall be determined in accordance with such law.</w:t>
      </w:r>
    </w:p>
    <w:p>
      <w:pPr>
        <w:spacing w:after="0" w:line="69" w:lineRule="exact"/>
        <w:rPr>
          <w:sz w:val="20"/>
          <w:szCs w:val="20"/>
          <w:color w:val="auto"/>
        </w:rPr>
      </w:pPr>
    </w:p>
    <w:p>
      <w:pPr>
        <w:jc w:val="both"/>
        <w:ind w:firstLine="1497"/>
        <w:spacing w:after="0" w:line="298" w:lineRule="auto"/>
        <w:rPr>
          <w:sz w:val="20"/>
          <w:szCs w:val="20"/>
          <w:color w:val="auto"/>
        </w:rPr>
      </w:pPr>
      <w:r>
        <w:rPr>
          <w:rFonts w:ascii="Times New Roman" w:cs="Times New Roman" w:eastAsia="Times New Roman" w:hAnsi="Times New Roman"/>
          <w:sz w:val="15"/>
          <w:szCs w:val="15"/>
          <w:color w:val="010000"/>
        </w:rPr>
        <w:t xml:space="preserve">11.4 </w:t>
      </w:r>
      <w:r>
        <w:rPr>
          <w:rFonts w:ascii="Times New Roman" w:cs="Times New Roman" w:eastAsia="Times New Roman" w:hAnsi="Times New Roman"/>
          <w:sz w:val="16"/>
          <w:szCs w:val="16"/>
          <w:u w:val="single" w:color="auto"/>
          <w:color w:val="000000"/>
        </w:rPr>
        <w:t>Counterparts</w:t>
      </w:r>
      <w:r>
        <w:rPr>
          <w:rFonts w:ascii="Times New Roman" w:cs="Times New Roman" w:eastAsia="Times New Roman" w:hAnsi="Times New Roman"/>
          <w:sz w:val="16"/>
          <w:szCs w:val="16"/>
          <w:color w:val="000000"/>
        </w:rPr>
        <w:t>. This Agreement may be executed by facsimile in two counterparts, each of which shall be deemed an original, but both of</w:t>
      </w:r>
      <w:r>
        <w:rPr>
          <w:rFonts w:ascii="Times New Roman" w:cs="Times New Roman" w:eastAsia="Times New Roman" w:hAnsi="Times New Roman"/>
          <w:sz w:val="15"/>
          <w:szCs w:val="15"/>
          <w:color w:val="010000"/>
        </w:rPr>
        <w:t xml:space="preserve"> </w:t>
      </w:r>
      <w:r>
        <w:rPr>
          <w:rFonts w:ascii="Times New Roman" w:cs="Times New Roman" w:eastAsia="Times New Roman" w:hAnsi="Times New Roman"/>
          <w:sz w:val="16"/>
          <w:szCs w:val="16"/>
          <w:color w:val="000000"/>
        </w:rPr>
        <w:t>which taken together shall constitute one and the same Agreement.</w:t>
      </w:r>
    </w:p>
    <w:p>
      <w:pPr>
        <w:spacing w:after="0" w:line="56"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5"/>
          <w:szCs w:val="15"/>
          <w:color w:val="010000"/>
        </w:rPr>
        <w:t>11.5</w:t>
      </w:r>
      <w:r>
        <w:rPr>
          <w:sz w:val="20"/>
          <w:szCs w:val="20"/>
          <w:color w:val="auto"/>
        </w:rPr>
        <w:tab/>
      </w:r>
      <w:r>
        <w:rPr>
          <w:rFonts w:ascii="Times New Roman" w:cs="Times New Roman" w:eastAsia="Times New Roman" w:hAnsi="Times New Roman"/>
          <w:sz w:val="16"/>
          <w:szCs w:val="16"/>
          <w:u w:val="single" w:color="auto"/>
          <w:color w:val="auto"/>
        </w:rPr>
        <w:t>Captions</w:t>
      </w:r>
      <w:r>
        <w:rPr>
          <w:rFonts w:ascii="Times New Roman" w:cs="Times New Roman" w:eastAsia="Times New Roman" w:hAnsi="Times New Roman"/>
          <w:sz w:val="16"/>
          <w:szCs w:val="16"/>
          <w:color w:val="auto"/>
        </w:rPr>
        <w:t>. The captions used herein are for ease of reference only and shall not define or limit the provisions hereof.</w:t>
      </w:r>
    </w:p>
    <w:p>
      <w:pPr>
        <w:spacing w:after="0" w:line="127" w:lineRule="exact"/>
        <w:rPr>
          <w:sz w:val="20"/>
          <w:szCs w:val="20"/>
          <w:color w:val="auto"/>
        </w:rPr>
      </w:pPr>
    </w:p>
    <w:p>
      <w:pPr>
        <w:jc w:val="both"/>
        <w:ind w:firstLine="1497"/>
        <w:spacing w:after="0" w:line="298" w:lineRule="auto"/>
        <w:rPr>
          <w:sz w:val="20"/>
          <w:szCs w:val="20"/>
          <w:color w:val="auto"/>
        </w:rPr>
      </w:pPr>
      <w:r>
        <w:rPr>
          <w:rFonts w:ascii="Times New Roman" w:cs="Times New Roman" w:eastAsia="Times New Roman" w:hAnsi="Times New Roman"/>
          <w:sz w:val="15"/>
          <w:szCs w:val="15"/>
          <w:color w:val="010000"/>
        </w:rPr>
        <w:t xml:space="preserve">11.6 </w:t>
      </w:r>
      <w:r>
        <w:rPr>
          <w:rFonts w:ascii="Times New Roman" w:cs="Times New Roman" w:eastAsia="Times New Roman" w:hAnsi="Times New Roman"/>
          <w:sz w:val="16"/>
          <w:szCs w:val="16"/>
          <w:u w:val="single" w:color="auto"/>
          <w:color w:val="000000"/>
        </w:rPr>
        <w:t>Entire Agreement</w:t>
      </w:r>
      <w:r>
        <w:rPr>
          <w:rFonts w:ascii="Times New Roman" w:cs="Times New Roman" w:eastAsia="Times New Roman" w:hAnsi="Times New Roman"/>
          <w:sz w:val="16"/>
          <w:szCs w:val="16"/>
          <w:color w:val="000000"/>
        </w:rPr>
        <w:t>. This Agreement constitutes the entire agreement between the parties hereto relating to the matters encompassed hereby</w:t>
      </w:r>
      <w:r>
        <w:rPr>
          <w:rFonts w:ascii="Times New Roman" w:cs="Times New Roman" w:eastAsia="Times New Roman" w:hAnsi="Times New Roman"/>
          <w:sz w:val="15"/>
          <w:szCs w:val="15"/>
          <w:color w:val="010000"/>
        </w:rPr>
        <w:t xml:space="preserve"> </w:t>
      </w:r>
      <w:r>
        <w:rPr>
          <w:rFonts w:ascii="Times New Roman" w:cs="Times New Roman" w:eastAsia="Times New Roman" w:hAnsi="Times New Roman"/>
          <w:sz w:val="16"/>
          <w:szCs w:val="16"/>
          <w:color w:val="000000"/>
        </w:rPr>
        <w:t>and supersedes any prior oral or written agreements relating to such matters.</w:t>
      </w:r>
    </w:p>
    <w:p>
      <w:pPr>
        <w:spacing w:after="0" w:line="56" w:lineRule="exact"/>
        <w:rPr>
          <w:sz w:val="20"/>
          <w:szCs w:val="20"/>
          <w:color w:val="auto"/>
        </w:rPr>
      </w:pPr>
    </w:p>
    <w:p>
      <w:pPr>
        <w:jc w:val="both"/>
        <w:ind w:firstLine="1497"/>
        <w:spacing w:after="0" w:line="281" w:lineRule="auto"/>
        <w:rPr>
          <w:sz w:val="20"/>
          <w:szCs w:val="20"/>
          <w:color w:val="auto"/>
        </w:rPr>
      </w:pPr>
      <w:r>
        <w:rPr>
          <w:rFonts w:ascii="Times New Roman" w:cs="Times New Roman" w:eastAsia="Times New Roman" w:hAnsi="Times New Roman"/>
          <w:sz w:val="15"/>
          <w:szCs w:val="15"/>
          <w:color w:val="010000"/>
        </w:rPr>
        <w:t xml:space="preserve">11.7 </w:t>
      </w:r>
      <w:r>
        <w:rPr>
          <w:rFonts w:ascii="Times New Roman" w:cs="Times New Roman" w:eastAsia="Times New Roman" w:hAnsi="Times New Roman"/>
          <w:sz w:val="16"/>
          <w:szCs w:val="16"/>
          <w:u w:val="single" w:color="auto"/>
          <w:color w:val="000000"/>
        </w:rPr>
        <w:t>Assignment</w:t>
      </w:r>
      <w:r>
        <w:rPr>
          <w:rFonts w:ascii="Times New Roman" w:cs="Times New Roman" w:eastAsia="Times New Roman" w:hAnsi="Times New Roman"/>
          <w:sz w:val="16"/>
          <w:szCs w:val="16"/>
          <w:color w:val="000000"/>
        </w:rPr>
        <w:t>. The rights of the Company under this Agreement may; without the consent of Executive, be assigned by the Company, in its</w:t>
      </w:r>
      <w:r>
        <w:rPr>
          <w:rFonts w:ascii="Times New Roman" w:cs="Times New Roman" w:eastAsia="Times New Roman" w:hAnsi="Times New Roman"/>
          <w:sz w:val="15"/>
          <w:szCs w:val="15"/>
          <w:color w:val="010000"/>
        </w:rPr>
        <w:t xml:space="preserve"> </w:t>
      </w:r>
      <w:r>
        <w:rPr>
          <w:rFonts w:ascii="Times New Roman" w:cs="Times New Roman" w:eastAsia="Times New Roman" w:hAnsi="Times New Roman"/>
          <w:sz w:val="16"/>
          <w:szCs w:val="16"/>
          <w:color w:val="000000"/>
        </w:rPr>
        <w:t>sole and unfettered discretion, to any person, firm, corporation or other business entity which at any time, whether by purchase, merger or otherwise, directly or indirectly, acquires 80% or more of the stock, assets or business of the Company.</w:t>
      </w:r>
    </w:p>
    <w:p>
      <w:pPr>
        <w:spacing w:after="0" w:line="69" w:lineRule="exact"/>
        <w:rPr>
          <w:sz w:val="20"/>
          <w:szCs w:val="20"/>
          <w:color w:val="auto"/>
        </w:rPr>
      </w:pPr>
    </w:p>
    <w:p>
      <w:pPr>
        <w:jc w:val="both"/>
        <w:ind w:firstLine="1497"/>
        <w:spacing w:after="0" w:line="275" w:lineRule="auto"/>
        <w:rPr>
          <w:sz w:val="20"/>
          <w:szCs w:val="20"/>
          <w:color w:val="auto"/>
        </w:rPr>
      </w:pPr>
      <w:r>
        <w:rPr>
          <w:rFonts w:ascii="Times New Roman" w:cs="Times New Roman" w:eastAsia="Times New Roman" w:hAnsi="Times New Roman"/>
          <w:sz w:val="15"/>
          <w:szCs w:val="15"/>
          <w:color w:val="010000"/>
        </w:rPr>
        <w:t xml:space="preserve">11.8 </w:t>
      </w:r>
      <w:r>
        <w:rPr>
          <w:rFonts w:ascii="Times New Roman" w:cs="Times New Roman" w:eastAsia="Times New Roman" w:hAnsi="Times New Roman"/>
          <w:sz w:val="16"/>
          <w:szCs w:val="16"/>
          <w:u w:val="single" w:color="auto"/>
          <w:color w:val="000000"/>
        </w:rPr>
        <w:t>Non-Transferability of Interest</w:t>
      </w:r>
      <w:r>
        <w:rPr>
          <w:rFonts w:ascii="Times New Roman" w:cs="Times New Roman" w:eastAsia="Times New Roman" w:hAnsi="Times New Roman"/>
          <w:sz w:val="16"/>
          <w:szCs w:val="16"/>
          <w:color w:val="000000"/>
        </w:rPr>
        <w:t>. None of the rights of Executive to receive any form of compensation payable pursuant to this Agreement</w:t>
      </w:r>
      <w:r>
        <w:rPr>
          <w:rFonts w:ascii="Times New Roman" w:cs="Times New Roman" w:eastAsia="Times New Roman" w:hAnsi="Times New Roman"/>
          <w:sz w:val="15"/>
          <w:szCs w:val="15"/>
          <w:color w:val="010000"/>
        </w:rPr>
        <w:t xml:space="preserve"> </w:t>
      </w:r>
      <w:r>
        <w:rPr>
          <w:rFonts w:ascii="Times New Roman" w:cs="Times New Roman" w:eastAsia="Times New Roman" w:hAnsi="Times New Roman"/>
          <w:sz w:val="16"/>
          <w:szCs w:val="16"/>
          <w:color w:val="000000"/>
        </w:rPr>
        <w:t>shall be assignable or transferable except through a testamentary disposition or by the laws of descent and distribution upon the death of Executive. Any other attempted assignment, transfer, conveyance or other disposition of any interest in the rights of Executive to receive any form of compensation to be made by the Company pursuant to this Agreement shall be void.</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follows]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6"/>
          <w:szCs w:val="16"/>
          <w:color w:val="auto"/>
        </w:rPr>
        <w:t>IN WITNESS WHEREOF, this Agreement has been duly executed as of the date hereof.</w:t>
      </w:r>
    </w:p>
    <w:p>
      <w:pPr>
        <w:spacing w:after="0" w:line="248" w:lineRule="exact"/>
        <w:rPr>
          <w:sz w:val="20"/>
          <w:szCs w:val="20"/>
          <w:color w:val="auto"/>
        </w:rPr>
      </w:pPr>
    </w:p>
    <w:p>
      <w:pPr>
        <w:jc w:val="right"/>
        <w:ind w:right="99"/>
        <w:spacing w:after="0"/>
        <w:rPr>
          <w:sz w:val="20"/>
          <w:szCs w:val="20"/>
          <w:color w:val="auto"/>
        </w:rPr>
      </w:pPr>
      <w:r>
        <w:rPr>
          <w:rFonts w:ascii="Times New Roman" w:cs="Times New Roman" w:eastAsia="Times New Roman" w:hAnsi="Times New Roman"/>
          <w:sz w:val="16"/>
          <w:szCs w:val="16"/>
          <w:color w:val="auto"/>
        </w:rPr>
        <w:t>CCC INTELLIGENT SOLUTIONS INC., a Delaware corporation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960"/>
        <w:spacing w:after="0"/>
        <w:tabs>
          <w:tab w:leader="none" w:pos="5300" w:val="left"/>
        </w:tabs>
        <w:rPr>
          <w:sz w:val="20"/>
          <w:szCs w:val="20"/>
          <w:color w:val="auto"/>
        </w:rPr>
      </w:pPr>
      <w:r>
        <w:rPr>
          <w:rFonts w:ascii="Times New Roman" w:cs="Times New Roman" w:eastAsia="Times New Roman" w:hAnsi="Times New Roman"/>
          <w:sz w:val="16"/>
          <w:szCs w:val="16"/>
          <w:color w:val="auto"/>
        </w:rPr>
        <w:t>By:</w:t>
        <w:tab/>
        <w:t>/s/ Githesh Ramamurthy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3355975</wp:posOffset>
            </wp:positionH>
            <wp:positionV relativeFrom="paragraph">
              <wp:posOffset>-4445</wp:posOffset>
            </wp:positionV>
            <wp:extent cx="103124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9">
                      <a:extLst>
                        <a:ext uri="{28A0092B-C50C-407E-A947-70E740481C1C}"/>
                      </a:extLst>
                    </a:blip>
                    <a:srcRect/>
                    <a:stretch>
                      <a:fillRect/>
                    </a:stretch>
                  </pic:blipFill>
                  <pic:spPr bwMode="auto">
                    <a:xfrm>
                      <a:off x="0" y="0"/>
                      <a:ext cx="1031240" cy="8255"/>
                    </a:xfrm>
                    <a:prstGeom prst="rect">
                      <a:avLst/>
                    </a:prstGeom>
                    <a:noFill/>
                  </pic:spPr>
                </pic:pic>
              </a:graphicData>
            </a:graphic>
          </wp:anchor>
        </w:drawing>
      </w:r>
    </w:p>
    <w:p>
      <w:pPr>
        <w:spacing w:after="0" w:line="201" w:lineRule="exact"/>
        <w:rPr>
          <w:sz w:val="20"/>
          <w:szCs w:val="20"/>
          <w:color w:val="auto"/>
        </w:rPr>
      </w:pPr>
    </w:p>
    <w:p>
      <w:pPr>
        <w:ind w:left="4960"/>
        <w:spacing w:after="0"/>
        <w:tabs>
          <w:tab w:leader="none" w:pos="5580" w:val="left"/>
        </w:tabs>
        <w:rPr>
          <w:sz w:val="20"/>
          <w:szCs w:val="20"/>
          <w:color w:val="auto"/>
        </w:rPr>
      </w:pPr>
      <w:r>
        <w:rPr>
          <w:rFonts w:ascii="Times New Roman" w:cs="Times New Roman" w:eastAsia="Times New Roman" w:hAnsi="Times New Roman"/>
          <w:sz w:val="16"/>
          <w:szCs w:val="16"/>
          <w:color w:val="auto"/>
        </w:rPr>
        <w:t>Name:</w:t>
        <w:tab/>
        <w:t>Githesh Ramamurthy</w:t>
      </w:r>
    </w:p>
    <w:p>
      <w:pPr>
        <w:spacing w:after="0" w:line="26" w:lineRule="exact"/>
        <w:rPr>
          <w:sz w:val="20"/>
          <w:szCs w:val="20"/>
          <w:color w:val="auto"/>
        </w:rPr>
      </w:pPr>
    </w:p>
    <w:p>
      <w:pPr>
        <w:ind w:left="4960"/>
        <w:spacing w:after="0"/>
        <w:tabs>
          <w:tab w:leader="none" w:pos="558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6"/>
          <w:szCs w:val="16"/>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EXECUTIVE</w:t>
      </w:r>
    </w:p>
    <w:p>
      <w:pPr>
        <w:spacing w:after="0" w:line="23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_</w:t>
      </w:r>
      <w:r>
        <w:rPr>
          <w:rFonts w:ascii="Times New Roman" w:cs="Times New Roman" w:eastAsia="Times New Roman" w:hAnsi="Times New Roman"/>
          <w:sz w:val="16"/>
          <w:szCs w:val="16"/>
          <w:u w:val="single" w:color="auto"/>
          <w:color w:val="auto"/>
        </w:rPr>
        <w:t>/s/ John Goodon</w:t>
      </w:r>
    </w:p>
    <w:p>
      <w:pPr>
        <w:spacing w:after="0" w:line="22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Name: John Goodson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6"/>
          <w:szCs w:val="16"/>
          <w:color w:val="auto"/>
        </w:rPr>
        <w:t>Signature Page to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487680</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1422" w:right="1440" w:bottom="1440" w:gutter="0" w:footer="0" w:header="0"/>
        </w:sectPr>
      </w:pPr>
    </w:p>
    <w:bookmarkStart w:id="119" w:name="page120"/>
    <w:bookmarkEnd w:id="119"/>
    <w:p>
      <w:pPr>
        <w:jc w:val="center"/>
        <w:ind w:right="-1100"/>
        <w:spacing w:after="0"/>
        <w:rPr>
          <w:sz w:val="20"/>
          <w:szCs w:val="20"/>
          <w:color w:val="auto"/>
        </w:rPr>
      </w:pPr>
      <w:r>
        <w:rPr>
          <w:rFonts w:ascii="Times New Roman" w:cs="Times New Roman" w:eastAsia="Times New Roman" w:hAnsi="Times New Roman"/>
          <w:sz w:val="16"/>
          <w:szCs w:val="16"/>
          <w:color w:val="auto"/>
        </w:rPr>
        <w:t>EXHIBIT A</w:t>
      </w:r>
    </w:p>
    <w:p>
      <w:pPr>
        <w:spacing w:after="0" w:line="2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to</w:t>
      </w:r>
    </w:p>
    <w:p>
      <w:pPr>
        <w:spacing w:after="0" w:line="1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u w:val="single" w:color="auto"/>
          <w:color w:val="auto"/>
        </w:rPr>
        <w:t>Employment Agreement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6"/>
          <w:szCs w:val="16"/>
          <w:color w:val="auto"/>
        </w:rPr>
        <w:t>Name of Executive:</w:t>
      </w:r>
      <w:r>
        <w:rPr>
          <w:sz w:val="20"/>
          <w:szCs w:val="20"/>
          <w:color w:val="auto"/>
        </w:rPr>
        <w:tab/>
      </w:r>
      <w:r>
        <w:rPr>
          <w:rFonts w:ascii="Times New Roman" w:cs="Times New Roman" w:eastAsia="Times New Roman" w:hAnsi="Times New Roman"/>
          <w:sz w:val="16"/>
          <w:szCs w:val="16"/>
          <w:color w:val="auto"/>
        </w:rPr>
        <w:t>John Goodson</w:t>
      </w:r>
    </w:p>
    <w:p>
      <w:pPr>
        <w:spacing w:after="0" w:line="23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color w:val="auto"/>
        </w:rPr>
        <w:t>Title(s):</w:t>
        <w:tab/>
        <w:t>Senior Vice President, Chief Technology Officer</w:t>
      </w:r>
    </w:p>
    <w:p>
      <w:pPr>
        <w:spacing w:after="0" w:line="23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6"/>
          <w:szCs w:val="16"/>
          <w:color w:val="auto"/>
        </w:rPr>
        <w:t>Base Salary:</w:t>
        <w:tab/>
        <w:t>$470,000 per annum</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Target Performance-Based Bonus: 50% of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1036320</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22" w:right="1440"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20"/>
          <w:szCs w:val="20"/>
          <w:b w:val="1"/>
          <w:bCs w:val="1"/>
          <w:color w:val="auto"/>
        </w:rPr>
        <w:t>Exhibit 10.10</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EMPLOYMENT AGREEMENT</w:t>
      </w:r>
    </w:p>
    <w:p>
      <w:pPr>
        <w:spacing w:after="0" w:line="237" w:lineRule="exact"/>
        <w:rPr>
          <w:sz w:val="20"/>
          <w:szCs w:val="20"/>
          <w:color w:val="auto"/>
        </w:rPr>
      </w:pPr>
    </w:p>
    <w:p>
      <w:pPr>
        <w:jc w:val="both"/>
        <w:ind w:left="140" w:right="120" w:firstLine="749"/>
        <w:spacing w:after="0" w:line="281" w:lineRule="auto"/>
        <w:rPr>
          <w:sz w:val="20"/>
          <w:szCs w:val="20"/>
          <w:color w:val="auto"/>
        </w:rPr>
      </w:pPr>
      <w:r>
        <w:rPr>
          <w:rFonts w:ascii="Times New Roman" w:cs="Times New Roman" w:eastAsia="Times New Roman" w:hAnsi="Times New Roman"/>
          <w:sz w:val="16"/>
          <w:szCs w:val="16"/>
          <w:color w:val="auto"/>
        </w:rPr>
        <w:t>This Employment Agreement (this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is made and entered into on October 7, 2022 (the “</w:t>
      </w:r>
      <w:r>
        <w:rPr>
          <w:rFonts w:ascii="Times New Roman" w:cs="Times New Roman" w:eastAsia="Times New Roman" w:hAnsi="Times New Roman"/>
          <w:sz w:val="16"/>
          <w:szCs w:val="16"/>
          <w:u w:val="single" w:color="auto"/>
          <w:color w:val="auto"/>
        </w:rPr>
        <w:t>Effective Date</w:t>
      </w:r>
      <w:r>
        <w:rPr>
          <w:rFonts w:ascii="Times New Roman" w:cs="Times New Roman" w:eastAsia="Times New Roman" w:hAnsi="Times New Roman"/>
          <w:sz w:val="16"/>
          <w:szCs w:val="16"/>
          <w:color w:val="auto"/>
        </w:rPr>
        <w:t>”), by and between CCC Intelligent Solutions Holdings Inc., a Delaware corporation (together with any of its subsidiaries and affiliates as may employ Executive from time to time and any successor(s) thereto,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and Michael Silva (“</w:t>
      </w:r>
      <w:r>
        <w:rPr>
          <w:rFonts w:ascii="Times New Roman" w:cs="Times New Roman" w:eastAsia="Times New Roman" w:hAnsi="Times New Roman"/>
          <w:sz w:val="16"/>
          <w:szCs w:val="16"/>
          <w:u w:val="single" w:color="auto"/>
          <w:color w:val="auto"/>
        </w:rPr>
        <w:t>Executive</w:t>
      </w:r>
      <w:r>
        <w:rPr>
          <w:rFonts w:ascii="Times New Roman" w:cs="Times New Roman" w:eastAsia="Times New Roman" w:hAnsi="Times New Roman"/>
          <w:sz w:val="16"/>
          <w:szCs w:val="16"/>
          <w:color w:val="auto"/>
        </w:rPr>
        <w:t>”).</w:t>
      </w:r>
    </w:p>
    <w:p>
      <w:pPr>
        <w:spacing w:after="0" w:line="69" w:lineRule="exact"/>
        <w:rPr>
          <w:sz w:val="20"/>
          <w:szCs w:val="20"/>
          <w:color w:val="auto"/>
        </w:rPr>
      </w:pPr>
    </w:p>
    <w:p>
      <w:pPr>
        <w:ind w:right="160" w:firstLine="749"/>
        <w:spacing w:after="0" w:line="298" w:lineRule="auto"/>
        <w:rPr>
          <w:sz w:val="20"/>
          <w:szCs w:val="20"/>
          <w:color w:val="auto"/>
        </w:rPr>
      </w:pPr>
      <w:r>
        <w:rPr>
          <w:rFonts w:ascii="Times New Roman" w:cs="Times New Roman" w:eastAsia="Times New Roman" w:hAnsi="Times New Roman"/>
          <w:sz w:val="16"/>
          <w:szCs w:val="16"/>
          <w:color w:val="auto"/>
        </w:rPr>
        <w:t>WHEREAS, the Company hereby agrees to employ Executive effective as of the Start Date, and Executive hereby accepts such employment, on the terms and conditions hereinafter set forth.</w:t>
      </w:r>
    </w:p>
    <w:p>
      <w:pPr>
        <w:spacing w:after="0" w:line="56" w:lineRule="exact"/>
        <w:rPr>
          <w:sz w:val="20"/>
          <w:szCs w:val="20"/>
          <w:color w:val="auto"/>
        </w:rPr>
      </w:pPr>
    </w:p>
    <w:p>
      <w:pPr>
        <w:ind w:left="140" w:right="140" w:firstLine="749"/>
        <w:spacing w:after="0" w:line="298" w:lineRule="auto"/>
        <w:rPr>
          <w:sz w:val="20"/>
          <w:szCs w:val="20"/>
          <w:color w:val="auto"/>
        </w:rPr>
      </w:pPr>
      <w:r>
        <w:rPr>
          <w:rFonts w:ascii="Times New Roman" w:cs="Times New Roman" w:eastAsia="Times New Roman" w:hAnsi="Times New Roman"/>
          <w:sz w:val="16"/>
          <w:szCs w:val="16"/>
          <w:color w:val="auto"/>
        </w:rPr>
        <w:t>NOW, THEREFORE, in consideration of the foregoing, and for other good and valuable consideration, including the respective covenants and agreements set forth below, the parties hereto agree as follows:</w:t>
      </w:r>
    </w:p>
    <w:p>
      <w:pPr>
        <w:spacing w:after="0" w:line="56" w:lineRule="exact"/>
        <w:rPr>
          <w:sz w:val="20"/>
          <w:szCs w:val="20"/>
          <w:color w:val="auto"/>
        </w:rPr>
      </w:pPr>
    </w:p>
    <w:p>
      <w:pPr>
        <w:jc w:val="both"/>
        <w:ind w:left="120" w:right="120" w:firstLine="748"/>
        <w:spacing w:after="0" w:line="269" w:lineRule="auto"/>
        <w:tabs>
          <w:tab w:leader="none" w:pos="1009" w:val="left"/>
        </w:tabs>
        <w:numPr>
          <w:ilvl w:val="0"/>
          <w:numId w:val="87"/>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u w:val="single" w:color="auto"/>
          <w:color w:val="auto"/>
        </w:rPr>
        <w:t>Position</w:t>
      </w:r>
      <w:r>
        <w:rPr>
          <w:rFonts w:ascii="Times New Roman" w:cs="Times New Roman" w:eastAsia="Times New Roman" w:hAnsi="Times New Roman"/>
          <w:sz w:val="16"/>
          <w:szCs w:val="16"/>
          <w:color w:val="auto"/>
        </w:rPr>
        <w:t xml:space="preserve">. During the Period of Employment (as defined below), Executive shall serve in the capacity indicated on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Executive shall perform the normal duties and responsibilities of such position and such other duties and responsibilities not inconsistent with such position as the Chief Executive Officer of the Company may assign to Executive from time to time. During the Period of Employment, Executive will (a) during normal business hours, devote Executive’s full time and exclusive attention to, and use Executive’s best efforts to advance, the business and welfare of the Company, and (b) not engage in any other employment activities for any direct or indirect remuneration without the concurrence of the Board of Directors of the Company (the “</w:t>
      </w:r>
      <w:r>
        <w:rPr>
          <w:rFonts w:ascii="Times New Roman" w:cs="Times New Roman" w:eastAsia="Times New Roman" w:hAnsi="Times New Roman"/>
          <w:sz w:val="16"/>
          <w:szCs w:val="16"/>
          <w:u w:val="single" w:color="auto"/>
          <w:color w:val="auto"/>
        </w:rPr>
        <w:t>Board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Executive may engage in charitable activities to the extent they are not inconsistent with Executive’s duties hereunder so long as Executive continues to spend substantially all of his time performing Executive’s duties hereunder.</w:t>
      </w:r>
    </w:p>
    <w:p>
      <w:pPr>
        <w:spacing w:after="0" w:line="81" w:lineRule="exact"/>
        <w:rPr>
          <w:rFonts w:ascii="Times New Roman" w:cs="Times New Roman" w:eastAsia="Times New Roman" w:hAnsi="Times New Roman"/>
          <w:sz w:val="16"/>
          <w:szCs w:val="16"/>
          <w:color w:val="010000"/>
        </w:rPr>
      </w:pPr>
    </w:p>
    <w:p>
      <w:pPr>
        <w:jc w:val="both"/>
        <w:ind w:left="120" w:right="120" w:firstLine="748"/>
        <w:spacing w:after="0" w:line="271" w:lineRule="auto"/>
        <w:tabs>
          <w:tab w:leader="none" w:pos="1009" w:val="left"/>
        </w:tabs>
        <w:numPr>
          <w:ilvl w:val="0"/>
          <w:numId w:val="87"/>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u w:val="single" w:color="auto"/>
          <w:color w:val="auto"/>
        </w:rPr>
        <w:t>Period of Employment</w:t>
      </w:r>
      <w:r>
        <w:rPr>
          <w:rFonts w:ascii="Times New Roman" w:cs="Times New Roman" w:eastAsia="Times New Roman" w:hAnsi="Times New Roman"/>
          <w:sz w:val="16"/>
          <w:szCs w:val="16"/>
          <w:color w:val="auto"/>
        </w:rPr>
        <w:t xml:space="preserve">. Subject to earlier termination pursuant to </w:t>
      </w:r>
      <w:r>
        <w:rPr>
          <w:rFonts w:ascii="Times New Roman" w:cs="Times New Roman" w:eastAsia="Times New Roman" w:hAnsi="Times New Roman"/>
          <w:sz w:val="16"/>
          <w:szCs w:val="16"/>
          <w:u w:val="single" w:color="auto"/>
          <w:color w:val="auto"/>
        </w:rPr>
        <w:t>Section 6</w:t>
      </w:r>
      <w:r>
        <w:rPr>
          <w:rFonts w:ascii="Times New Roman" w:cs="Times New Roman" w:eastAsia="Times New Roman" w:hAnsi="Times New Roman"/>
          <w:sz w:val="16"/>
          <w:szCs w:val="16"/>
          <w:color w:val="auto"/>
        </w:rPr>
        <w:t>, the period of Executive’s employment by the Company (the “</w:t>
      </w:r>
      <w:r>
        <w:rPr>
          <w:rFonts w:ascii="Times New Roman" w:cs="Times New Roman" w:eastAsia="Times New Roman" w:hAnsi="Times New Roman"/>
          <w:sz w:val="16"/>
          <w:szCs w:val="16"/>
          <w:u w:val="single" w:color="auto"/>
          <w:color w:val="auto"/>
        </w:rPr>
        <w:t>Period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Employment</w:t>
      </w:r>
      <w:r>
        <w:rPr>
          <w:rFonts w:ascii="Times New Roman" w:cs="Times New Roman" w:eastAsia="Times New Roman" w:hAnsi="Times New Roman"/>
          <w:sz w:val="16"/>
          <w:szCs w:val="16"/>
          <w:color w:val="auto"/>
        </w:rPr>
        <w:t>”) shall be for three (3) years commencing on October 17, 2022 (the “</w:t>
      </w:r>
      <w:r>
        <w:rPr>
          <w:rFonts w:ascii="Times New Roman" w:cs="Times New Roman" w:eastAsia="Times New Roman" w:hAnsi="Times New Roman"/>
          <w:sz w:val="16"/>
          <w:szCs w:val="16"/>
          <w:u w:val="single" w:color="auto"/>
          <w:color w:val="auto"/>
        </w:rPr>
        <w:t>Start Date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thereafter the Period of Employment shall be automatically renewed for successive one (1) year periods on each anniversary of the Start Date unless either party hereto gives the other party written notice no later than thirty (30) days prior to such anniversary of the Start Date of its election not to so renew the Period of Employment for the additional one (1) year period. The Company’s election not to renew the initial Period of Employment or any subsequent Period of Employment shall constitute a termination of Executive’s employment without Cause for purposes of </w:t>
      </w:r>
      <w:r>
        <w:rPr>
          <w:rFonts w:ascii="Times New Roman" w:cs="Times New Roman" w:eastAsia="Times New Roman" w:hAnsi="Times New Roman"/>
          <w:sz w:val="16"/>
          <w:szCs w:val="16"/>
          <w:u w:val="single" w:color="auto"/>
          <w:color w:val="auto"/>
        </w:rPr>
        <w:t>Section 6</w:t>
      </w:r>
      <w:r>
        <w:rPr>
          <w:rFonts w:ascii="Times New Roman" w:cs="Times New Roman" w:eastAsia="Times New Roman" w:hAnsi="Times New Roman"/>
          <w:sz w:val="16"/>
          <w:szCs w:val="16"/>
          <w:color w:val="auto"/>
        </w:rPr>
        <w:t>.</w:t>
      </w:r>
    </w:p>
    <w:p>
      <w:pPr>
        <w:spacing w:after="0" w:line="76" w:lineRule="exact"/>
        <w:rPr>
          <w:rFonts w:ascii="Times New Roman" w:cs="Times New Roman" w:eastAsia="Times New Roman" w:hAnsi="Times New Roman"/>
          <w:sz w:val="16"/>
          <w:szCs w:val="16"/>
          <w:color w:val="010000"/>
        </w:rPr>
      </w:pPr>
    </w:p>
    <w:p>
      <w:pPr>
        <w:ind w:left="1620" w:hanging="744"/>
        <w:spacing w:after="0"/>
        <w:tabs>
          <w:tab w:leader="none" w:pos="1620" w:val="left"/>
        </w:tabs>
        <w:numPr>
          <w:ilvl w:val="0"/>
          <w:numId w:val="87"/>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u w:val="single" w:color="auto"/>
          <w:color w:val="auto"/>
        </w:rPr>
        <w:t>Compensation</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jc w:val="both"/>
        <w:ind w:left="120" w:right="120" w:firstLine="1481"/>
        <w:spacing w:after="0" w:line="280" w:lineRule="auto"/>
        <w:rPr>
          <w:sz w:val="20"/>
          <w:szCs w:val="20"/>
          <w:color w:val="auto"/>
        </w:rPr>
      </w:pPr>
      <w:r>
        <w:rPr>
          <w:rFonts w:ascii="Times New Roman" w:cs="Times New Roman" w:eastAsia="Times New Roman" w:hAnsi="Times New Roman"/>
          <w:sz w:val="16"/>
          <w:szCs w:val="16"/>
          <w:color w:val="010000"/>
        </w:rPr>
        <w:t xml:space="preserve">3.1 </w:t>
      </w:r>
      <w:r>
        <w:rPr>
          <w:rFonts w:ascii="Times New Roman" w:cs="Times New Roman" w:eastAsia="Times New Roman" w:hAnsi="Times New Roman"/>
          <w:sz w:val="16"/>
          <w:szCs w:val="16"/>
          <w:u w:val="single" w:color="auto"/>
          <w:color w:val="000000"/>
        </w:rPr>
        <w:t>Base Salary</w:t>
      </w:r>
      <w:r>
        <w:rPr>
          <w:rFonts w:ascii="Times New Roman" w:cs="Times New Roman" w:eastAsia="Times New Roman" w:hAnsi="Times New Roman"/>
          <w:sz w:val="16"/>
          <w:szCs w:val="16"/>
          <w:color w:val="000000"/>
        </w:rPr>
        <w:t>. During the Period of Employment, the Company shall pay Executive a per annum base salary as set forth in</w:t>
      </w:r>
      <w:r>
        <w:rPr>
          <w:rFonts w:ascii="Times New Roman" w:cs="Times New Roman" w:eastAsia="Times New Roman" w:hAnsi="Times New Roman"/>
          <w:sz w:val="16"/>
          <w:szCs w:val="16"/>
          <w:color w:val="010000"/>
        </w:rPr>
        <w:t xml:space="preserve"> </w:t>
      </w:r>
      <w:r>
        <w:rPr>
          <w:rFonts w:ascii="Times New Roman" w:cs="Times New Roman" w:eastAsia="Times New Roman" w:hAnsi="Times New Roman"/>
          <w:sz w:val="16"/>
          <w:szCs w:val="16"/>
          <w:u w:val="single" w:color="auto"/>
          <w:color w:val="000000"/>
        </w:rPr>
        <w:t>Exhibit A</w:t>
      </w:r>
      <w:r>
        <w:rPr>
          <w:rFonts w:ascii="Times New Roman" w:cs="Times New Roman" w:eastAsia="Times New Roman" w:hAnsi="Times New Roman"/>
          <w:sz w:val="16"/>
          <w:szCs w:val="16"/>
          <w:color w:val="010000"/>
        </w:rPr>
        <w:t xml:space="preserve"> </w:t>
      </w:r>
      <w:r>
        <w:rPr>
          <w:rFonts w:ascii="Times New Roman" w:cs="Times New Roman" w:eastAsia="Times New Roman" w:hAnsi="Times New Roman"/>
          <w:sz w:val="16"/>
          <w:szCs w:val="16"/>
          <w:color w:val="000000"/>
        </w:rPr>
        <w:t>(as</w:t>
      </w:r>
      <w:r>
        <w:rPr>
          <w:rFonts w:ascii="Times New Roman" w:cs="Times New Roman" w:eastAsia="Times New Roman" w:hAnsi="Times New Roman"/>
          <w:sz w:val="16"/>
          <w:szCs w:val="16"/>
          <w:color w:val="010000"/>
        </w:rPr>
        <w:t xml:space="preserve"> </w:t>
      </w:r>
      <w:r>
        <w:rPr>
          <w:rFonts w:ascii="Times New Roman" w:cs="Times New Roman" w:eastAsia="Times New Roman" w:hAnsi="Times New Roman"/>
          <w:sz w:val="16"/>
          <w:szCs w:val="16"/>
          <w:color w:val="000000"/>
        </w:rPr>
        <w:t>adjusted from time to time by the Board in its sole discretion, the “</w:t>
      </w:r>
      <w:r>
        <w:rPr>
          <w:rFonts w:ascii="Times New Roman" w:cs="Times New Roman" w:eastAsia="Times New Roman" w:hAnsi="Times New Roman"/>
          <w:sz w:val="16"/>
          <w:szCs w:val="16"/>
          <w:u w:val="single" w:color="auto"/>
          <w:color w:val="000000"/>
        </w:rPr>
        <w:t>Base Salary</w:t>
      </w:r>
      <w:r>
        <w:rPr>
          <w:rFonts w:ascii="Times New Roman" w:cs="Times New Roman" w:eastAsia="Times New Roman" w:hAnsi="Times New Roman"/>
          <w:sz w:val="16"/>
          <w:szCs w:val="16"/>
          <w:color w:val="000000"/>
        </w:rPr>
        <w:t xml:space="preserve">”) payable in accordance with the standard policies of the Company. Executive’s Base Salary shall be subject to annual review by the Board; </w:t>
      </w:r>
      <w:r>
        <w:rPr>
          <w:rFonts w:ascii="Times New Roman" w:cs="Times New Roman" w:eastAsia="Times New Roman" w:hAnsi="Times New Roman"/>
          <w:sz w:val="16"/>
          <w:szCs w:val="16"/>
          <w:u w:val="single" w:color="auto"/>
          <w:color w:val="000000"/>
        </w:rPr>
        <w:t>provided</w:t>
      </w:r>
      <w:r>
        <w:rPr>
          <w:rFonts w:ascii="Times New Roman" w:cs="Times New Roman" w:eastAsia="Times New Roman" w:hAnsi="Times New Roman"/>
          <w:sz w:val="16"/>
          <w:szCs w:val="16"/>
          <w:color w:val="000000"/>
        </w:rPr>
        <w:t xml:space="preserve">, </w:t>
      </w:r>
      <w:r>
        <w:rPr>
          <w:rFonts w:ascii="Times New Roman" w:cs="Times New Roman" w:eastAsia="Times New Roman" w:hAnsi="Times New Roman"/>
          <w:sz w:val="16"/>
          <w:szCs w:val="16"/>
          <w:u w:val="single" w:color="auto"/>
          <w:color w:val="000000"/>
        </w:rPr>
        <w:t>however</w:t>
      </w:r>
      <w:r>
        <w:rPr>
          <w:rFonts w:ascii="Times New Roman" w:cs="Times New Roman" w:eastAsia="Times New Roman" w:hAnsi="Times New Roman"/>
          <w:sz w:val="16"/>
          <w:szCs w:val="16"/>
          <w:color w:val="000000"/>
        </w:rPr>
        <w:t>, that the level of such Base Salary shall not be subject to reduction unless consented to in writing by Executive.</w:t>
      </w:r>
    </w:p>
    <w:p>
      <w:pPr>
        <w:spacing w:after="0" w:line="274" w:lineRule="exact"/>
        <w:rPr>
          <w:sz w:val="20"/>
          <w:szCs w:val="20"/>
          <w:color w:val="auto"/>
        </w:rPr>
      </w:pPr>
    </w:p>
    <w:p>
      <w:pPr>
        <w:jc w:val="both"/>
        <w:ind w:left="120" w:right="120" w:firstLine="1481"/>
        <w:spacing w:after="0" w:line="275" w:lineRule="auto"/>
        <w:rPr>
          <w:sz w:val="20"/>
          <w:szCs w:val="20"/>
          <w:color w:val="auto"/>
        </w:rPr>
      </w:pPr>
      <w:r>
        <w:rPr>
          <w:rFonts w:ascii="Times New Roman" w:cs="Times New Roman" w:eastAsia="Times New Roman" w:hAnsi="Times New Roman"/>
          <w:sz w:val="16"/>
          <w:szCs w:val="16"/>
          <w:color w:val="010000"/>
        </w:rPr>
        <w:t xml:space="preserve">3.2 </w:t>
      </w:r>
      <w:r>
        <w:rPr>
          <w:rFonts w:ascii="Times New Roman" w:cs="Times New Roman" w:eastAsia="Times New Roman" w:hAnsi="Times New Roman"/>
          <w:sz w:val="16"/>
          <w:szCs w:val="16"/>
          <w:u w:val="single" w:color="auto"/>
          <w:color w:val="000000"/>
        </w:rPr>
        <w:t>Performance-Based Compensation</w:t>
      </w:r>
      <w:r>
        <w:rPr>
          <w:rFonts w:ascii="Times New Roman" w:cs="Times New Roman" w:eastAsia="Times New Roman" w:hAnsi="Times New Roman"/>
          <w:sz w:val="16"/>
          <w:szCs w:val="16"/>
          <w:color w:val="000000"/>
        </w:rPr>
        <w:t>. During the Period of Employment, Executive shall also be entitled to participate in an annual</w:t>
      </w:r>
      <w:r>
        <w:rPr>
          <w:rFonts w:ascii="Times New Roman" w:cs="Times New Roman" w:eastAsia="Times New Roman" w:hAnsi="Times New Roman"/>
          <w:sz w:val="16"/>
          <w:szCs w:val="16"/>
          <w:color w:val="010000"/>
        </w:rPr>
        <w:t xml:space="preserve"> </w:t>
      </w:r>
      <w:r>
        <w:rPr>
          <w:rFonts w:ascii="Times New Roman" w:cs="Times New Roman" w:eastAsia="Times New Roman" w:hAnsi="Times New Roman"/>
          <w:sz w:val="16"/>
          <w:szCs w:val="16"/>
          <w:color w:val="000000"/>
        </w:rPr>
        <w:t xml:space="preserve">performance-based cash bonus program as set forth in </w:t>
      </w:r>
      <w:r>
        <w:rPr>
          <w:rFonts w:ascii="Times New Roman" w:cs="Times New Roman" w:eastAsia="Times New Roman" w:hAnsi="Times New Roman"/>
          <w:sz w:val="16"/>
          <w:szCs w:val="16"/>
          <w:u w:val="single" w:color="auto"/>
          <w:color w:val="000000"/>
        </w:rPr>
        <w:t>Exhibit A</w:t>
      </w:r>
      <w:r>
        <w:rPr>
          <w:rFonts w:ascii="Times New Roman" w:cs="Times New Roman" w:eastAsia="Times New Roman" w:hAnsi="Times New Roman"/>
          <w:sz w:val="16"/>
          <w:szCs w:val="16"/>
          <w:color w:val="000000"/>
        </w:rPr>
        <w:t xml:space="preserve">. Executive’s annual performance-based cash bonus opportunity shall be subject to annual review by the Board; </w:t>
      </w:r>
      <w:r>
        <w:rPr>
          <w:rFonts w:ascii="Times New Roman" w:cs="Times New Roman" w:eastAsia="Times New Roman" w:hAnsi="Times New Roman"/>
          <w:sz w:val="16"/>
          <w:szCs w:val="16"/>
          <w:u w:val="single" w:color="auto"/>
          <w:color w:val="000000"/>
        </w:rPr>
        <w:t>provided</w:t>
      </w:r>
      <w:r>
        <w:rPr>
          <w:rFonts w:ascii="Times New Roman" w:cs="Times New Roman" w:eastAsia="Times New Roman" w:hAnsi="Times New Roman"/>
          <w:sz w:val="16"/>
          <w:szCs w:val="16"/>
          <w:color w:val="000000"/>
        </w:rPr>
        <w:t xml:space="preserve">, </w:t>
      </w:r>
      <w:r>
        <w:rPr>
          <w:rFonts w:ascii="Times New Roman" w:cs="Times New Roman" w:eastAsia="Times New Roman" w:hAnsi="Times New Roman"/>
          <w:sz w:val="16"/>
          <w:szCs w:val="16"/>
          <w:u w:val="single" w:color="auto"/>
          <w:color w:val="000000"/>
        </w:rPr>
        <w:t>however</w:t>
      </w:r>
      <w:r>
        <w:rPr>
          <w:rFonts w:ascii="Times New Roman" w:cs="Times New Roman" w:eastAsia="Times New Roman" w:hAnsi="Times New Roman"/>
          <w:sz w:val="16"/>
          <w:szCs w:val="16"/>
          <w:color w:val="000000"/>
        </w:rPr>
        <w:t>, that the target level of such bonus, determined as a percentage of Base Salary, shall not be subject to reduction unless consented to in writing by Executive.</w:t>
      </w:r>
    </w:p>
    <w:p>
      <w:pPr>
        <w:spacing w:after="0" w:line="75" w:lineRule="exact"/>
        <w:rPr>
          <w:sz w:val="20"/>
          <w:szCs w:val="20"/>
          <w:color w:val="auto"/>
        </w:rPr>
      </w:pPr>
    </w:p>
    <w:p>
      <w:pPr>
        <w:jc w:val="both"/>
        <w:ind w:left="120" w:right="140" w:firstLine="1481"/>
        <w:spacing w:after="0" w:line="281" w:lineRule="auto"/>
        <w:rPr>
          <w:sz w:val="20"/>
          <w:szCs w:val="20"/>
          <w:color w:val="auto"/>
        </w:rPr>
      </w:pPr>
      <w:r>
        <w:rPr>
          <w:rFonts w:ascii="Times New Roman" w:cs="Times New Roman" w:eastAsia="Times New Roman" w:hAnsi="Times New Roman"/>
          <w:sz w:val="16"/>
          <w:szCs w:val="16"/>
          <w:color w:val="010000"/>
        </w:rPr>
        <w:t xml:space="preserve">3.3 </w:t>
      </w:r>
      <w:r>
        <w:rPr>
          <w:rFonts w:ascii="Times New Roman" w:cs="Times New Roman" w:eastAsia="Times New Roman" w:hAnsi="Times New Roman"/>
          <w:sz w:val="16"/>
          <w:szCs w:val="16"/>
          <w:u w:val="single" w:color="auto"/>
          <w:color w:val="000000"/>
        </w:rPr>
        <w:t>Equity-Based Compensation</w:t>
      </w:r>
      <w:r>
        <w:rPr>
          <w:rFonts w:ascii="Times New Roman" w:cs="Times New Roman" w:eastAsia="Times New Roman" w:hAnsi="Times New Roman"/>
          <w:sz w:val="16"/>
          <w:szCs w:val="16"/>
          <w:color w:val="000000"/>
        </w:rPr>
        <w:t>. Executive shall be eligible to participate in the Company’s equity-based compensation plans or programs as</w:t>
      </w:r>
      <w:r>
        <w:rPr>
          <w:rFonts w:ascii="Times New Roman" w:cs="Times New Roman" w:eastAsia="Times New Roman" w:hAnsi="Times New Roman"/>
          <w:sz w:val="16"/>
          <w:szCs w:val="16"/>
          <w:color w:val="010000"/>
        </w:rPr>
        <w:t xml:space="preserve"> </w:t>
      </w:r>
      <w:r>
        <w:rPr>
          <w:rFonts w:ascii="Times New Roman" w:cs="Times New Roman" w:eastAsia="Times New Roman" w:hAnsi="Times New Roman"/>
          <w:sz w:val="16"/>
          <w:szCs w:val="16"/>
          <w:color w:val="000000"/>
        </w:rPr>
        <w:t>may be adopted by the Company from time to time for its senior executives, at such level and in such amounts as may be determined by the Board in its sole discretion, subject to the terms and conditions of such equity-based plans and any applicable award agreements thereunder.</w:t>
      </w:r>
    </w:p>
    <w:p>
      <w:pPr>
        <w:spacing w:after="0" w:line="69" w:lineRule="exact"/>
        <w:rPr>
          <w:sz w:val="20"/>
          <w:szCs w:val="20"/>
          <w:color w:val="auto"/>
        </w:rPr>
      </w:pPr>
    </w:p>
    <w:p>
      <w:pPr>
        <w:jc w:val="both"/>
        <w:ind w:left="120" w:right="120" w:firstLine="1481"/>
        <w:spacing w:after="0" w:line="272" w:lineRule="auto"/>
        <w:rPr>
          <w:sz w:val="20"/>
          <w:szCs w:val="20"/>
          <w:color w:val="auto"/>
        </w:rPr>
      </w:pPr>
      <w:r>
        <w:rPr>
          <w:rFonts w:ascii="Times New Roman" w:cs="Times New Roman" w:eastAsia="Times New Roman" w:hAnsi="Times New Roman"/>
          <w:sz w:val="16"/>
          <w:szCs w:val="16"/>
          <w:color w:val="010000"/>
        </w:rPr>
        <w:t xml:space="preserve">3.4 </w:t>
      </w:r>
      <w:r>
        <w:rPr>
          <w:rFonts w:ascii="Times New Roman" w:cs="Times New Roman" w:eastAsia="Times New Roman" w:hAnsi="Times New Roman"/>
          <w:sz w:val="16"/>
          <w:szCs w:val="16"/>
          <w:u w:val="single" w:color="auto"/>
          <w:color w:val="000000"/>
        </w:rPr>
        <w:t>Sign-On Bonus</w:t>
      </w:r>
      <w:r>
        <w:rPr>
          <w:rFonts w:ascii="Times New Roman" w:cs="Times New Roman" w:eastAsia="Times New Roman" w:hAnsi="Times New Roman"/>
          <w:sz w:val="16"/>
          <w:szCs w:val="16"/>
          <w:color w:val="000000"/>
        </w:rPr>
        <w:t>. Provided that Executive’s employment is not terminated by the Company for Cause or by Executive without Good Reason</w:t>
      </w:r>
      <w:r>
        <w:rPr>
          <w:rFonts w:ascii="Times New Roman" w:cs="Times New Roman" w:eastAsia="Times New Roman" w:hAnsi="Times New Roman"/>
          <w:sz w:val="16"/>
          <w:szCs w:val="16"/>
          <w:color w:val="010000"/>
        </w:rPr>
        <w:t xml:space="preserve"> </w:t>
      </w:r>
      <w:r>
        <w:rPr>
          <w:rFonts w:ascii="Times New Roman" w:cs="Times New Roman" w:eastAsia="Times New Roman" w:hAnsi="Times New Roman"/>
          <w:sz w:val="16"/>
          <w:szCs w:val="16"/>
          <w:color w:val="000000"/>
        </w:rPr>
        <w:t>prior to such date, on or before the first pay period in the ordinary course after November 30, 2022, the Company shall pay to Executive a one-time lump sum cash payment sign-on bonus in the amount of $250,000 (the “</w:t>
      </w:r>
      <w:r>
        <w:rPr>
          <w:rFonts w:ascii="Times New Roman" w:cs="Times New Roman" w:eastAsia="Times New Roman" w:hAnsi="Times New Roman"/>
          <w:sz w:val="16"/>
          <w:szCs w:val="16"/>
          <w:u w:val="single" w:color="auto"/>
          <w:color w:val="000000"/>
        </w:rPr>
        <w:t>Sign-On Bonus</w:t>
      </w:r>
      <w:r>
        <w:rPr>
          <w:rFonts w:ascii="Times New Roman" w:cs="Times New Roman" w:eastAsia="Times New Roman" w:hAnsi="Times New Roman"/>
          <w:sz w:val="16"/>
          <w:szCs w:val="16"/>
          <w:color w:val="000000"/>
        </w:rPr>
        <w:t>”). If Executive’s employment is terminated by the Company for Cause or by Executive without Good Reason prior to September 30, 2023, Executive shall promptly (but in no event later than thirty (30) days following the date of Executive’s termination of employment) repay the Sign-On Bonus.</w:t>
      </w:r>
    </w:p>
    <w:p>
      <w:pPr>
        <w:spacing w:after="0" w:line="78" w:lineRule="exact"/>
        <w:rPr>
          <w:sz w:val="20"/>
          <w:szCs w:val="20"/>
          <w:color w:val="auto"/>
        </w:rPr>
      </w:pPr>
    </w:p>
    <w:p>
      <w:pPr>
        <w:jc w:val="both"/>
        <w:ind w:left="120" w:right="140" w:firstLine="1481"/>
        <w:spacing w:after="0" w:line="298" w:lineRule="auto"/>
        <w:rPr>
          <w:sz w:val="20"/>
          <w:szCs w:val="20"/>
          <w:color w:val="auto"/>
        </w:rPr>
      </w:pPr>
      <w:r>
        <w:rPr>
          <w:rFonts w:ascii="Times New Roman" w:cs="Times New Roman" w:eastAsia="Times New Roman" w:hAnsi="Times New Roman"/>
          <w:sz w:val="16"/>
          <w:szCs w:val="16"/>
          <w:color w:val="010000"/>
        </w:rPr>
        <w:t xml:space="preserve">3.5 </w:t>
      </w:r>
      <w:r>
        <w:rPr>
          <w:rFonts w:ascii="Times New Roman" w:cs="Times New Roman" w:eastAsia="Times New Roman" w:hAnsi="Times New Roman"/>
          <w:sz w:val="16"/>
          <w:szCs w:val="16"/>
          <w:u w:val="single" w:color="auto"/>
          <w:color w:val="000000"/>
        </w:rPr>
        <w:t>Taxes</w:t>
      </w:r>
      <w:r>
        <w:rPr>
          <w:rFonts w:ascii="Times New Roman" w:cs="Times New Roman" w:eastAsia="Times New Roman" w:hAnsi="Times New Roman"/>
          <w:sz w:val="16"/>
          <w:szCs w:val="16"/>
          <w:color w:val="000000"/>
        </w:rPr>
        <w:t>. Federal, state, local and other applicable taxes shall be withheld on all cash and in-kind payments made by the Company to</w:t>
      </w:r>
      <w:r>
        <w:rPr>
          <w:rFonts w:ascii="Times New Roman" w:cs="Times New Roman" w:eastAsia="Times New Roman" w:hAnsi="Times New Roman"/>
          <w:sz w:val="16"/>
          <w:szCs w:val="16"/>
          <w:color w:val="010000"/>
        </w:rPr>
        <w:t xml:space="preserve"> </w:t>
      </w:r>
      <w:r>
        <w:rPr>
          <w:rFonts w:ascii="Times New Roman" w:cs="Times New Roman" w:eastAsia="Times New Roman" w:hAnsi="Times New Roman"/>
          <w:sz w:val="16"/>
          <w:szCs w:val="16"/>
          <w:color w:val="000000"/>
        </w:rPr>
        <w:t>Executive pursuant to this Agreement in accordance with applicable tax laws and regulations.</w:t>
      </w:r>
    </w:p>
    <w:p>
      <w:pPr>
        <w:spacing w:after="0" w:line="56" w:lineRule="exact"/>
        <w:rPr>
          <w:sz w:val="20"/>
          <w:szCs w:val="20"/>
          <w:color w:val="auto"/>
        </w:rPr>
      </w:pPr>
    </w:p>
    <w:p>
      <w:pPr>
        <w:jc w:val="both"/>
        <w:ind w:left="120" w:right="120" w:firstLine="1481"/>
        <w:spacing w:after="0" w:line="269" w:lineRule="auto"/>
        <w:rPr>
          <w:sz w:val="20"/>
          <w:szCs w:val="20"/>
          <w:color w:val="auto"/>
        </w:rPr>
      </w:pPr>
      <w:r>
        <w:rPr>
          <w:rFonts w:ascii="Times New Roman" w:cs="Times New Roman" w:eastAsia="Times New Roman" w:hAnsi="Times New Roman"/>
          <w:sz w:val="16"/>
          <w:szCs w:val="16"/>
          <w:color w:val="010000"/>
        </w:rPr>
        <w:t xml:space="preserve">3.6 </w:t>
      </w:r>
      <w:r>
        <w:rPr>
          <w:rFonts w:ascii="Times New Roman" w:cs="Times New Roman" w:eastAsia="Times New Roman" w:hAnsi="Times New Roman"/>
          <w:sz w:val="16"/>
          <w:szCs w:val="16"/>
          <w:u w:val="single" w:color="auto"/>
          <w:color w:val="000000"/>
        </w:rPr>
        <w:t>Relocation</w:t>
      </w:r>
      <w:r>
        <w:rPr>
          <w:rFonts w:ascii="Times New Roman" w:cs="Times New Roman" w:eastAsia="Times New Roman" w:hAnsi="Times New Roman"/>
          <w:sz w:val="16"/>
          <w:szCs w:val="16"/>
          <w:color w:val="000000"/>
        </w:rPr>
        <w:t>. Should Executive elect to relocate to Illinois, the Company will provide Executive with relocation benefits as follows: (a) a</w:t>
      </w:r>
      <w:r>
        <w:rPr>
          <w:rFonts w:ascii="Times New Roman" w:cs="Times New Roman" w:eastAsia="Times New Roman" w:hAnsi="Times New Roman"/>
          <w:sz w:val="16"/>
          <w:szCs w:val="16"/>
          <w:color w:val="010000"/>
        </w:rPr>
        <w:t xml:space="preserve"> </w:t>
      </w:r>
      <w:r>
        <w:rPr>
          <w:rFonts w:ascii="Times New Roman" w:cs="Times New Roman" w:eastAsia="Times New Roman" w:hAnsi="Times New Roman"/>
          <w:sz w:val="16"/>
          <w:szCs w:val="16"/>
          <w:color w:val="000000"/>
        </w:rPr>
        <w:t>mover to move Executive’s personal goods and possession to Illinois, including one car; (b) reasonable travel between Executive’s New York home and Illinois, in line with Company travel policies; (c) the services of The Relocation Department, the Company’s corporate relocation partner, to provide corporate housing; (d) temporary corporate housing not to exceed a total of $36,000; (e) reimbursement of customary closing costs on Executive’s New York home and a new home in Illinois; and (f) IRS-related gross-up of all relocation-related costs that are considered compensation. Executive shall work with The Relocation Department for the sale of their New York home. Relocation benefits must be used within the one-year period after the Start Date. Upon voluntarily resignation from the Company within 18 months after the Start Date, Executive will promptly reimburse the Company for all reimbursed relocation costs and gross-up amounts.</w:t>
      </w:r>
    </w:p>
    <w:p>
      <w:pPr>
        <w:spacing w:after="0" w:line="82" w:lineRule="exact"/>
        <w:rPr>
          <w:sz w:val="20"/>
          <w:szCs w:val="20"/>
          <w:color w:val="auto"/>
        </w:rPr>
      </w:pPr>
    </w:p>
    <w:p>
      <w:pPr>
        <w:ind w:left="120" w:right="120" w:firstLine="748"/>
        <w:spacing w:after="0" w:line="298" w:lineRule="auto"/>
        <w:tabs>
          <w:tab w:leader="none" w:pos="1009" w:val="left"/>
        </w:tabs>
        <w:numPr>
          <w:ilvl w:val="0"/>
          <w:numId w:val="88"/>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u w:val="single" w:color="auto"/>
          <w:color w:val="auto"/>
        </w:rPr>
        <w:t>Benefits</w:t>
      </w:r>
      <w:r>
        <w:rPr>
          <w:rFonts w:ascii="Times New Roman" w:cs="Times New Roman" w:eastAsia="Times New Roman" w:hAnsi="Times New Roman"/>
          <w:sz w:val="16"/>
          <w:szCs w:val="16"/>
          <w:color w:val="auto"/>
        </w:rPr>
        <w:t xml:space="preserve">. During the Period of Employment, Executive shall be entitled to participate in benefit plans and programs maintained by the Company from time to time and generally made available to its senior executive officers;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631825</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121" w:name="page122"/>
    <w:bookmarkEnd w:id="121"/>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(a) Executive’s right to participate in such plans and programs shall not affect the Company’s right to amend or terminate any such plan and program, and</w:t>
      </w:r>
    </w:p>
    <w:p>
      <w:pPr>
        <w:spacing w:after="0" w:line="26" w:lineRule="exact"/>
        <w:rPr>
          <w:sz w:val="20"/>
          <w:szCs w:val="20"/>
          <w:color w:val="auto"/>
        </w:rPr>
      </w:pPr>
    </w:p>
    <w:p>
      <w:pPr>
        <w:ind w:left="240" w:hanging="232"/>
        <w:spacing w:after="0"/>
        <w:tabs>
          <w:tab w:leader="none" w:pos="24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Executive acknowledges that Executive shall have no vested rights under any such plan or program except as expressly provided under the terms thereof.</w:t>
      </w:r>
    </w:p>
    <w:p>
      <w:pPr>
        <w:spacing w:after="0" w:line="118" w:lineRule="exact"/>
        <w:rPr>
          <w:rFonts w:ascii="Times New Roman" w:cs="Times New Roman" w:eastAsia="Times New Roman" w:hAnsi="Times New Roman"/>
          <w:sz w:val="16"/>
          <w:szCs w:val="16"/>
          <w:color w:val="auto"/>
        </w:rPr>
      </w:pPr>
    </w:p>
    <w:p>
      <w:pPr>
        <w:jc w:val="both"/>
        <w:ind w:firstLine="748"/>
        <w:spacing w:after="0" w:line="281" w:lineRule="auto"/>
        <w:tabs>
          <w:tab w:leader="none" w:pos="889" w:val="left"/>
        </w:tabs>
        <w:numPr>
          <w:ilvl w:val="1"/>
          <w:numId w:val="89"/>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u w:val="single" w:color="auto"/>
          <w:color w:val="auto"/>
        </w:rPr>
        <w:t>Expenses</w:t>
      </w:r>
      <w:r>
        <w:rPr>
          <w:rFonts w:ascii="Times New Roman" w:cs="Times New Roman" w:eastAsia="Times New Roman" w:hAnsi="Times New Roman"/>
          <w:sz w:val="16"/>
          <w:szCs w:val="16"/>
          <w:color w:val="auto"/>
        </w:rPr>
        <w:t>. Upon presentation of acceptable substantiation therefor, and in accordance with applicable Company policies, the Company will pay or reimburse Executive for such reasonable travel, entertainment and other expenses as Executive may incur during the Period of Employment in connection with the performance of his duties hereunder.</w:t>
      </w:r>
    </w:p>
    <w:p>
      <w:pPr>
        <w:spacing w:after="0" w:line="69" w:lineRule="exact"/>
        <w:rPr>
          <w:rFonts w:ascii="Times New Roman" w:cs="Times New Roman" w:eastAsia="Times New Roman" w:hAnsi="Times New Roman"/>
          <w:sz w:val="16"/>
          <w:szCs w:val="16"/>
          <w:color w:val="010000"/>
        </w:rPr>
      </w:pPr>
    </w:p>
    <w:p>
      <w:pPr>
        <w:jc w:val="both"/>
        <w:ind w:firstLine="748"/>
        <w:spacing w:after="0" w:line="275" w:lineRule="auto"/>
        <w:tabs>
          <w:tab w:leader="none" w:pos="889" w:val="left"/>
        </w:tabs>
        <w:numPr>
          <w:ilvl w:val="1"/>
          <w:numId w:val="89"/>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u w:val="single" w:color="auto"/>
          <w:color w:val="auto"/>
        </w:rPr>
        <w:t>Termination of Employment</w:t>
      </w:r>
      <w:r>
        <w:rPr>
          <w:rFonts w:ascii="Times New Roman" w:cs="Times New Roman" w:eastAsia="Times New Roman" w:hAnsi="Times New Roman"/>
          <w:sz w:val="16"/>
          <w:szCs w:val="16"/>
          <w:color w:val="auto"/>
        </w:rPr>
        <w:t xml:space="preserve">. The parties hereto expressly agree that Executive’s employment may be terminated by either (i) the Company immediately upon written notice to Executive or (ii) Executive upon thirty (30) days’ advance written notice to the Company and that, upon any such termination, except as set forth in </w:t>
      </w:r>
      <w:r>
        <w:rPr>
          <w:rFonts w:ascii="Times New Roman" w:cs="Times New Roman" w:eastAsia="Times New Roman" w:hAnsi="Times New Roman"/>
          <w:sz w:val="16"/>
          <w:szCs w:val="16"/>
          <w:u w:val="single" w:color="auto"/>
          <w:color w:val="auto"/>
        </w:rPr>
        <w:t>Section 6.2</w:t>
      </w:r>
      <w:r>
        <w:rPr>
          <w:rFonts w:ascii="Times New Roman" w:cs="Times New Roman" w:eastAsia="Times New Roman" w:hAnsi="Times New Roman"/>
          <w:sz w:val="16"/>
          <w:szCs w:val="16"/>
          <w:color w:val="auto"/>
        </w:rPr>
        <w:t>, Executive shall not be entitled to any payment in the nature of severance or otherwise (other than Base Salary, reimbursement of expenses incurred prior to termination and any other benefits earned and accrued through the date of such termination).</w:t>
      </w:r>
    </w:p>
    <w:p>
      <w:pPr>
        <w:spacing w:after="0" w:line="75" w:lineRule="exact"/>
        <w:rPr>
          <w:sz w:val="20"/>
          <w:szCs w:val="20"/>
          <w:color w:val="auto"/>
        </w:rPr>
      </w:pPr>
    </w:p>
    <w:p>
      <w:pPr>
        <w:jc w:val="both"/>
        <w:ind w:firstLine="1481"/>
        <w:spacing w:after="0" w:line="281" w:lineRule="auto"/>
        <w:rPr>
          <w:sz w:val="20"/>
          <w:szCs w:val="20"/>
          <w:color w:val="auto"/>
        </w:rPr>
      </w:pPr>
      <w:r>
        <w:rPr>
          <w:rFonts w:ascii="Times New Roman" w:cs="Times New Roman" w:eastAsia="Times New Roman" w:hAnsi="Times New Roman"/>
          <w:sz w:val="16"/>
          <w:szCs w:val="16"/>
          <w:color w:val="010000"/>
        </w:rPr>
        <w:t xml:space="preserve">6.1 </w:t>
      </w:r>
      <w:r>
        <w:rPr>
          <w:rFonts w:ascii="Times New Roman" w:cs="Times New Roman" w:eastAsia="Times New Roman" w:hAnsi="Times New Roman"/>
          <w:sz w:val="16"/>
          <w:szCs w:val="16"/>
          <w:u w:val="single" w:color="auto"/>
          <w:color w:val="000000"/>
        </w:rPr>
        <w:t>Death or Disability</w:t>
      </w:r>
      <w:r>
        <w:rPr>
          <w:rFonts w:ascii="Times New Roman" w:cs="Times New Roman" w:eastAsia="Times New Roman" w:hAnsi="Times New Roman"/>
          <w:sz w:val="16"/>
          <w:szCs w:val="16"/>
          <w:color w:val="000000"/>
        </w:rPr>
        <w:t>. The employment of Executive and all rights to compensation under this Agreement shall terminate upon the death or</w:t>
      </w:r>
      <w:r>
        <w:rPr>
          <w:rFonts w:ascii="Times New Roman" w:cs="Times New Roman" w:eastAsia="Times New Roman" w:hAnsi="Times New Roman"/>
          <w:sz w:val="16"/>
          <w:szCs w:val="16"/>
          <w:color w:val="010000"/>
        </w:rPr>
        <w:t xml:space="preserve"> </w:t>
      </w:r>
      <w:r>
        <w:rPr>
          <w:rFonts w:ascii="Times New Roman" w:cs="Times New Roman" w:eastAsia="Times New Roman" w:hAnsi="Times New Roman"/>
          <w:sz w:val="16"/>
          <w:szCs w:val="16"/>
          <w:color w:val="000000"/>
        </w:rPr>
        <w:t>Disability (as defined below) of Executive, except for such death or disability payments as may be payable under one or more benefit plans maintained at that time by the Company and applicable to Executive.</w:t>
      </w:r>
    </w:p>
    <w:p>
      <w:pPr>
        <w:spacing w:after="0" w:line="69" w:lineRule="exact"/>
        <w:rPr>
          <w:sz w:val="20"/>
          <w:szCs w:val="20"/>
          <w:color w:val="auto"/>
        </w:rPr>
      </w:pPr>
    </w:p>
    <w:p>
      <w:pPr>
        <w:jc w:val="both"/>
        <w:ind w:left="20" w:firstLine="1498"/>
        <w:spacing w:after="0" w:line="272" w:lineRule="auto"/>
        <w:rPr>
          <w:sz w:val="20"/>
          <w:szCs w:val="20"/>
          <w:color w:val="auto"/>
        </w:rPr>
      </w:pPr>
      <w:r>
        <w:rPr>
          <w:rFonts w:ascii="Times New Roman" w:cs="Times New Roman" w:eastAsia="Times New Roman" w:hAnsi="Times New Roman"/>
          <w:sz w:val="16"/>
          <w:szCs w:val="16"/>
          <w:color w:val="auto"/>
        </w:rPr>
        <w:t>As used herein, “</w:t>
      </w:r>
      <w:r>
        <w:rPr>
          <w:rFonts w:ascii="Times New Roman" w:cs="Times New Roman" w:eastAsia="Times New Roman" w:hAnsi="Times New Roman"/>
          <w:sz w:val="16"/>
          <w:szCs w:val="16"/>
          <w:u w:val="single" w:color="auto"/>
          <w:color w:val="auto"/>
        </w:rPr>
        <w:t>Disability</w:t>
      </w:r>
      <w:r>
        <w:rPr>
          <w:rFonts w:ascii="Times New Roman" w:cs="Times New Roman" w:eastAsia="Times New Roman" w:hAnsi="Times New Roman"/>
          <w:sz w:val="16"/>
          <w:szCs w:val="16"/>
          <w:color w:val="auto"/>
        </w:rPr>
        <w:t>” means the Board has made a good faith determination that Executive has become physically or mentally incapacitated or disabled such that Executive is unable to perform for the Company substantially the same services as Executive performed prior to incurring such incapacity or disability, and such incapacity or disability exists for an aggregate of 120 calendar days in any twelve (12) month period. In connection with making such determination, the Company, at its option and expense, shall be entitled to select and retain a physician to confirm the existence of such incapacity or disability, and the determination made by such physician shall be binding on the parties for the purposes of this Agreement.</w:t>
      </w:r>
    </w:p>
    <w:p>
      <w:pPr>
        <w:spacing w:after="0" w:line="78" w:lineRule="exact"/>
        <w:rPr>
          <w:sz w:val="20"/>
          <w:szCs w:val="20"/>
          <w:color w:val="auto"/>
        </w:rPr>
      </w:pPr>
    </w:p>
    <w:p>
      <w:pPr>
        <w:jc w:val="both"/>
        <w:ind w:firstLine="1481"/>
        <w:spacing w:after="0" w:line="266" w:lineRule="auto"/>
        <w:rPr>
          <w:sz w:val="20"/>
          <w:szCs w:val="20"/>
          <w:color w:val="auto"/>
        </w:rPr>
      </w:pPr>
      <w:r>
        <w:rPr>
          <w:rFonts w:ascii="Times New Roman" w:cs="Times New Roman" w:eastAsia="Times New Roman" w:hAnsi="Times New Roman"/>
          <w:sz w:val="16"/>
          <w:szCs w:val="16"/>
          <w:color w:val="010000"/>
        </w:rPr>
        <w:t xml:space="preserve">6.2 </w:t>
      </w:r>
      <w:r>
        <w:rPr>
          <w:rFonts w:ascii="Times New Roman" w:cs="Times New Roman" w:eastAsia="Times New Roman" w:hAnsi="Times New Roman"/>
          <w:sz w:val="16"/>
          <w:szCs w:val="16"/>
          <w:u w:val="single" w:color="auto"/>
          <w:color w:val="000000"/>
        </w:rPr>
        <w:t>Termination with Severance Obligation</w:t>
      </w:r>
      <w:r>
        <w:rPr>
          <w:rFonts w:ascii="Times New Roman" w:cs="Times New Roman" w:eastAsia="Times New Roman" w:hAnsi="Times New Roman"/>
          <w:sz w:val="16"/>
          <w:szCs w:val="16"/>
          <w:color w:val="000000"/>
        </w:rPr>
        <w:t>. Upon termination of Executive’s employment by the Company without Cause (as defined below)</w:t>
      </w:r>
      <w:r>
        <w:rPr>
          <w:rFonts w:ascii="Times New Roman" w:cs="Times New Roman" w:eastAsia="Times New Roman" w:hAnsi="Times New Roman"/>
          <w:sz w:val="16"/>
          <w:szCs w:val="16"/>
          <w:color w:val="010000"/>
        </w:rPr>
        <w:t xml:space="preserve"> </w:t>
      </w:r>
      <w:r>
        <w:rPr>
          <w:rFonts w:ascii="Times New Roman" w:cs="Times New Roman" w:eastAsia="Times New Roman" w:hAnsi="Times New Roman"/>
          <w:sz w:val="16"/>
          <w:szCs w:val="16"/>
          <w:color w:val="000000"/>
        </w:rPr>
        <w:t xml:space="preserve">or by Executive for Good Reason (as defined below), subject to Executive’s execution and non-revocation of a Release (as defined in </w:t>
      </w:r>
      <w:r>
        <w:rPr>
          <w:rFonts w:ascii="Times New Roman" w:cs="Times New Roman" w:eastAsia="Times New Roman" w:hAnsi="Times New Roman"/>
          <w:sz w:val="16"/>
          <w:szCs w:val="16"/>
          <w:u w:val="single" w:color="auto"/>
          <w:color w:val="000000"/>
        </w:rPr>
        <w:t>Section 6.3</w:t>
      </w:r>
      <w:r>
        <w:rPr>
          <w:rFonts w:ascii="Times New Roman" w:cs="Times New Roman" w:eastAsia="Times New Roman" w:hAnsi="Times New Roman"/>
          <w:sz w:val="16"/>
          <w:szCs w:val="16"/>
          <w:color w:val="000000"/>
        </w:rPr>
        <w:t xml:space="preserve">) in accordance with </w:t>
      </w:r>
      <w:r>
        <w:rPr>
          <w:rFonts w:ascii="Times New Roman" w:cs="Times New Roman" w:eastAsia="Times New Roman" w:hAnsi="Times New Roman"/>
          <w:sz w:val="16"/>
          <w:szCs w:val="16"/>
          <w:u w:val="single" w:color="auto"/>
          <w:color w:val="000000"/>
        </w:rPr>
        <w:t>Section 10.2</w:t>
      </w:r>
      <w:r>
        <w:rPr>
          <w:rFonts w:ascii="Times New Roman" w:cs="Times New Roman" w:eastAsia="Times New Roman" w:hAnsi="Times New Roman"/>
          <w:sz w:val="16"/>
          <w:szCs w:val="16"/>
          <w:color w:val="000000"/>
        </w:rPr>
        <w:t xml:space="preserve">, and for so long as Executive is in material compliance with the terms of this Agreement (including, without limitation, </w:t>
      </w:r>
      <w:r>
        <w:rPr>
          <w:rFonts w:ascii="Times New Roman" w:cs="Times New Roman" w:eastAsia="Times New Roman" w:hAnsi="Times New Roman"/>
          <w:sz w:val="16"/>
          <w:szCs w:val="16"/>
          <w:u w:val="single" w:color="auto"/>
          <w:color w:val="000000"/>
        </w:rPr>
        <w:t>Section 7.1</w:t>
      </w:r>
      <w:r>
        <w:rPr>
          <w:rFonts w:ascii="Times New Roman" w:cs="Times New Roman" w:eastAsia="Times New Roman" w:hAnsi="Times New Roman"/>
          <w:sz w:val="16"/>
          <w:szCs w:val="16"/>
          <w:color w:val="000000"/>
        </w:rPr>
        <w:t xml:space="preserve">), Executive shall, subject to </w:t>
      </w:r>
      <w:r>
        <w:rPr>
          <w:rFonts w:ascii="Times New Roman" w:cs="Times New Roman" w:eastAsia="Times New Roman" w:hAnsi="Times New Roman"/>
          <w:sz w:val="16"/>
          <w:szCs w:val="16"/>
          <w:u w:val="single" w:color="auto"/>
          <w:color w:val="000000"/>
        </w:rPr>
        <w:t>Section 10.1</w:t>
      </w:r>
      <w:r>
        <w:rPr>
          <w:rFonts w:ascii="Times New Roman" w:cs="Times New Roman" w:eastAsia="Times New Roman" w:hAnsi="Times New Roman"/>
          <w:sz w:val="16"/>
          <w:szCs w:val="16"/>
          <w:color w:val="000000"/>
        </w:rPr>
        <w:t xml:space="preserve">, be entitled to receive from the Company (i) a monthly cash severance payment in an amount equal to the Monthly Severance Amount (as defined below) for a period of twelve (12) months from the date of termination, (ii) a lump sum cash payment in an amount equal to Executive’s salary, pro rata target bonus (determined without regard to the actual performance of the Company) and unused vacation (as determined in accordance with the Company’s policy in effect from time to time) accrued and unpaid through the date of termination, in each case, payable in accordance with the standard policies of the Company and (iii) a lump sum cash payment in an amount, if any, that Executive would have been entitled to receive pursuant to the annual performance-based cash bonus program set forth in </w:t>
      </w:r>
      <w:r>
        <w:rPr>
          <w:rFonts w:ascii="Times New Roman" w:cs="Times New Roman" w:eastAsia="Times New Roman" w:hAnsi="Times New Roman"/>
          <w:sz w:val="16"/>
          <w:szCs w:val="16"/>
          <w:u w:val="single" w:color="auto"/>
          <w:color w:val="000000"/>
        </w:rPr>
        <w:t>Exhibit A</w:t>
      </w:r>
      <w:r>
        <w:rPr>
          <w:rFonts w:ascii="Times New Roman" w:cs="Times New Roman" w:eastAsia="Times New Roman" w:hAnsi="Times New Roman"/>
          <w:sz w:val="16"/>
          <w:szCs w:val="16"/>
          <w:color w:val="000000"/>
        </w:rPr>
        <w:t xml:space="preserve"> for the Company’s then current fiscal year had Executive’s employment terminated immediately after the bonus payment date for such fiscal year, in each case, payable in accordance with the standard policies of the Company; </w:t>
      </w:r>
      <w:r>
        <w:rPr>
          <w:rFonts w:ascii="Times New Roman" w:cs="Times New Roman" w:eastAsia="Times New Roman" w:hAnsi="Times New Roman"/>
          <w:sz w:val="16"/>
          <w:szCs w:val="16"/>
          <w:u w:val="single" w:color="auto"/>
          <w:color w:val="000000"/>
        </w:rPr>
        <w:t>provided</w:t>
      </w:r>
      <w:r>
        <w:rPr>
          <w:rFonts w:ascii="Times New Roman" w:cs="Times New Roman" w:eastAsia="Times New Roman" w:hAnsi="Times New Roman"/>
          <w:sz w:val="16"/>
          <w:szCs w:val="16"/>
          <w:color w:val="000000"/>
        </w:rPr>
        <w:t xml:space="preserve">, </w:t>
      </w:r>
      <w:r>
        <w:rPr>
          <w:rFonts w:ascii="Times New Roman" w:cs="Times New Roman" w:eastAsia="Times New Roman" w:hAnsi="Times New Roman"/>
          <w:sz w:val="16"/>
          <w:szCs w:val="16"/>
          <w:u w:val="single" w:color="auto"/>
          <w:color w:val="000000"/>
        </w:rPr>
        <w:t>however</w:t>
      </w:r>
      <w:r>
        <w:rPr>
          <w:rFonts w:ascii="Times New Roman" w:cs="Times New Roman" w:eastAsia="Times New Roman" w:hAnsi="Times New Roman"/>
          <w:sz w:val="16"/>
          <w:szCs w:val="16"/>
          <w:color w:val="000000"/>
        </w:rPr>
        <w:t xml:space="preserve">, that in the case of clause (iii), such cash severance payment shall be payable only if, when and to the extent that Executive would have been paid pursuant to the annual performance-based cash bonus program set forth in </w:t>
      </w:r>
      <w:r>
        <w:rPr>
          <w:rFonts w:ascii="Times New Roman" w:cs="Times New Roman" w:eastAsia="Times New Roman" w:hAnsi="Times New Roman"/>
          <w:sz w:val="16"/>
          <w:szCs w:val="16"/>
          <w:u w:val="single" w:color="auto"/>
          <w:color w:val="000000"/>
        </w:rPr>
        <w:t>Exhibit A</w:t>
      </w:r>
      <w:r>
        <w:rPr>
          <w:rFonts w:ascii="Times New Roman" w:cs="Times New Roman" w:eastAsia="Times New Roman" w:hAnsi="Times New Roman"/>
          <w:sz w:val="16"/>
          <w:szCs w:val="16"/>
          <w:color w:val="000000"/>
        </w:rPr>
        <w:t xml:space="preserve">; and </w:t>
      </w:r>
      <w:r>
        <w:rPr>
          <w:rFonts w:ascii="Times New Roman" w:cs="Times New Roman" w:eastAsia="Times New Roman" w:hAnsi="Times New Roman"/>
          <w:sz w:val="16"/>
          <w:szCs w:val="16"/>
          <w:u w:val="single" w:color="auto"/>
          <w:color w:val="000000"/>
        </w:rPr>
        <w:t>provided</w:t>
      </w:r>
      <w:r>
        <w:rPr>
          <w:rFonts w:ascii="Times New Roman" w:cs="Times New Roman" w:eastAsia="Times New Roman" w:hAnsi="Times New Roman"/>
          <w:sz w:val="16"/>
          <w:szCs w:val="16"/>
          <w:color w:val="000000"/>
        </w:rPr>
        <w:t xml:space="preserve">, </w:t>
      </w:r>
      <w:r>
        <w:rPr>
          <w:rFonts w:ascii="Times New Roman" w:cs="Times New Roman" w:eastAsia="Times New Roman" w:hAnsi="Times New Roman"/>
          <w:sz w:val="16"/>
          <w:szCs w:val="16"/>
          <w:u w:val="single" w:color="auto"/>
          <w:color w:val="000000"/>
        </w:rPr>
        <w:t>further</w:t>
      </w:r>
      <w:r>
        <w:rPr>
          <w:rFonts w:ascii="Times New Roman" w:cs="Times New Roman" w:eastAsia="Times New Roman" w:hAnsi="Times New Roman"/>
          <w:sz w:val="16"/>
          <w:szCs w:val="16"/>
          <w:color w:val="000000"/>
        </w:rPr>
        <w:t xml:space="preserve">, that any such amount shall be reduced, but not below zero, by the amount of the pro rata target bonus paid pursuant to </w:t>
      </w:r>
      <w:r>
        <w:rPr>
          <w:rFonts w:ascii="Times New Roman" w:cs="Times New Roman" w:eastAsia="Times New Roman" w:hAnsi="Times New Roman"/>
          <w:sz w:val="16"/>
          <w:szCs w:val="16"/>
          <w:u w:val="single" w:color="auto"/>
          <w:color w:val="000000"/>
        </w:rPr>
        <w:t>Section 6.2(ii)</w:t>
      </w:r>
      <w:r>
        <w:rPr>
          <w:rFonts w:ascii="Times New Roman" w:cs="Times New Roman" w:eastAsia="Times New Roman" w:hAnsi="Times New Roman"/>
          <w:sz w:val="16"/>
          <w:szCs w:val="16"/>
          <w:color w:val="000000"/>
        </w:rPr>
        <w:t xml:space="preserve"> above. Provided Executive elects to continue health coverage under COBRA following the date of termination, the Company will pay a portion of the premiums to continue Executive’s medical, vision and dental insurance for the period during which Executive is entitled to receive the Monthly Severance Amount, regardless of whether Executive is legally entitled to COBRA benefits during such period (the “</w:t>
      </w:r>
      <w:r>
        <w:rPr>
          <w:rFonts w:ascii="Times New Roman" w:cs="Times New Roman" w:eastAsia="Times New Roman" w:hAnsi="Times New Roman"/>
          <w:sz w:val="16"/>
          <w:szCs w:val="16"/>
          <w:u w:val="single" w:color="auto"/>
          <w:color w:val="000000"/>
        </w:rPr>
        <w:t>Health Benefits Continuation</w:t>
      </w:r>
      <w:r>
        <w:rPr>
          <w:rFonts w:ascii="Times New Roman" w:cs="Times New Roman" w:eastAsia="Times New Roman" w:hAnsi="Times New Roman"/>
          <w:sz w:val="16"/>
          <w:szCs w:val="16"/>
          <w:color w:val="000000"/>
        </w:rPr>
        <w:t>”). During the period of Health Benefits Continuation, the Company shall pay a portion of each monthly premium equal to the portion of the monthly premium that it pays on behalf of active employees (or a cash severance payment to Executive equal to such monthly premium if such premium payments would result in excise taxes or penalties to either Executive or the Company), and Executive shall be responsible for any remaining portion of such premium. In the event that Executive does not pay Executive’s monthly premium, the Health Benefits Continuation shall cease.</w:t>
      </w:r>
    </w:p>
    <w:p>
      <w:pPr>
        <w:spacing w:after="0" w:line="82" w:lineRule="exact"/>
        <w:rPr>
          <w:sz w:val="20"/>
          <w:szCs w:val="20"/>
          <w:color w:val="auto"/>
        </w:rPr>
      </w:pPr>
    </w:p>
    <w:p>
      <w:pPr>
        <w:jc w:val="both"/>
        <w:ind w:left="20" w:firstLine="1497"/>
        <w:spacing w:after="0" w:line="251" w:lineRule="auto"/>
        <w:rPr>
          <w:sz w:val="20"/>
          <w:szCs w:val="20"/>
          <w:color w:val="auto"/>
        </w:rPr>
      </w:pPr>
      <w:r>
        <w:rPr>
          <w:rFonts w:ascii="Times New Roman" w:cs="Times New Roman" w:eastAsia="Times New Roman" w:hAnsi="Times New Roman"/>
          <w:sz w:val="16"/>
          <w:szCs w:val="16"/>
          <w:color w:val="auto"/>
        </w:rPr>
        <w:t xml:space="preserve">As used herein,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u w:val="single" w:color="auto"/>
          <w:color w:val="auto"/>
        </w:rPr>
        <w:t>Cause</w:t>
      </w:r>
      <w:r>
        <w:rPr>
          <w:rFonts w:ascii="Times New Roman" w:cs="Times New Roman" w:eastAsia="Times New Roman" w:hAnsi="Times New Roman"/>
          <w:sz w:val="16"/>
          <w:szCs w:val="16"/>
          <w:color w:val="auto"/>
        </w:rPr>
        <w:t xml:space="preserve">” means that Executive (i) has been convicted of a felony, or has entered a plea of guilty or </w:t>
      </w:r>
      <w:r>
        <w:rPr>
          <w:rFonts w:ascii="Times New Roman" w:cs="Times New Roman" w:eastAsia="Times New Roman" w:hAnsi="Times New Roman"/>
          <w:sz w:val="16"/>
          <w:szCs w:val="16"/>
          <w:u w:val="single" w:color="auto"/>
          <w:color w:val="auto"/>
        </w:rPr>
        <w:t>nolo contendere</w:t>
      </w:r>
      <w:r>
        <w:rPr>
          <w:rFonts w:ascii="Times New Roman" w:cs="Times New Roman" w:eastAsia="Times New Roman" w:hAnsi="Times New Roman"/>
          <w:sz w:val="16"/>
          <w:szCs w:val="16"/>
          <w:color w:val="auto"/>
        </w:rPr>
        <w:t xml:space="preserve"> to a felony, (ii) has committed an act of fraud involving dishonesty which is injurious to the Company or any of its subsidiaries, (iii) has willfully and continually refused to perform his duties with the Company or any of its subsidiaries or (iv) has engaged in misconduct that is materially injurious to the Company or any of its subsidiaries.</w:t>
      </w:r>
    </w:p>
    <w:p>
      <w:pPr>
        <w:spacing w:after="0" w:line="92" w:lineRule="exact"/>
        <w:rPr>
          <w:sz w:val="20"/>
          <w:szCs w:val="20"/>
          <w:color w:val="auto"/>
        </w:rPr>
      </w:pPr>
    </w:p>
    <w:p>
      <w:pPr>
        <w:jc w:val="both"/>
        <w:ind w:left="20" w:firstLine="1498"/>
        <w:spacing w:after="0" w:line="260" w:lineRule="auto"/>
        <w:rPr>
          <w:sz w:val="20"/>
          <w:szCs w:val="20"/>
          <w:color w:val="auto"/>
        </w:rPr>
      </w:pPr>
      <w:r>
        <w:rPr>
          <w:rFonts w:ascii="Times New Roman" w:cs="Times New Roman" w:eastAsia="Times New Roman" w:hAnsi="Times New Roman"/>
          <w:sz w:val="16"/>
          <w:szCs w:val="16"/>
          <w:color w:val="auto"/>
        </w:rPr>
        <w:t xml:space="preserve">As used herein,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u w:val="single" w:color="auto"/>
          <w:color w:val="auto"/>
        </w:rPr>
        <w:t>Good Reason</w:t>
      </w:r>
      <w:r>
        <w:rPr>
          <w:rFonts w:ascii="Times New Roman" w:cs="Times New Roman" w:eastAsia="Times New Roman" w:hAnsi="Times New Roman"/>
          <w:sz w:val="16"/>
          <w:szCs w:val="16"/>
          <w:color w:val="auto"/>
        </w:rPr>
        <w:t xml:space="preserve">” means Executive’s voluntary resignation within ninety (90) days following the initial existence of one or more of the following conditions: (i) a change in Executive’s position or the assignment to Executive of duties constituting a material diminution in Executive’s position, duties or responsibilities compared with Executive’s position, duties or responsibilities with the Company on the Start Date or (ii) a material reduction of Executive’s Base Salary as in effect from time to time. In the event that any change in Executive’s position, duties or responsibilities is implemented or proposed to be implemented by the Company, then: (A) unless Executive provides written notice to the Board within thirty (30) days of being notified of such change or proposed change that Executive asserts that such change constitutes a “material diminution” for purposes of clause (i) of the definition of Good Reason, such change shall be deemed not to be such a “material diminution” and thereafter Executive’s position, duties and responsibilities shall be as so changed; and (B) in the event that Executive provides such notice in a timely manner and, within thirty (30) days thereafter, the Company, in its sole discretion, rescinds or alters such change, then for purposes of such clause (i) of the definition of Good Reason the original change shall be disregarded (except to any extent so altered). Nothing in this </w:t>
      </w:r>
      <w:r>
        <w:rPr>
          <w:rFonts w:ascii="Times New Roman" w:cs="Times New Roman" w:eastAsia="Times New Roman" w:hAnsi="Times New Roman"/>
          <w:sz w:val="16"/>
          <w:szCs w:val="16"/>
          <w:u w:val="single" w:color="auto"/>
          <w:color w:val="auto"/>
        </w:rPr>
        <w:t>Section 6.2</w:t>
      </w:r>
      <w:r>
        <w:rPr>
          <w:rFonts w:ascii="Times New Roman" w:cs="Times New Roman" w:eastAsia="Times New Roman" w:hAnsi="Times New Roman"/>
          <w:sz w:val="16"/>
          <w:szCs w:val="16"/>
          <w:color w:val="auto"/>
        </w:rPr>
        <w:t xml:space="preserve"> shall limit the Company’s right to contest any assertion that Executive may make with respect</w:t>
      </w: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530860</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40" w:right="459" w:bottom="1440" w:gutter="0" w:footer="0" w:header="0"/>
        </w:sectPr>
      </w:pPr>
    </w:p>
    <w:bookmarkStart w:id="122" w:name="page123"/>
    <w:bookmarkEnd w:id="122"/>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to any such change.</w:t>
      </w:r>
    </w:p>
    <w:p>
      <w:pPr>
        <w:spacing w:after="0" w:line="1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6"/>
          <w:szCs w:val="16"/>
          <w:color w:val="auto"/>
        </w:rPr>
        <w:t>As used herein, “</w:t>
      </w:r>
      <w:r>
        <w:rPr>
          <w:rFonts w:ascii="Times New Roman" w:cs="Times New Roman" w:eastAsia="Times New Roman" w:hAnsi="Times New Roman"/>
          <w:sz w:val="16"/>
          <w:szCs w:val="16"/>
          <w:u w:val="single" w:color="auto"/>
          <w:color w:val="auto"/>
        </w:rPr>
        <w:t>Monthly Severance Amount</w:t>
      </w:r>
      <w:r>
        <w:rPr>
          <w:rFonts w:ascii="Times New Roman" w:cs="Times New Roman" w:eastAsia="Times New Roman" w:hAnsi="Times New Roman"/>
          <w:sz w:val="16"/>
          <w:szCs w:val="16"/>
          <w:color w:val="auto"/>
        </w:rPr>
        <w:t xml:space="preserve">” means an amount equal to the quotient of (i) the Base Salary as of the date of termination </w:t>
      </w:r>
      <w:r>
        <w:rPr>
          <w:rFonts w:ascii="Times New Roman" w:cs="Times New Roman" w:eastAsia="Times New Roman" w:hAnsi="Times New Roman"/>
          <w:sz w:val="16"/>
          <w:szCs w:val="16"/>
          <w:u w:val="single" w:color="auto"/>
          <w:color w:val="auto"/>
        </w:rPr>
        <w:t>divided</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u w:val="single" w:color="auto"/>
          <w:color w:val="auto"/>
        </w:rPr>
        <w:t>by</w:t>
      </w:r>
      <w:r>
        <w:rPr>
          <w:rFonts w:ascii="Times New Roman" w:cs="Times New Roman" w:eastAsia="Times New Roman" w:hAnsi="Times New Roman"/>
          <w:sz w:val="16"/>
          <w:szCs w:val="16"/>
          <w:color w:val="auto"/>
        </w:rPr>
        <w:t xml:space="preserve"> (ii) 12.</w:t>
      </w:r>
    </w:p>
    <w:p>
      <w:pPr>
        <w:spacing w:after="0" w:line="119" w:lineRule="exact"/>
        <w:rPr>
          <w:sz w:val="20"/>
          <w:szCs w:val="20"/>
          <w:color w:val="auto"/>
        </w:rPr>
      </w:pPr>
    </w:p>
    <w:p>
      <w:pPr>
        <w:jc w:val="both"/>
        <w:ind w:firstLine="1481"/>
        <w:spacing w:after="0" w:line="269" w:lineRule="auto"/>
        <w:rPr>
          <w:sz w:val="20"/>
          <w:szCs w:val="20"/>
          <w:color w:val="auto"/>
        </w:rPr>
      </w:pPr>
      <w:r>
        <w:rPr>
          <w:rFonts w:ascii="Times New Roman" w:cs="Times New Roman" w:eastAsia="Times New Roman" w:hAnsi="Times New Roman"/>
          <w:sz w:val="16"/>
          <w:szCs w:val="16"/>
          <w:color w:val="010000"/>
        </w:rPr>
        <w:t xml:space="preserve">6.3 </w:t>
      </w:r>
      <w:r>
        <w:rPr>
          <w:rFonts w:ascii="Times New Roman" w:cs="Times New Roman" w:eastAsia="Times New Roman" w:hAnsi="Times New Roman"/>
          <w:sz w:val="16"/>
          <w:szCs w:val="16"/>
          <w:u w:val="single" w:color="auto"/>
          <w:color w:val="000000"/>
        </w:rPr>
        <w:t>Release</w:t>
      </w:r>
      <w:r>
        <w:rPr>
          <w:rFonts w:ascii="Times New Roman" w:cs="Times New Roman" w:eastAsia="Times New Roman" w:hAnsi="Times New Roman"/>
          <w:sz w:val="16"/>
          <w:szCs w:val="16"/>
          <w:color w:val="000000"/>
        </w:rPr>
        <w:t>. At the time of termination of Executive’s employment, Executive agrees to execute a general release in a form provided by the</w:t>
      </w:r>
      <w:r>
        <w:rPr>
          <w:rFonts w:ascii="Times New Roman" w:cs="Times New Roman" w:eastAsia="Times New Roman" w:hAnsi="Times New Roman"/>
          <w:sz w:val="16"/>
          <w:szCs w:val="16"/>
          <w:color w:val="010000"/>
        </w:rPr>
        <w:t xml:space="preserve"> </w:t>
      </w:r>
      <w:r>
        <w:rPr>
          <w:rFonts w:ascii="Times New Roman" w:cs="Times New Roman" w:eastAsia="Times New Roman" w:hAnsi="Times New Roman"/>
          <w:sz w:val="16"/>
          <w:szCs w:val="16"/>
          <w:color w:val="000000"/>
        </w:rPr>
        <w:t>Company (a “</w:t>
      </w:r>
      <w:r>
        <w:rPr>
          <w:rFonts w:ascii="Times New Roman" w:cs="Times New Roman" w:eastAsia="Times New Roman" w:hAnsi="Times New Roman"/>
          <w:sz w:val="16"/>
          <w:szCs w:val="16"/>
          <w:u w:val="single" w:color="auto"/>
          <w:color w:val="000000"/>
        </w:rPr>
        <w:t>Release</w:t>
      </w:r>
      <w:r>
        <w:rPr>
          <w:rFonts w:ascii="Times New Roman" w:cs="Times New Roman" w:eastAsia="Times New Roman" w:hAnsi="Times New Roman"/>
          <w:sz w:val="16"/>
          <w:szCs w:val="16"/>
          <w:color w:val="000000"/>
        </w:rPr>
        <w:t>”) whereby Executive will release, relinquish and forever discharge the Company and each of its parents and subsidiaries and any director, officer, employee, shareholder, controlling person or agent of the Company and each parent and subsidiary from any and all claims, damages, losses, costs, expenses, liabilities or obligations, whether known or unknown (other than any rights Executive may have pursuant to (i) any indemnification arrangement of the Company with respect to Executive, (ii) any employee benefit plan or program covering Executive on a post termination basis in accordance with its terms and the terms of this Agreement, (iii) any stock purchase or stock option plan or agreement to which the Company and Executive are parties or (iv) Executive’s capacity as a stockholder of the Company), which Executive has incurred or suffered or may incur or suffer as a result of Executive’s employment by the Company or the termination of such employment.</w:t>
      </w:r>
    </w:p>
    <w:p>
      <w:pPr>
        <w:spacing w:after="0" w:line="82" w:lineRule="exact"/>
        <w:rPr>
          <w:sz w:val="20"/>
          <w:szCs w:val="20"/>
          <w:color w:val="auto"/>
        </w:rPr>
      </w:pPr>
    </w:p>
    <w:p>
      <w:pPr>
        <w:ind w:left="1440" w:hanging="684"/>
        <w:spacing w:after="0"/>
        <w:tabs>
          <w:tab w:leader="none" w:pos="1440" w:val="left"/>
        </w:tabs>
        <w:numPr>
          <w:ilvl w:val="0"/>
          <w:numId w:val="90"/>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u w:val="single" w:color="auto"/>
          <w:color w:val="auto"/>
        </w:rPr>
        <w:t>Non-Competition; Non-Disclosure of Proprietary Information, Surrender of Records; Inventions and Patents</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ind w:left="1500"/>
        <w:spacing w:after="0"/>
        <w:tabs>
          <w:tab w:leader="none" w:pos="2240" w:val="left"/>
        </w:tabs>
        <w:rPr>
          <w:sz w:val="20"/>
          <w:szCs w:val="20"/>
          <w:color w:val="auto"/>
        </w:rPr>
      </w:pPr>
      <w:r>
        <w:rPr>
          <w:rFonts w:ascii="Times New Roman" w:cs="Times New Roman" w:eastAsia="Times New Roman" w:hAnsi="Times New Roman"/>
          <w:sz w:val="16"/>
          <w:szCs w:val="16"/>
          <w:color w:val="010000"/>
        </w:rPr>
        <w:t>7.1</w:t>
      </w:r>
      <w:r>
        <w:rPr>
          <w:sz w:val="20"/>
          <w:szCs w:val="20"/>
          <w:color w:val="auto"/>
        </w:rPr>
        <w:tab/>
      </w:r>
      <w:r>
        <w:rPr>
          <w:rFonts w:ascii="Times New Roman" w:cs="Times New Roman" w:eastAsia="Times New Roman" w:hAnsi="Times New Roman"/>
          <w:sz w:val="16"/>
          <w:szCs w:val="16"/>
          <w:u w:val="single" w:color="auto"/>
          <w:color w:val="auto"/>
        </w:rPr>
        <w:t>Non-Competition</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jc w:val="both"/>
        <w:ind w:firstLine="1459"/>
        <w:spacing w:after="0" w:line="268" w:lineRule="auto"/>
        <w:tabs>
          <w:tab w:leader="none" w:pos="1897" w:val="left"/>
        </w:tabs>
        <w:numPr>
          <w:ilvl w:val="1"/>
          <w:numId w:val="91"/>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Executive acknowledges that in the course of Executive’s employment with the Company Executive (i) has been and will continue to be familiar with trade secrets and other proprietary information of the Company which, if disclosed, would unfairly and inappropriately assist in competition against the Company, (ii) Executive’s services have been and will continue to be of special, unique and extraordinary value to the Company, and (iii) Executive has generated and will continue to generate goodwill for the Company. Therefore, Executive agrees that, during the Period of Employment and for twelve (12) months thereafter (the “</w:t>
      </w:r>
      <w:r>
        <w:rPr>
          <w:rFonts w:ascii="Times New Roman" w:cs="Times New Roman" w:eastAsia="Times New Roman" w:hAnsi="Times New Roman"/>
          <w:sz w:val="16"/>
          <w:szCs w:val="16"/>
          <w:u w:val="single" w:color="auto"/>
          <w:color w:val="auto"/>
        </w:rPr>
        <w:t>Restricted Period</w:t>
      </w:r>
      <w:r>
        <w:rPr>
          <w:rFonts w:ascii="Times New Roman" w:cs="Times New Roman" w:eastAsia="Times New Roman" w:hAnsi="Times New Roman"/>
          <w:sz w:val="16"/>
          <w:szCs w:val="16"/>
          <w:color w:val="auto"/>
        </w:rPr>
        <w:t>”), Executive shall not directly or indirectly own, manage, control, participate in, consult with, render services for, or in any manner engage with, any business competing with any business of the Company within the United States and any other geographical area in which the Company then engages in business or engaged in business at any time during Executive’s employment with the Company. Nothing herein shall prohibit Executive from being a passive owner of not more than two percent (2%) of the outstanding stock of any class of a corporation which is publicly traded, so long as Executive has no direct or indirect active participation in the business of such corporation.</w:t>
      </w:r>
    </w:p>
    <w:p>
      <w:pPr>
        <w:spacing w:after="0" w:line="81" w:lineRule="exact"/>
        <w:rPr>
          <w:rFonts w:ascii="Times New Roman" w:cs="Times New Roman" w:eastAsia="Times New Roman" w:hAnsi="Times New Roman"/>
          <w:sz w:val="16"/>
          <w:szCs w:val="16"/>
          <w:color w:val="010000"/>
        </w:rPr>
      </w:pPr>
    </w:p>
    <w:p>
      <w:pPr>
        <w:jc w:val="both"/>
        <w:ind w:firstLine="1459"/>
        <w:spacing w:after="0" w:line="269" w:lineRule="auto"/>
        <w:tabs>
          <w:tab w:leader="none" w:pos="1897" w:val="left"/>
        </w:tabs>
        <w:numPr>
          <w:ilvl w:val="1"/>
          <w:numId w:val="91"/>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During the Restricted Period, Executive shall not directly or indirectly (i) induce or attempt to induce any employee or service provider of the Company to terminate such employment or service, or in any way interfere with the employee or service relationship between the Company and any such individual,</w:t>
      </w:r>
    </w:p>
    <w:p>
      <w:pPr>
        <w:jc w:val="both"/>
        <w:ind w:firstLine="8"/>
        <w:spacing w:after="0" w:line="276" w:lineRule="auto"/>
        <w:tabs>
          <w:tab w:leader="none" w:pos="26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hire any person who is, or at any time during the eighteen (18)-month period immediately prior to the date of Executive’s termination of employment was, an employee or service provider of the Company or (iii) induce or attempt to induce any person having a business relationship with the Company to cease doing business with the Company or interfere materially with the relationship between any such person and the Company.</w:t>
      </w:r>
    </w:p>
    <w:p>
      <w:pPr>
        <w:spacing w:after="0" w:line="73" w:lineRule="exact"/>
        <w:rPr>
          <w:sz w:val="20"/>
          <w:szCs w:val="20"/>
          <w:color w:val="auto"/>
        </w:rPr>
      </w:pPr>
    </w:p>
    <w:p>
      <w:pPr>
        <w:jc w:val="both"/>
        <w:ind w:firstLine="1481"/>
        <w:spacing w:after="0" w:line="267" w:lineRule="auto"/>
        <w:rPr>
          <w:sz w:val="20"/>
          <w:szCs w:val="20"/>
          <w:color w:val="auto"/>
        </w:rPr>
      </w:pPr>
      <w:r>
        <w:rPr>
          <w:rFonts w:ascii="Times New Roman" w:cs="Times New Roman" w:eastAsia="Times New Roman" w:hAnsi="Times New Roman"/>
          <w:sz w:val="16"/>
          <w:szCs w:val="16"/>
          <w:color w:val="010000"/>
        </w:rPr>
        <w:t xml:space="preserve">7.2 </w:t>
      </w:r>
      <w:r>
        <w:rPr>
          <w:rFonts w:ascii="Times New Roman" w:cs="Times New Roman" w:eastAsia="Times New Roman" w:hAnsi="Times New Roman"/>
          <w:sz w:val="16"/>
          <w:szCs w:val="16"/>
          <w:u w:val="single" w:color="auto"/>
          <w:color w:val="000000"/>
        </w:rPr>
        <w:t>Proprietary Information</w:t>
      </w:r>
      <w:r>
        <w:rPr>
          <w:rFonts w:ascii="Times New Roman" w:cs="Times New Roman" w:eastAsia="Times New Roman" w:hAnsi="Times New Roman"/>
          <w:sz w:val="16"/>
          <w:szCs w:val="16"/>
          <w:color w:val="000000"/>
        </w:rPr>
        <w:t>. During the Period of Employment and at all times thereafter, Executive agrees that Executive shall not use any</w:t>
      </w:r>
      <w:r>
        <w:rPr>
          <w:rFonts w:ascii="Times New Roman" w:cs="Times New Roman" w:eastAsia="Times New Roman" w:hAnsi="Times New Roman"/>
          <w:sz w:val="16"/>
          <w:szCs w:val="16"/>
          <w:color w:val="010000"/>
        </w:rPr>
        <w:t xml:space="preserve"> </w:t>
      </w:r>
      <w:r>
        <w:rPr>
          <w:rFonts w:ascii="Times New Roman" w:cs="Times New Roman" w:eastAsia="Times New Roman" w:hAnsi="Times New Roman"/>
          <w:sz w:val="16"/>
          <w:szCs w:val="16"/>
          <w:color w:val="000000"/>
        </w:rPr>
        <w:t>Proprietary Information for Executive’s own purpose or for the benefit of any person or entity other than the Company or its shareholders or affiliates, nor shall Executive otherwise disclose any Proprietary Information to any individual or entity, unless such disclosure (a) has been authorized by the Board, (b) is reasonably required within the course and scope of Executive’s employment hereunder or (c) is required by law, a court of competent jurisdiction or a governmental or regulatory agency. For purposes of this Agreement, “</w:t>
      </w:r>
      <w:r>
        <w:rPr>
          <w:rFonts w:ascii="Times New Roman" w:cs="Times New Roman" w:eastAsia="Times New Roman" w:hAnsi="Times New Roman"/>
          <w:sz w:val="16"/>
          <w:szCs w:val="16"/>
          <w:u w:val="single" w:color="auto"/>
          <w:color w:val="000000"/>
        </w:rPr>
        <w:t>Proprietary Information</w:t>
      </w:r>
      <w:r>
        <w:rPr>
          <w:rFonts w:ascii="Times New Roman" w:cs="Times New Roman" w:eastAsia="Times New Roman" w:hAnsi="Times New Roman"/>
          <w:sz w:val="16"/>
          <w:szCs w:val="16"/>
          <w:color w:val="000000"/>
        </w:rPr>
        <w:t xml:space="preserve">” shall mean: (i) the name or address of any customer, supplier or affiliate of the Company or any information concerning the transactions or relations of any customer, supplier or affiliate of the Company or any of its shareholders; (ii) any information concerning any product, service, technology or procedure offered or used by the Company, or under development by or being considered for use by the Company; (iii) any information relating to marketing or pricing plans or methods, capital structure, or any business or strategic plans of the Company, (iv) any inventions, innovations, trade secrets or other items covered by </w:t>
      </w:r>
      <w:r>
        <w:rPr>
          <w:rFonts w:ascii="Times New Roman" w:cs="Times New Roman" w:eastAsia="Times New Roman" w:hAnsi="Times New Roman"/>
          <w:sz w:val="16"/>
          <w:szCs w:val="16"/>
          <w:u w:val="single" w:color="auto"/>
          <w:color w:val="000000"/>
        </w:rPr>
        <w:t>Section 7.4</w:t>
      </w:r>
      <w:r>
        <w:rPr>
          <w:rFonts w:ascii="Times New Roman" w:cs="Times New Roman" w:eastAsia="Times New Roman" w:hAnsi="Times New Roman"/>
          <w:sz w:val="16"/>
          <w:szCs w:val="16"/>
          <w:color w:val="000000"/>
        </w:rPr>
        <w:t xml:space="preserve"> hereof; and (v) any other information which the Board has determined in its sole discretion and communicated to Executive in writing to be proprietary information for purposes hereof. Notwithstanding the foregoing, Proprietary Information shall not include any information that is or becomes generally known to the public other than through actions of Executive in violation of </w:t>
      </w:r>
      <w:r>
        <w:rPr>
          <w:rFonts w:ascii="Times New Roman" w:cs="Times New Roman" w:eastAsia="Times New Roman" w:hAnsi="Times New Roman"/>
          <w:sz w:val="16"/>
          <w:szCs w:val="16"/>
          <w:u w:val="single" w:color="auto"/>
          <w:color w:val="000000"/>
        </w:rPr>
        <w:t>Sections 7.1</w:t>
      </w:r>
      <w:r>
        <w:rPr>
          <w:rFonts w:ascii="Times New Roman" w:cs="Times New Roman" w:eastAsia="Times New Roman" w:hAnsi="Times New Roman"/>
          <w:sz w:val="16"/>
          <w:szCs w:val="16"/>
          <w:color w:val="000000"/>
        </w:rPr>
        <w:t xml:space="preserve">, </w:t>
      </w:r>
      <w:r>
        <w:rPr>
          <w:rFonts w:ascii="Times New Roman" w:cs="Times New Roman" w:eastAsia="Times New Roman" w:hAnsi="Times New Roman"/>
          <w:sz w:val="16"/>
          <w:szCs w:val="16"/>
          <w:u w:val="single" w:color="auto"/>
          <w:color w:val="000000"/>
        </w:rPr>
        <w:t>7.2</w:t>
      </w:r>
      <w:r>
        <w:rPr>
          <w:rFonts w:ascii="Times New Roman" w:cs="Times New Roman" w:eastAsia="Times New Roman" w:hAnsi="Times New Roman"/>
          <w:sz w:val="16"/>
          <w:szCs w:val="16"/>
          <w:color w:val="000000"/>
        </w:rPr>
        <w:t xml:space="preserve"> or </w:t>
      </w:r>
      <w:r>
        <w:rPr>
          <w:rFonts w:ascii="Times New Roman" w:cs="Times New Roman" w:eastAsia="Times New Roman" w:hAnsi="Times New Roman"/>
          <w:sz w:val="16"/>
          <w:szCs w:val="16"/>
          <w:u w:val="single" w:color="auto"/>
          <w:color w:val="000000"/>
        </w:rPr>
        <w:t>7.3</w:t>
      </w:r>
      <w:r>
        <w:rPr>
          <w:rFonts w:ascii="Times New Roman" w:cs="Times New Roman" w:eastAsia="Times New Roman" w:hAnsi="Times New Roman"/>
          <w:sz w:val="16"/>
          <w:szCs w:val="16"/>
          <w:color w:val="000000"/>
        </w:rPr>
        <w:t>.</w:t>
      </w:r>
    </w:p>
    <w:p>
      <w:pPr>
        <w:spacing w:after="0" w:line="84" w:lineRule="exact"/>
        <w:rPr>
          <w:sz w:val="20"/>
          <w:szCs w:val="20"/>
          <w:color w:val="auto"/>
        </w:rPr>
      </w:pPr>
    </w:p>
    <w:p>
      <w:pPr>
        <w:jc w:val="both"/>
        <w:ind w:firstLine="1481"/>
        <w:spacing w:after="0" w:line="281" w:lineRule="auto"/>
        <w:rPr>
          <w:sz w:val="20"/>
          <w:szCs w:val="20"/>
          <w:color w:val="auto"/>
        </w:rPr>
      </w:pPr>
      <w:r>
        <w:rPr>
          <w:rFonts w:ascii="Times New Roman" w:cs="Times New Roman" w:eastAsia="Times New Roman" w:hAnsi="Times New Roman"/>
          <w:sz w:val="16"/>
          <w:szCs w:val="16"/>
          <w:color w:val="010000"/>
        </w:rPr>
        <w:t xml:space="preserve">7.3 </w:t>
      </w:r>
      <w:r>
        <w:rPr>
          <w:rFonts w:ascii="Times New Roman" w:cs="Times New Roman" w:eastAsia="Times New Roman" w:hAnsi="Times New Roman"/>
          <w:sz w:val="16"/>
          <w:szCs w:val="16"/>
          <w:u w:val="single" w:color="auto"/>
          <w:color w:val="000000"/>
        </w:rPr>
        <w:t>Surrender of Records</w:t>
      </w:r>
      <w:r>
        <w:rPr>
          <w:rFonts w:ascii="Times New Roman" w:cs="Times New Roman" w:eastAsia="Times New Roman" w:hAnsi="Times New Roman"/>
          <w:sz w:val="16"/>
          <w:szCs w:val="16"/>
          <w:color w:val="000000"/>
        </w:rPr>
        <w:t>. Executive agrees that Executive shall not retain and shall promptly surrender to the Company all correspondence,</w:t>
      </w:r>
      <w:r>
        <w:rPr>
          <w:rFonts w:ascii="Times New Roman" w:cs="Times New Roman" w:eastAsia="Times New Roman" w:hAnsi="Times New Roman"/>
          <w:sz w:val="16"/>
          <w:szCs w:val="16"/>
          <w:color w:val="010000"/>
        </w:rPr>
        <w:t xml:space="preserve"> </w:t>
      </w:r>
      <w:r>
        <w:rPr>
          <w:rFonts w:ascii="Times New Roman" w:cs="Times New Roman" w:eastAsia="Times New Roman" w:hAnsi="Times New Roman"/>
          <w:sz w:val="16"/>
          <w:szCs w:val="16"/>
          <w:color w:val="000000"/>
        </w:rPr>
        <w:t>memoranda, files, manuals, financial, operating or marketing records, magnetic tape, or electronic or other media of any kind which may be in Executive’s possession or under Executive’s control or accessible to Executive which contain any Proprietary Information.</w:t>
      </w:r>
    </w:p>
    <w:p>
      <w:pPr>
        <w:spacing w:after="0" w:line="69" w:lineRule="exact"/>
        <w:rPr>
          <w:sz w:val="20"/>
          <w:szCs w:val="20"/>
          <w:color w:val="auto"/>
        </w:rPr>
      </w:pPr>
    </w:p>
    <w:p>
      <w:pPr>
        <w:jc w:val="both"/>
        <w:ind w:firstLine="1481"/>
        <w:spacing w:after="0" w:line="275" w:lineRule="auto"/>
        <w:rPr>
          <w:sz w:val="20"/>
          <w:szCs w:val="20"/>
          <w:color w:val="auto"/>
        </w:rPr>
      </w:pPr>
      <w:r>
        <w:rPr>
          <w:rFonts w:ascii="Times New Roman" w:cs="Times New Roman" w:eastAsia="Times New Roman" w:hAnsi="Times New Roman"/>
          <w:sz w:val="16"/>
          <w:szCs w:val="16"/>
          <w:color w:val="010000"/>
        </w:rPr>
        <w:t xml:space="preserve">7.4 </w:t>
      </w:r>
      <w:r>
        <w:rPr>
          <w:rFonts w:ascii="Times New Roman" w:cs="Times New Roman" w:eastAsia="Times New Roman" w:hAnsi="Times New Roman"/>
          <w:sz w:val="16"/>
          <w:szCs w:val="16"/>
          <w:u w:val="single" w:color="auto"/>
          <w:color w:val="000000"/>
        </w:rPr>
        <w:t>Inventions and Patents</w:t>
      </w:r>
      <w:r>
        <w:rPr>
          <w:rFonts w:ascii="Times New Roman" w:cs="Times New Roman" w:eastAsia="Times New Roman" w:hAnsi="Times New Roman"/>
          <w:sz w:val="16"/>
          <w:szCs w:val="16"/>
          <w:color w:val="000000"/>
        </w:rPr>
        <w:t>. Executive agrees that all inventions, innovations, trade secrets, patents and processes in any way relating, directly or</w:t>
      </w:r>
      <w:r>
        <w:rPr>
          <w:rFonts w:ascii="Times New Roman" w:cs="Times New Roman" w:eastAsia="Times New Roman" w:hAnsi="Times New Roman"/>
          <w:sz w:val="16"/>
          <w:szCs w:val="16"/>
          <w:color w:val="010000"/>
        </w:rPr>
        <w:t xml:space="preserve"> </w:t>
      </w:r>
      <w:r>
        <w:rPr>
          <w:rFonts w:ascii="Times New Roman" w:cs="Times New Roman" w:eastAsia="Times New Roman" w:hAnsi="Times New Roman"/>
          <w:sz w:val="16"/>
          <w:szCs w:val="16"/>
          <w:color w:val="000000"/>
        </w:rPr>
        <w:t>indirectly, to the Company’s business developed by Executive alone or in conjunction with others at any time during Executive’s employment or service with the Company shall belong to the Company. Executive will use Executive’s best efforts to perform all actions reasonably requested by the Board to establish and confirm such ownership by the Company.</w:t>
      </w:r>
    </w:p>
    <w:p>
      <w:pPr>
        <w:spacing w:after="0" w:line="75" w:lineRule="exact"/>
        <w:rPr>
          <w:sz w:val="20"/>
          <w:szCs w:val="20"/>
          <w:color w:val="auto"/>
        </w:rPr>
      </w:pPr>
    </w:p>
    <w:p>
      <w:pPr>
        <w:jc w:val="both"/>
        <w:ind w:right="20" w:firstLine="1481"/>
        <w:spacing w:after="0" w:line="298" w:lineRule="auto"/>
        <w:rPr>
          <w:sz w:val="20"/>
          <w:szCs w:val="20"/>
          <w:color w:val="auto"/>
        </w:rPr>
      </w:pPr>
      <w:r>
        <w:rPr>
          <w:rFonts w:ascii="Times New Roman" w:cs="Times New Roman" w:eastAsia="Times New Roman" w:hAnsi="Times New Roman"/>
          <w:sz w:val="16"/>
          <w:szCs w:val="16"/>
          <w:color w:val="010000"/>
        </w:rPr>
        <w:t xml:space="preserve">7.5 </w:t>
      </w:r>
      <w:r>
        <w:rPr>
          <w:rFonts w:ascii="Times New Roman" w:cs="Times New Roman" w:eastAsia="Times New Roman" w:hAnsi="Times New Roman"/>
          <w:sz w:val="16"/>
          <w:szCs w:val="16"/>
          <w:u w:val="single" w:color="auto"/>
          <w:color w:val="000000"/>
        </w:rPr>
        <w:t>Definition of Company</w:t>
      </w:r>
      <w:r>
        <w:rPr>
          <w:rFonts w:ascii="Times New Roman" w:cs="Times New Roman" w:eastAsia="Times New Roman" w:hAnsi="Times New Roman"/>
          <w:sz w:val="16"/>
          <w:szCs w:val="16"/>
          <w:color w:val="000000"/>
        </w:rPr>
        <w:t>. For purposes of this</w:t>
      </w:r>
      <w:r>
        <w:rPr>
          <w:rFonts w:ascii="Times New Roman" w:cs="Times New Roman" w:eastAsia="Times New Roman" w:hAnsi="Times New Roman"/>
          <w:sz w:val="16"/>
          <w:szCs w:val="16"/>
          <w:color w:val="010000"/>
        </w:rPr>
        <w:t xml:space="preserve"> </w:t>
      </w:r>
      <w:r>
        <w:rPr>
          <w:rFonts w:ascii="Times New Roman" w:cs="Times New Roman" w:eastAsia="Times New Roman" w:hAnsi="Times New Roman"/>
          <w:sz w:val="16"/>
          <w:szCs w:val="16"/>
          <w:u w:val="single" w:color="auto"/>
          <w:color w:val="000000"/>
        </w:rPr>
        <w:t>Section 7</w:t>
      </w:r>
      <w:r>
        <w:rPr>
          <w:rFonts w:ascii="Times New Roman" w:cs="Times New Roman" w:eastAsia="Times New Roman" w:hAnsi="Times New Roman"/>
          <w:sz w:val="16"/>
          <w:szCs w:val="16"/>
          <w:color w:val="000000"/>
        </w:rPr>
        <w:t>, the term “</w:t>
      </w:r>
      <w:r>
        <w:rPr>
          <w:rFonts w:ascii="Times New Roman" w:cs="Times New Roman" w:eastAsia="Times New Roman" w:hAnsi="Times New Roman"/>
          <w:sz w:val="16"/>
          <w:szCs w:val="16"/>
          <w:u w:val="single" w:color="auto"/>
          <w:color w:val="000000"/>
        </w:rPr>
        <w:t>Company</w:t>
      </w:r>
      <w:r>
        <w:rPr>
          <w:rFonts w:ascii="Times New Roman" w:cs="Times New Roman" w:eastAsia="Times New Roman" w:hAnsi="Times New Roman"/>
          <w:sz w:val="16"/>
          <w:szCs w:val="16"/>
          <w:color w:val="000000"/>
        </w:rPr>
        <w:t>” shall include the Company and any and all of its parents,</w:t>
      </w:r>
      <w:r>
        <w:rPr>
          <w:rFonts w:ascii="Times New Roman" w:cs="Times New Roman" w:eastAsia="Times New Roman" w:hAnsi="Times New Roman"/>
          <w:sz w:val="16"/>
          <w:szCs w:val="16"/>
          <w:color w:val="010000"/>
        </w:rPr>
        <w:t xml:space="preserve"> </w:t>
      </w:r>
      <w:r>
        <w:rPr>
          <w:rFonts w:ascii="Times New Roman" w:cs="Times New Roman" w:eastAsia="Times New Roman" w:hAnsi="Times New Roman"/>
          <w:sz w:val="16"/>
          <w:szCs w:val="16"/>
          <w:color w:val="000000"/>
        </w:rPr>
        <w:t>subsidiaries, joint ventures, and affiliated entities as the same may exist from time to time.</w:t>
      </w:r>
    </w:p>
    <w:p>
      <w:pPr>
        <w:spacing w:after="0" w:line="56" w:lineRule="exact"/>
        <w:rPr>
          <w:sz w:val="20"/>
          <w:szCs w:val="20"/>
          <w:color w:val="auto"/>
        </w:rPr>
      </w:pPr>
    </w:p>
    <w:p>
      <w:pPr>
        <w:ind w:left="1480"/>
        <w:spacing w:after="0"/>
        <w:tabs>
          <w:tab w:leader="none" w:pos="1880" w:val="left"/>
        </w:tabs>
        <w:rPr>
          <w:sz w:val="20"/>
          <w:szCs w:val="20"/>
          <w:color w:val="auto"/>
        </w:rPr>
      </w:pPr>
      <w:r>
        <w:rPr>
          <w:rFonts w:ascii="Times New Roman" w:cs="Times New Roman" w:eastAsia="Times New Roman" w:hAnsi="Times New Roman"/>
          <w:sz w:val="16"/>
          <w:szCs w:val="16"/>
          <w:color w:val="010000"/>
        </w:rPr>
        <w:t>7.6</w:t>
      </w:r>
      <w:r>
        <w:rPr>
          <w:sz w:val="20"/>
          <w:szCs w:val="20"/>
          <w:color w:val="auto"/>
        </w:rPr>
        <w:tab/>
      </w:r>
      <w:r>
        <w:rPr>
          <w:rFonts w:ascii="Times New Roman" w:cs="Times New Roman" w:eastAsia="Times New Roman" w:hAnsi="Times New Roman"/>
          <w:sz w:val="16"/>
          <w:szCs w:val="16"/>
          <w:u w:val="single" w:color="auto"/>
          <w:color w:val="auto"/>
        </w:rPr>
        <w:t>Enforcement</w:t>
      </w:r>
      <w:r>
        <w:rPr>
          <w:rFonts w:ascii="Times New Roman" w:cs="Times New Roman" w:eastAsia="Times New Roman" w:hAnsi="Times New Roman"/>
          <w:sz w:val="16"/>
          <w:szCs w:val="16"/>
          <w:color w:val="auto"/>
        </w:rPr>
        <w:t>. The parties hereto agree that the duration and area for which the covenants set forth in</w:t>
      </w: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530860</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40" w:right="459" w:bottom="1440" w:gutter="0" w:footer="0" w:header="0"/>
        </w:sectPr>
      </w:pPr>
    </w:p>
    <w:bookmarkStart w:id="123" w:name="page124"/>
    <w:bookmarkEnd w:id="123"/>
    <w:p>
      <w:pPr>
        <w:spacing w:after="0" w:line="9" w:lineRule="exact"/>
        <w:rPr>
          <w:sz w:val="20"/>
          <w:szCs w:val="20"/>
          <w:color w:val="auto"/>
        </w:rPr>
      </w:pPr>
    </w:p>
    <w:p>
      <w:pPr>
        <w:jc w:val="both"/>
        <w:ind w:right="120"/>
        <w:spacing w:after="0" w:line="271" w:lineRule="auto"/>
        <w:rPr>
          <w:sz w:val="20"/>
          <w:szCs w:val="20"/>
          <w:color w:val="auto"/>
        </w:rPr>
      </w:pPr>
      <w:r>
        <w:rPr>
          <w:rFonts w:ascii="Times New Roman" w:cs="Times New Roman" w:eastAsia="Times New Roman" w:hAnsi="Times New Roman"/>
          <w:sz w:val="16"/>
          <w:szCs w:val="16"/>
          <w:color w:val="auto"/>
        </w:rPr>
        <w:t xml:space="preserve">this </w:t>
      </w:r>
      <w:r>
        <w:rPr>
          <w:rFonts w:ascii="Times New Roman" w:cs="Times New Roman" w:eastAsia="Times New Roman" w:hAnsi="Times New Roman"/>
          <w:sz w:val="16"/>
          <w:szCs w:val="16"/>
          <w:u w:val="single" w:color="auto"/>
          <w:color w:val="auto"/>
        </w:rPr>
        <w:t>Section 7</w:t>
      </w:r>
      <w:r>
        <w:rPr>
          <w:rFonts w:ascii="Times New Roman" w:cs="Times New Roman" w:eastAsia="Times New Roman" w:hAnsi="Times New Roman"/>
          <w:sz w:val="16"/>
          <w:szCs w:val="16"/>
          <w:color w:val="auto"/>
        </w:rPr>
        <w:t xml:space="preserve"> are to be effective are reasonable. In the event that any court or arbitrator determines that the time period or the area, or both of them, are unreasonable and that any of the covenants are to that extent unenforceable, the parties hereto agree that such covenants will remain in full force and effect, first, for the greatest time period, and second, in the greatest geographical area that would not render them unenforceable. The parties intend that this Agreement will be deemed to be a series of separate covenants, one for each and every county of each and every state of the United States of America. Executive agrees that damages are an inadequate remedy for any breach of the covenants in this </w:t>
      </w:r>
      <w:r>
        <w:rPr>
          <w:rFonts w:ascii="Times New Roman" w:cs="Times New Roman" w:eastAsia="Times New Roman" w:hAnsi="Times New Roman"/>
          <w:sz w:val="16"/>
          <w:szCs w:val="16"/>
          <w:u w:val="single" w:color="auto"/>
          <w:color w:val="auto"/>
        </w:rPr>
        <w:t>Section 7</w:t>
      </w:r>
      <w:r>
        <w:rPr>
          <w:rFonts w:ascii="Times New Roman" w:cs="Times New Roman" w:eastAsia="Times New Roman" w:hAnsi="Times New Roman"/>
          <w:sz w:val="16"/>
          <w:szCs w:val="16"/>
          <w:color w:val="auto"/>
        </w:rPr>
        <w:t xml:space="preserve"> and that the Company will, whether or not it is pursuing any potential remedies at law, be entitled to equitable relief in the form of preliminary and permanent injunctions without bond or other security upon any actual or threatened breach of this Agreement.</w:t>
      </w:r>
    </w:p>
    <w:p>
      <w:pPr>
        <w:spacing w:after="0" w:line="76" w:lineRule="exact"/>
        <w:rPr>
          <w:sz w:val="20"/>
          <w:szCs w:val="20"/>
          <w:color w:val="auto"/>
        </w:rPr>
      </w:pPr>
    </w:p>
    <w:p>
      <w:pPr>
        <w:jc w:val="both"/>
        <w:ind w:right="120" w:firstLine="748"/>
        <w:spacing w:after="0" w:line="268" w:lineRule="auto"/>
        <w:tabs>
          <w:tab w:leader="none" w:pos="889" w:val="left"/>
        </w:tabs>
        <w:numPr>
          <w:ilvl w:val="0"/>
          <w:numId w:val="93"/>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u w:val="single" w:color="auto"/>
          <w:color w:val="auto"/>
        </w:rPr>
        <w:t>Whistleblower Protection</w:t>
      </w:r>
      <w:r>
        <w:rPr>
          <w:rFonts w:ascii="Times New Roman" w:cs="Times New Roman" w:eastAsia="Times New Roman" w:hAnsi="Times New Roman"/>
          <w:sz w:val="16"/>
          <w:szCs w:val="16"/>
          <w:color w:val="auto"/>
        </w:rPr>
        <w:t>. Notwithstanding anything to the contrary contained herein, no provision of this Agreement shall be interpreted so as to impede Executive (or any other individual) from (i) participating, cooperating or testifying in any action, investigation or proceeding with, or providing information to, any governmental agency or entity, including, but not limited to, the Department of Justice, the Securities and Exchange Commission, the Congress, and any agency Inspector General, or (ii) making any disclosure of relevant and necessary information or documents in any action, investigation or proceeding relating to this Agreement, or as required by law or legal process, including with respect to possible violations of law, (iii) accepting any U.S. Securities and Exchange Commission Awards, or (iv) making other disclosures under the whistleblower provisions of federal law or regulation. Nothing in this Agreement or any other agreement or Company policy prohibits or restricts Executive from initiating communications with, or responding to any inquiry from, any administrative, governmental, regulatory, or supervisory authority regarding any good faith concerns about possible violations of law or regulation. Executive does not need the prior authorization of the Company to make any such reports or disclosures and Executive shall not be required to notify the Company that such reports or disclosures have been made.</w:t>
      </w:r>
    </w:p>
    <w:p>
      <w:pPr>
        <w:spacing w:after="0" w:line="81" w:lineRule="exact"/>
        <w:rPr>
          <w:rFonts w:ascii="Times New Roman" w:cs="Times New Roman" w:eastAsia="Times New Roman" w:hAnsi="Times New Roman"/>
          <w:sz w:val="16"/>
          <w:szCs w:val="16"/>
          <w:color w:val="010000"/>
        </w:rPr>
      </w:pPr>
    </w:p>
    <w:p>
      <w:pPr>
        <w:jc w:val="both"/>
        <w:ind w:right="120" w:firstLine="748"/>
        <w:spacing w:after="0" w:line="269" w:lineRule="auto"/>
        <w:tabs>
          <w:tab w:leader="none" w:pos="889" w:val="left"/>
        </w:tabs>
        <w:numPr>
          <w:ilvl w:val="0"/>
          <w:numId w:val="93"/>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u w:val="single" w:color="auto"/>
          <w:color w:val="auto"/>
        </w:rPr>
        <w:t>Trade Secrets</w:t>
      </w:r>
      <w:r>
        <w:rPr>
          <w:rFonts w:ascii="Times New Roman" w:cs="Times New Roman" w:eastAsia="Times New Roman" w:hAnsi="Times New Roman"/>
          <w:sz w:val="16"/>
          <w:szCs w:val="16"/>
          <w:color w:val="auto"/>
        </w:rPr>
        <w:t>. 18 U.S.C. § 1833(b) provides: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Nothing in this Agreement is intended to conflict with 18 U.S.C. § 1833(b) or create liability for disclosures of trade secrets that are expressly allowed by 18 U.S.C. § 1833(b). Accordingly, the parties to this Agreement have the right to disclose in confidence trade secrets to federal, state, and local government officials, or to an attorney, for the sole purpose of reporting or investigating a suspected violation of law. The parties also have the right to disclose trade secrets in a document filed in a lawsuit or other proceeding, but only if the filing is made under seal and protected from public disclosure.</w:t>
      </w:r>
    </w:p>
    <w:p>
      <w:pPr>
        <w:spacing w:after="0" w:line="82" w:lineRule="exact"/>
        <w:rPr>
          <w:sz w:val="20"/>
          <w:szCs w:val="20"/>
          <w:color w:val="auto"/>
        </w:rPr>
      </w:pPr>
    </w:p>
    <w:p>
      <w:pPr>
        <w:ind w:left="1420" w:hanging="499"/>
        <w:spacing w:after="0"/>
        <w:tabs>
          <w:tab w:leader="none" w:pos="1420" w:val="left"/>
        </w:tabs>
        <w:numPr>
          <w:ilvl w:val="0"/>
          <w:numId w:val="94"/>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u w:val="single" w:color="auto"/>
          <w:color w:val="auto"/>
        </w:rPr>
        <w:t>Section 409A of the Code</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jc w:val="both"/>
        <w:ind w:firstLine="1378"/>
        <w:spacing w:after="0" w:line="265" w:lineRule="auto"/>
        <w:rPr>
          <w:sz w:val="20"/>
          <w:szCs w:val="20"/>
          <w:color w:val="auto"/>
        </w:rPr>
      </w:pPr>
      <w:r>
        <w:rPr>
          <w:rFonts w:ascii="Times New Roman" w:cs="Times New Roman" w:eastAsia="Times New Roman" w:hAnsi="Times New Roman"/>
          <w:sz w:val="16"/>
          <w:szCs w:val="16"/>
          <w:color w:val="010000"/>
        </w:rPr>
        <w:t xml:space="preserve">10.1 </w:t>
      </w:r>
      <w:r>
        <w:rPr>
          <w:rFonts w:ascii="Times New Roman" w:cs="Times New Roman" w:eastAsia="Times New Roman" w:hAnsi="Times New Roman"/>
          <w:sz w:val="16"/>
          <w:szCs w:val="16"/>
          <w:u w:val="single" w:color="auto"/>
          <w:color w:val="000000"/>
        </w:rPr>
        <w:t>General</w:t>
      </w:r>
      <w:r>
        <w:rPr>
          <w:rFonts w:ascii="Times New Roman" w:cs="Times New Roman" w:eastAsia="Times New Roman" w:hAnsi="Times New Roman"/>
          <w:sz w:val="16"/>
          <w:szCs w:val="16"/>
          <w:color w:val="000000"/>
        </w:rPr>
        <w:t>. It is the intent of the parties to this Agreement that the provisions of this Agreement comply with Section 409A of the Internal</w:t>
      </w:r>
      <w:r>
        <w:rPr>
          <w:rFonts w:ascii="Times New Roman" w:cs="Times New Roman" w:eastAsia="Times New Roman" w:hAnsi="Times New Roman"/>
          <w:sz w:val="16"/>
          <w:szCs w:val="16"/>
          <w:color w:val="010000"/>
        </w:rPr>
        <w:t xml:space="preserve"> </w:t>
      </w:r>
      <w:r>
        <w:rPr>
          <w:rFonts w:ascii="Times New Roman" w:cs="Times New Roman" w:eastAsia="Times New Roman" w:hAnsi="Times New Roman"/>
          <w:sz w:val="16"/>
          <w:szCs w:val="16"/>
          <w:color w:val="000000"/>
        </w:rPr>
        <w:t>Revenue Code of 1986, as amended (the “</w:t>
      </w:r>
      <w:r>
        <w:rPr>
          <w:rFonts w:ascii="Times New Roman" w:cs="Times New Roman" w:eastAsia="Times New Roman" w:hAnsi="Times New Roman"/>
          <w:sz w:val="16"/>
          <w:szCs w:val="16"/>
          <w:u w:val="single" w:color="auto"/>
          <w:color w:val="000000"/>
        </w:rPr>
        <w:t>Code</w:t>
      </w:r>
      <w:r>
        <w:rPr>
          <w:rFonts w:ascii="Times New Roman" w:cs="Times New Roman" w:eastAsia="Times New Roman" w:hAnsi="Times New Roman"/>
          <w:sz w:val="16"/>
          <w:szCs w:val="16"/>
          <w:color w:val="000000"/>
        </w:rPr>
        <w:t>”), and this Agreement shall be construed and interpreted in compliance with Section 409A of the Code and the Department of Treasury Regulations and other interpretive guidance issued thereunder (collectively, “</w:t>
      </w:r>
      <w:r>
        <w:rPr>
          <w:rFonts w:ascii="Times New Roman" w:cs="Times New Roman" w:eastAsia="Times New Roman" w:hAnsi="Times New Roman"/>
          <w:sz w:val="16"/>
          <w:szCs w:val="16"/>
          <w:u w:val="single" w:color="auto"/>
          <w:color w:val="000000"/>
        </w:rPr>
        <w:t>Section 409A</w:t>
      </w:r>
      <w:r>
        <w:rPr>
          <w:rFonts w:ascii="Times New Roman" w:cs="Times New Roman" w:eastAsia="Times New Roman" w:hAnsi="Times New Roman"/>
          <w:sz w:val="16"/>
          <w:szCs w:val="16"/>
          <w:color w:val="000000"/>
        </w:rPr>
        <w:t>”). Notwithstanding any provision of this Agreement to the contrary, in the event that the Company determines that any amounts payable hereunder will be immediately taxable to Executive under Section 409A, the Company reserves the right (without any obligation to do so or to indemnify Executive for failure to do so) to (a) adopt such amendments to this Agreement and appropriate policies and procedures, including amendments and policies with retroactive effect, that the Company determines to be necessary or appropriate to preserve the intended tax treatment of the benefits provided by this Agreement, to preserve the economic benefits of this Agreement and to avoid less favorable accounting or tax consequences for the Company and/or (b) take such other actions as the Company determines to be necessary or appropriate to exempt the amounts payable hereunder from Section 409A or to comply with the requirements of Section 409A and thereby avoid the application of penalty taxes thereunder. No provision of this Agreement shall be interpreted or construed to transfer any liability for failure to comply with the requirements of Section 409A from Executive or any other individual to the Company or any of its affiliates, employees, or agents. In the event that any payment to Executive any benefit hereunder that is subject to Section 409A is made upon, or as a result of, Executive’s termination of employment with the Company, and Executive is a “specified employee” (as that term is defined under Section 409A) at the time Executive becomes entitled to any such payment or benefit, no such payment or benefit will be paid or commenced to be paid to Executive under this Agreement until the date that is the earlier to occur of (i) Executive’s death or (ii) six (6) months and one day following Executive’s termination of employment with the Company (the “</w:t>
      </w:r>
      <w:r>
        <w:rPr>
          <w:rFonts w:ascii="Times New Roman" w:cs="Times New Roman" w:eastAsia="Times New Roman" w:hAnsi="Times New Roman"/>
          <w:sz w:val="16"/>
          <w:szCs w:val="16"/>
          <w:u w:val="single" w:color="auto"/>
          <w:color w:val="000000"/>
        </w:rPr>
        <w:t>Delay Period</w:t>
      </w:r>
      <w:r>
        <w:rPr>
          <w:rFonts w:ascii="Times New Roman" w:cs="Times New Roman" w:eastAsia="Times New Roman" w:hAnsi="Times New Roman"/>
          <w:sz w:val="16"/>
          <w:szCs w:val="16"/>
          <w:color w:val="000000"/>
        </w:rPr>
        <w:t>”). Any payments which Executive would otherwise have received during the Delay Period will be payable to Executive in a lump sum on the date that is six (6) months and one day following the effective date of the termination, and any remaining compensation and benefits due under the Agreement shall be paid or provided as otherwise set forth herein. Each separately identified amount and each installment payment to which Executive is entitled to payment shall be deemed to be a separate payment for purposes of Section 409A. Notwithstanding any provision to the contrary in this Agreement, to the extent that any reimbursement of expenses or in-kind benefits constitutes “deferred compensation” under Section 409A, such reimbursement or benefit shall be provided no later than December 31 of the year following the year in which the expense was incurred. The amount of expenses reimbursed in one year shall not affect the amount eligible for reimbursement in any subsequent year. The amount of any in-kind benefits provided in one year shall not affect the amount of in-kind benefits provided in any other year.</w:t>
      </w:r>
    </w:p>
    <w:p>
      <w:pPr>
        <w:spacing w:after="0" w:line="94" w:lineRule="exact"/>
        <w:rPr>
          <w:sz w:val="20"/>
          <w:szCs w:val="20"/>
          <w:color w:val="auto"/>
        </w:rPr>
      </w:pPr>
    </w:p>
    <w:p>
      <w:pPr>
        <w:jc w:val="both"/>
        <w:ind w:firstLine="1378"/>
        <w:spacing w:after="0" w:line="275" w:lineRule="auto"/>
        <w:rPr>
          <w:sz w:val="20"/>
          <w:szCs w:val="20"/>
          <w:color w:val="auto"/>
        </w:rPr>
      </w:pPr>
      <w:r>
        <w:rPr>
          <w:rFonts w:ascii="Times New Roman" w:cs="Times New Roman" w:eastAsia="Times New Roman" w:hAnsi="Times New Roman"/>
          <w:sz w:val="16"/>
          <w:szCs w:val="16"/>
          <w:color w:val="010000"/>
        </w:rPr>
        <w:t xml:space="preserve">10.2 </w:t>
      </w:r>
      <w:r>
        <w:rPr>
          <w:rFonts w:ascii="Times New Roman" w:cs="Times New Roman" w:eastAsia="Times New Roman" w:hAnsi="Times New Roman"/>
          <w:sz w:val="16"/>
          <w:szCs w:val="16"/>
          <w:u w:val="single" w:color="auto"/>
          <w:color w:val="000000"/>
        </w:rPr>
        <w:t>Release</w:t>
      </w:r>
      <w:r>
        <w:rPr>
          <w:rFonts w:ascii="Times New Roman" w:cs="Times New Roman" w:eastAsia="Times New Roman" w:hAnsi="Times New Roman"/>
          <w:sz w:val="16"/>
          <w:szCs w:val="16"/>
          <w:color w:val="000000"/>
        </w:rPr>
        <w:t>. Notwithstanding anything to the contrary in this Agreement, to the extent that any payments of “nonqualified deferred</w:t>
      </w:r>
      <w:r>
        <w:rPr>
          <w:rFonts w:ascii="Times New Roman" w:cs="Times New Roman" w:eastAsia="Times New Roman" w:hAnsi="Times New Roman"/>
          <w:sz w:val="16"/>
          <w:szCs w:val="16"/>
          <w:color w:val="010000"/>
        </w:rPr>
        <w:t xml:space="preserve"> </w:t>
      </w:r>
      <w:r>
        <w:rPr>
          <w:rFonts w:ascii="Times New Roman" w:cs="Times New Roman" w:eastAsia="Times New Roman" w:hAnsi="Times New Roman"/>
          <w:sz w:val="16"/>
          <w:szCs w:val="16"/>
          <w:color w:val="000000"/>
        </w:rPr>
        <w:t>compensation” (within the meaning of Section 409A) due under this Agreement as a result of Executive’s termination of employment are subject to Executive’s execution and delivery of a Release, (a) the Company shall deliver the Release to Executive within ten (10) business days following the date of termination of employment, and the Company’s failure to deliver a Release prior to the expiration of such ten (10) business day period shall constitute a waiver of any requirement to execute a Release,</w:t>
      </w:r>
    </w:p>
    <w:p>
      <w:pPr>
        <w:spacing w:after="0" w:line="22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530860</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1440" w:right="339" w:bottom="1440" w:gutter="0" w:footer="0" w:header="0"/>
        </w:sectPr>
      </w:pPr>
    </w:p>
    <w:bookmarkStart w:id="124" w:name="page125"/>
    <w:bookmarkEnd w:id="124"/>
    <w:p>
      <w:pPr>
        <w:spacing w:after="0" w:line="9" w:lineRule="exact"/>
        <w:rPr>
          <w:sz w:val="20"/>
          <w:szCs w:val="20"/>
          <w:color w:val="auto"/>
        </w:rPr>
      </w:pPr>
    </w:p>
    <w:p>
      <w:pPr>
        <w:jc w:val="both"/>
        <w:ind w:firstLine="8"/>
        <w:spacing w:after="0" w:line="267" w:lineRule="auto"/>
        <w:tabs>
          <w:tab w:leader="none" w:pos="247"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Executive fails to execute the Release on or prior to the Release Expiration Date (as defined below) or timely revokes his acceptance of the Release thereafter, Executive shall not be entitled to any payments or benefits otherwise conditioned on the Release, and (c) in any case where the date of termination of employment and the Release Expiration Date fall in two separate taxable years, any payments required to be made to Executive that are conditioned on the Release and are treated as nonqualified deferred compensation for purposes of Section 409A shall be made in the later taxable year. For purposes of this </w:t>
      </w:r>
      <w:r>
        <w:rPr>
          <w:rFonts w:ascii="Times New Roman" w:cs="Times New Roman" w:eastAsia="Times New Roman" w:hAnsi="Times New Roman"/>
          <w:sz w:val="16"/>
          <w:szCs w:val="16"/>
          <w:u w:val="single" w:color="auto"/>
          <w:color w:val="auto"/>
        </w:rPr>
        <w:t>Section 10.2</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auto"/>
        </w:rPr>
        <w:t>Release Expiration Date</w:t>
      </w:r>
      <w:r>
        <w:rPr>
          <w:rFonts w:ascii="Times New Roman" w:cs="Times New Roman" w:eastAsia="Times New Roman" w:hAnsi="Times New Roman"/>
          <w:sz w:val="16"/>
          <w:szCs w:val="16"/>
          <w:color w:val="auto"/>
        </w:rPr>
        <w:t xml:space="preserve">” shall mean the date that is twenty-one (21) days following the date upon which the Company timely delivers the Release to Executive, or, in the event that Executive’s termination of employment is “in connection with an exit incentive or other employment termination program” (as such phrase is defined in the Age Discrimination in Employment Act of 1967), the date that is forty-five (45) days following such delivery date. To the extent that any payments of nonqualified deferred compensation (within the meaning of Section 409A) due under this Agreement as a result of Executive’s termination of employment are delayed pursuant to this </w:t>
      </w:r>
      <w:r>
        <w:rPr>
          <w:rFonts w:ascii="Times New Roman" w:cs="Times New Roman" w:eastAsia="Times New Roman" w:hAnsi="Times New Roman"/>
          <w:sz w:val="16"/>
          <w:szCs w:val="16"/>
          <w:u w:val="single" w:color="auto"/>
          <w:color w:val="auto"/>
        </w:rPr>
        <w:t>Section 10.2</w:t>
      </w:r>
      <w:r>
        <w:rPr>
          <w:rFonts w:ascii="Times New Roman" w:cs="Times New Roman" w:eastAsia="Times New Roman" w:hAnsi="Times New Roman"/>
          <w:sz w:val="16"/>
          <w:szCs w:val="16"/>
          <w:color w:val="auto"/>
        </w:rPr>
        <w:t xml:space="preserve">, such amounts shall be paid in a lump sum on the first payroll date following the date that Executive executes and does not revoke the Release (and the applicable revocation period has expired) or, in the case of any payments subject to </w:t>
      </w:r>
      <w:r>
        <w:rPr>
          <w:rFonts w:ascii="Times New Roman" w:cs="Times New Roman" w:eastAsia="Times New Roman" w:hAnsi="Times New Roman"/>
          <w:sz w:val="16"/>
          <w:szCs w:val="16"/>
          <w:u w:val="single" w:color="auto"/>
          <w:color w:val="auto"/>
        </w:rPr>
        <w:t>Section 10.3(c)</w:t>
      </w:r>
      <w:r>
        <w:rPr>
          <w:rFonts w:ascii="Times New Roman" w:cs="Times New Roman" w:eastAsia="Times New Roman" w:hAnsi="Times New Roman"/>
          <w:sz w:val="16"/>
          <w:szCs w:val="16"/>
          <w:color w:val="auto"/>
        </w:rPr>
        <w:t>, on the first payroll period to occur in the subsequent taxable year, if later.</w:t>
      </w:r>
    </w:p>
    <w:p>
      <w:pPr>
        <w:spacing w:after="0" w:line="86" w:lineRule="exact"/>
        <w:rPr>
          <w:rFonts w:ascii="Times New Roman" w:cs="Times New Roman" w:eastAsia="Times New Roman" w:hAnsi="Times New Roman"/>
          <w:sz w:val="16"/>
          <w:szCs w:val="16"/>
          <w:color w:val="auto"/>
        </w:rPr>
      </w:pPr>
    </w:p>
    <w:p>
      <w:pPr>
        <w:ind w:left="1500" w:hanging="744"/>
        <w:spacing w:after="0"/>
        <w:tabs>
          <w:tab w:leader="none" w:pos="1500" w:val="left"/>
        </w:tabs>
        <w:numPr>
          <w:ilvl w:val="1"/>
          <w:numId w:val="95"/>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jc w:val="both"/>
        <w:ind w:right="120" w:firstLine="1481"/>
        <w:spacing w:after="0" w:line="281" w:lineRule="auto"/>
        <w:rPr>
          <w:sz w:val="20"/>
          <w:szCs w:val="20"/>
          <w:color w:val="auto"/>
        </w:rPr>
      </w:pPr>
      <w:r>
        <w:rPr>
          <w:rFonts w:ascii="Times New Roman" w:cs="Times New Roman" w:eastAsia="Times New Roman" w:hAnsi="Times New Roman"/>
          <w:sz w:val="16"/>
          <w:szCs w:val="16"/>
          <w:color w:val="010000"/>
        </w:rPr>
        <w:t xml:space="preserve">11.1 </w:t>
      </w:r>
      <w:r>
        <w:rPr>
          <w:rFonts w:ascii="Times New Roman" w:cs="Times New Roman" w:eastAsia="Times New Roman" w:hAnsi="Times New Roman"/>
          <w:sz w:val="16"/>
          <w:szCs w:val="16"/>
          <w:u w:val="single" w:color="auto"/>
          <w:color w:val="000000"/>
        </w:rPr>
        <w:t>Notice</w:t>
      </w:r>
      <w:r>
        <w:rPr>
          <w:rFonts w:ascii="Times New Roman" w:cs="Times New Roman" w:eastAsia="Times New Roman" w:hAnsi="Times New Roman"/>
          <w:sz w:val="16"/>
          <w:szCs w:val="16"/>
          <w:color w:val="000000"/>
        </w:rPr>
        <w:t>. Any notice required or permitted to be given hereunder shall be deemed sufficiently given if sent by registered or certified mail,</w:t>
      </w:r>
      <w:r>
        <w:rPr>
          <w:rFonts w:ascii="Times New Roman" w:cs="Times New Roman" w:eastAsia="Times New Roman" w:hAnsi="Times New Roman"/>
          <w:sz w:val="16"/>
          <w:szCs w:val="16"/>
          <w:color w:val="010000"/>
        </w:rPr>
        <w:t xml:space="preserve"> </w:t>
      </w:r>
      <w:r>
        <w:rPr>
          <w:rFonts w:ascii="Times New Roman" w:cs="Times New Roman" w:eastAsia="Times New Roman" w:hAnsi="Times New Roman"/>
          <w:sz w:val="16"/>
          <w:szCs w:val="16"/>
          <w:color w:val="000000"/>
        </w:rPr>
        <w:t>postage prepaid, addressed to the addressee at the address last provided to the sender in writing by the addressee for purposes of receiving notices hereunder or, unless or until such address shall be so furnished, to the address indicated opposite addressee’s signature to this Agreement.</w:t>
      </w:r>
    </w:p>
    <w:p>
      <w:pPr>
        <w:spacing w:after="0" w:line="164"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6"/>
          <w:szCs w:val="16"/>
          <w:color w:val="auto"/>
        </w:rPr>
        <w:t>If to Executive:</w:t>
      </w:r>
    </w:p>
    <w:p>
      <w:pPr>
        <w:spacing w:after="0" w:line="221"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6"/>
          <w:szCs w:val="16"/>
          <w:color w:val="auto"/>
        </w:rPr>
        <w:t>At the address (or to the facsimile number) shown in the books and records of the Company.</w:t>
      </w:r>
    </w:p>
    <w:p>
      <w:pPr>
        <w:spacing w:after="0" w:line="221"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6"/>
          <w:szCs w:val="16"/>
          <w:color w:val="auto"/>
        </w:rPr>
        <w:t>If to the Company:</w:t>
      </w:r>
    </w:p>
    <w:p>
      <w:pPr>
        <w:spacing w:after="0" w:line="26" w:lineRule="exact"/>
        <w:rPr>
          <w:sz w:val="20"/>
          <w:szCs w:val="20"/>
          <w:color w:val="auto"/>
        </w:rPr>
      </w:pPr>
    </w:p>
    <w:p>
      <w:pPr>
        <w:ind w:left="2080" w:right="6440" w:hanging="9"/>
        <w:spacing w:after="0" w:line="264" w:lineRule="auto"/>
        <w:tabs>
          <w:tab w:leader="none" w:pos="2445"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Intelligent Solutions Holdings Inc. Chief Legal Officer</w:t>
      </w:r>
    </w:p>
    <w:p>
      <w:pPr>
        <w:ind w:left="2080" w:right="7540"/>
        <w:spacing w:after="0" w:line="28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167 North Green Street Chicago, IL 60607</w:t>
      </w:r>
    </w:p>
    <w:p>
      <w:pPr>
        <w:spacing w:after="0" w:line="158"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6"/>
          <w:szCs w:val="16"/>
          <w:u w:val="single" w:color="auto"/>
          <w:color w:val="auto"/>
        </w:rPr>
        <w:t>with a copy to, which shall not constitute notice:</w:t>
      </w:r>
    </w:p>
    <w:p>
      <w:pPr>
        <w:spacing w:after="0" w:line="26"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6"/>
          <w:szCs w:val="16"/>
          <w:color w:val="auto"/>
        </w:rPr>
        <w:t>Kirkland &amp; Ellis LLP</w:t>
      </w:r>
    </w:p>
    <w:p>
      <w:pPr>
        <w:spacing w:after="0" w:line="1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6"/>
          <w:szCs w:val="16"/>
          <w:color w:val="auto"/>
        </w:rPr>
        <w:t>601 Lexington Avenue New York, NY 10022</w:t>
      </w:r>
    </w:p>
    <w:p>
      <w:pPr>
        <w:spacing w:after="0" w:line="1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6"/>
          <w:szCs w:val="16"/>
          <w:color w:val="auto"/>
        </w:rPr>
        <w:t>Attention: Douglas Ryder, P.C.</w:t>
      </w:r>
    </w:p>
    <w:p>
      <w:pPr>
        <w:spacing w:after="0" w:line="1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6"/>
          <w:szCs w:val="16"/>
          <w:color w:val="auto"/>
        </w:rPr>
        <w:t>Email: *****</w:t>
      </w:r>
    </w:p>
    <w:p>
      <w:pPr>
        <w:spacing w:after="0" w:line="321" w:lineRule="exact"/>
        <w:rPr>
          <w:sz w:val="20"/>
          <w:szCs w:val="20"/>
          <w:color w:val="auto"/>
        </w:rPr>
      </w:pPr>
    </w:p>
    <w:p>
      <w:pPr>
        <w:jc w:val="both"/>
        <w:ind w:right="120" w:firstLine="1481"/>
        <w:spacing w:after="0" w:line="298" w:lineRule="auto"/>
        <w:rPr>
          <w:sz w:val="20"/>
          <w:szCs w:val="20"/>
          <w:color w:val="auto"/>
        </w:rPr>
      </w:pPr>
      <w:r>
        <w:rPr>
          <w:rFonts w:ascii="Times New Roman" w:cs="Times New Roman" w:eastAsia="Times New Roman" w:hAnsi="Times New Roman"/>
          <w:sz w:val="16"/>
          <w:szCs w:val="16"/>
          <w:color w:val="010000"/>
        </w:rPr>
        <w:t xml:space="preserve">11.2 </w:t>
      </w:r>
      <w:r>
        <w:rPr>
          <w:rFonts w:ascii="Times New Roman" w:cs="Times New Roman" w:eastAsia="Times New Roman" w:hAnsi="Times New Roman"/>
          <w:sz w:val="16"/>
          <w:szCs w:val="16"/>
          <w:u w:val="single" w:color="auto"/>
          <w:color w:val="000000"/>
        </w:rPr>
        <w:t>Severability</w:t>
      </w:r>
      <w:r>
        <w:rPr>
          <w:rFonts w:ascii="Times New Roman" w:cs="Times New Roman" w:eastAsia="Times New Roman" w:hAnsi="Times New Roman"/>
          <w:sz w:val="16"/>
          <w:szCs w:val="16"/>
          <w:color w:val="000000"/>
        </w:rPr>
        <w:t>. The invalidity or unenforceability of any provision of this Agreement shall not affect the validity or enforceability of any other</w:t>
      </w:r>
      <w:r>
        <w:rPr>
          <w:rFonts w:ascii="Times New Roman" w:cs="Times New Roman" w:eastAsia="Times New Roman" w:hAnsi="Times New Roman"/>
          <w:sz w:val="16"/>
          <w:szCs w:val="16"/>
          <w:color w:val="010000"/>
        </w:rPr>
        <w:t xml:space="preserve"> </w:t>
      </w:r>
      <w:r>
        <w:rPr>
          <w:rFonts w:ascii="Times New Roman" w:cs="Times New Roman" w:eastAsia="Times New Roman" w:hAnsi="Times New Roman"/>
          <w:sz w:val="16"/>
          <w:szCs w:val="16"/>
          <w:color w:val="000000"/>
        </w:rPr>
        <w:t>provision of this Agreement.</w:t>
      </w:r>
    </w:p>
    <w:p>
      <w:pPr>
        <w:spacing w:after="0" w:line="56" w:lineRule="exact"/>
        <w:rPr>
          <w:sz w:val="20"/>
          <w:szCs w:val="20"/>
          <w:color w:val="auto"/>
        </w:rPr>
      </w:pPr>
    </w:p>
    <w:p>
      <w:pPr>
        <w:jc w:val="both"/>
        <w:ind w:right="120" w:firstLine="1481"/>
        <w:spacing w:after="0" w:line="281" w:lineRule="auto"/>
        <w:rPr>
          <w:sz w:val="20"/>
          <w:szCs w:val="20"/>
          <w:color w:val="auto"/>
        </w:rPr>
      </w:pPr>
      <w:r>
        <w:rPr>
          <w:rFonts w:ascii="Times New Roman" w:cs="Times New Roman" w:eastAsia="Times New Roman" w:hAnsi="Times New Roman"/>
          <w:sz w:val="16"/>
          <w:szCs w:val="16"/>
          <w:color w:val="010000"/>
        </w:rPr>
        <w:t xml:space="preserve">11.3 </w:t>
      </w:r>
      <w:r>
        <w:rPr>
          <w:rFonts w:ascii="Times New Roman" w:cs="Times New Roman" w:eastAsia="Times New Roman" w:hAnsi="Times New Roman"/>
          <w:sz w:val="16"/>
          <w:szCs w:val="16"/>
          <w:u w:val="single" w:color="auto"/>
          <w:color w:val="000000"/>
        </w:rPr>
        <w:t>Modification and No Waiver of Breach</w:t>
      </w:r>
      <w:r>
        <w:rPr>
          <w:rFonts w:ascii="Times New Roman" w:cs="Times New Roman" w:eastAsia="Times New Roman" w:hAnsi="Times New Roman"/>
          <w:sz w:val="16"/>
          <w:szCs w:val="16"/>
          <w:color w:val="000000"/>
        </w:rPr>
        <w:t>. No waiver or modification of this Agreement shall be binding unless it is in writing, approved by</w:t>
      </w:r>
      <w:r>
        <w:rPr>
          <w:rFonts w:ascii="Times New Roman" w:cs="Times New Roman" w:eastAsia="Times New Roman" w:hAnsi="Times New Roman"/>
          <w:sz w:val="16"/>
          <w:szCs w:val="16"/>
          <w:color w:val="010000"/>
        </w:rPr>
        <w:t xml:space="preserve"> </w:t>
      </w:r>
      <w:r>
        <w:rPr>
          <w:rFonts w:ascii="Times New Roman" w:cs="Times New Roman" w:eastAsia="Times New Roman" w:hAnsi="Times New Roman"/>
          <w:sz w:val="16"/>
          <w:szCs w:val="16"/>
          <w:color w:val="000000"/>
        </w:rPr>
        <w:t xml:space="preserve">the Board and signed by the parties hereto. No waiver by a party of a breach hereof by the other party shall be deemed to constitute a waiver of a future breach, whether of a similar or dissimilar nature, except to the extent specifically provided in any written waiver under this </w:t>
      </w:r>
      <w:r>
        <w:rPr>
          <w:rFonts w:ascii="Times New Roman" w:cs="Times New Roman" w:eastAsia="Times New Roman" w:hAnsi="Times New Roman"/>
          <w:sz w:val="16"/>
          <w:szCs w:val="16"/>
          <w:u w:val="single" w:color="auto"/>
          <w:color w:val="000000"/>
        </w:rPr>
        <w:t>Section 11.4</w:t>
      </w:r>
      <w:r>
        <w:rPr>
          <w:rFonts w:ascii="Times New Roman" w:cs="Times New Roman" w:eastAsia="Times New Roman" w:hAnsi="Times New Roman"/>
          <w:sz w:val="16"/>
          <w:szCs w:val="16"/>
          <w:color w:val="000000"/>
        </w:rPr>
        <w:t>.</w:t>
      </w:r>
    </w:p>
    <w:p>
      <w:pPr>
        <w:spacing w:after="0" w:line="69" w:lineRule="exact"/>
        <w:rPr>
          <w:sz w:val="20"/>
          <w:szCs w:val="20"/>
          <w:color w:val="auto"/>
        </w:rPr>
      </w:pPr>
    </w:p>
    <w:p>
      <w:pPr>
        <w:jc w:val="both"/>
        <w:ind w:right="120" w:firstLine="1481"/>
        <w:spacing w:after="0" w:line="281" w:lineRule="auto"/>
        <w:rPr>
          <w:sz w:val="20"/>
          <w:szCs w:val="20"/>
          <w:color w:val="auto"/>
        </w:rPr>
      </w:pPr>
      <w:r>
        <w:rPr>
          <w:rFonts w:ascii="Times New Roman" w:cs="Times New Roman" w:eastAsia="Times New Roman" w:hAnsi="Times New Roman"/>
          <w:sz w:val="16"/>
          <w:szCs w:val="16"/>
          <w:color w:val="010000"/>
        </w:rPr>
        <w:t xml:space="preserve">11.4 </w:t>
      </w:r>
      <w:r>
        <w:rPr>
          <w:rFonts w:ascii="Times New Roman" w:cs="Times New Roman" w:eastAsia="Times New Roman" w:hAnsi="Times New Roman"/>
          <w:sz w:val="16"/>
          <w:szCs w:val="16"/>
          <w:u w:val="single" w:color="auto"/>
          <w:color w:val="000000"/>
        </w:rPr>
        <w:t>Governing Law</w:t>
      </w:r>
      <w:r>
        <w:rPr>
          <w:rFonts w:ascii="Times New Roman" w:cs="Times New Roman" w:eastAsia="Times New Roman" w:hAnsi="Times New Roman"/>
          <w:sz w:val="16"/>
          <w:szCs w:val="16"/>
          <w:color w:val="000000"/>
        </w:rPr>
        <w:t>. This Agreement shall be governed by and construed and interpreted in accordance with the laws of the State of Delaware</w:t>
      </w:r>
      <w:r>
        <w:rPr>
          <w:rFonts w:ascii="Times New Roman" w:cs="Times New Roman" w:eastAsia="Times New Roman" w:hAnsi="Times New Roman"/>
          <w:sz w:val="16"/>
          <w:szCs w:val="16"/>
          <w:color w:val="010000"/>
        </w:rPr>
        <w:t xml:space="preserve"> </w:t>
      </w:r>
      <w:r>
        <w:rPr>
          <w:rFonts w:ascii="Times New Roman" w:cs="Times New Roman" w:eastAsia="Times New Roman" w:hAnsi="Times New Roman"/>
          <w:sz w:val="16"/>
          <w:szCs w:val="16"/>
          <w:color w:val="000000"/>
        </w:rPr>
        <w:t>(without regard to principles of conflicts of laws), and all questions relating to the validity and performance hereof and remedies hereunder shall be determined in accordance with such law.</w:t>
      </w:r>
    </w:p>
    <w:p>
      <w:pPr>
        <w:spacing w:after="0" w:line="69" w:lineRule="exact"/>
        <w:rPr>
          <w:sz w:val="20"/>
          <w:szCs w:val="20"/>
          <w:color w:val="auto"/>
        </w:rPr>
      </w:pPr>
    </w:p>
    <w:p>
      <w:pPr>
        <w:jc w:val="both"/>
        <w:ind w:right="120" w:firstLine="1481"/>
        <w:spacing w:after="0" w:line="298" w:lineRule="auto"/>
        <w:rPr>
          <w:sz w:val="20"/>
          <w:szCs w:val="20"/>
          <w:color w:val="auto"/>
        </w:rPr>
      </w:pPr>
      <w:r>
        <w:rPr>
          <w:rFonts w:ascii="Times New Roman" w:cs="Times New Roman" w:eastAsia="Times New Roman" w:hAnsi="Times New Roman"/>
          <w:sz w:val="16"/>
          <w:szCs w:val="16"/>
          <w:color w:val="010000"/>
        </w:rPr>
        <w:t xml:space="preserve">11.5 </w:t>
      </w:r>
      <w:r>
        <w:rPr>
          <w:rFonts w:ascii="Times New Roman" w:cs="Times New Roman" w:eastAsia="Times New Roman" w:hAnsi="Times New Roman"/>
          <w:sz w:val="16"/>
          <w:szCs w:val="16"/>
          <w:u w:val="single" w:color="auto"/>
          <w:color w:val="000000"/>
        </w:rPr>
        <w:t>Counterparts</w:t>
      </w:r>
      <w:r>
        <w:rPr>
          <w:rFonts w:ascii="Times New Roman" w:cs="Times New Roman" w:eastAsia="Times New Roman" w:hAnsi="Times New Roman"/>
          <w:sz w:val="16"/>
          <w:szCs w:val="16"/>
          <w:color w:val="000000"/>
        </w:rPr>
        <w:t>. This Agreement may be executed by facsimile in two counterparts, each of which shall be deemed an original, but both of</w:t>
      </w:r>
      <w:r>
        <w:rPr>
          <w:rFonts w:ascii="Times New Roman" w:cs="Times New Roman" w:eastAsia="Times New Roman" w:hAnsi="Times New Roman"/>
          <w:sz w:val="16"/>
          <w:szCs w:val="16"/>
          <w:color w:val="010000"/>
        </w:rPr>
        <w:t xml:space="preserve"> </w:t>
      </w:r>
      <w:r>
        <w:rPr>
          <w:rFonts w:ascii="Times New Roman" w:cs="Times New Roman" w:eastAsia="Times New Roman" w:hAnsi="Times New Roman"/>
          <w:sz w:val="16"/>
          <w:szCs w:val="16"/>
          <w:color w:val="000000"/>
        </w:rPr>
        <w:t>which taken together shall constitute one and the same Agreement.</w:t>
      </w:r>
    </w:p>
    <w:p>
      <w:pPr>
        <w:spacing w:after="0" w:line="56" w:lineRule="exact"/>
        <w:rPr>
          <w:sz w:val="20"/>
          <w:szCs w:val="20"/>
          <w:color w:val="auto"/>
        </w:rPr>
      </w:pPr>
    </w:p>
    <w:p>
      <w:pPr>
        <w:ind w:left="1480"/>
        <w:spacing w:after="0"/>
        <w:tabs>
          <w:tab w:leader="none" w:pos="1880" w:val="left"/>
        </w:tabs>
        <w:rPr>
          <w:sz w:val="20"/>
          <w:szCs w:val="20"/>
          <w:color w:val="auto"/>
        </w:rPr>
      </w:pPr>
      <w:r>
        <w:rPr>
          <w:rFonts w:ascii="Times New Roman" w:cs="Times New Roman" w:eastAsia="Times New Roman" w:hAnsi="Times New Roman"/>
          <w:sz w:val="16"/>
          <w:szCs w:val="16"/>
          <w:color w:val="010000"/>
        </w:rPr>
        <w:t>11.6</w:t>
      </w:r>
      <w:r>
        <w:rPr>
          <w:sz w:val="20"/>
          <w:szCs w:val="20"/>
          <w:color w:val="auto"/>
        </w:rPr>
        <w:tab/>
      </w:r>
      <w:r>
        <w:rPr>
          <w:rFonts w:ascii="Times New Roman" w:cs="Times New Roman" w:eastAsia="Times New Roman" w:hAnsi="Times New Roman"/>
          <w:sz w:val="16"/>
          <w:szCs w:val="16"/>
          <w:u w:val="single" w:color="auto"/>
          <w:color w:val="auto"/>
        </w:rPr>
        <w:t>Captions</w:t>
      </w:r>
      <w:r>
        <w:rPr>
          <w:rFonts w:ascii="Times New Roman" w:cs="Times New Roman" w:eastAsia="Times New Roman" w:hAnsi="Times New Roman"/>
          <w:sz w:val="16"/>
          <w:szCs w:val="16"/>
          <w:color w:val="auto"/>
        </w:rPr>
        <w:t>. The captions used herein are for ease of reference only and shall not define or limit the provisions hereof.</w:t>
      </w:r>
    </w:p>
    <w:p>
      <w:pPr>
        <w:spacing w:after="0" w:line="127" w:lineRule="exact"/>
        <w:rPr>
          <w:sz w:val="20"/>
          <w:szCs w:val="20"/>
          <w:color w:val="auto"/>
        </w:rPr>
      </w:pPr>
    </w:p>
    <w:p>
      <w:pPr>
        <w:jc w:val="both"/>
        <w:ind w:right="120" w:firstLine="1481"/>
        <w:spacing w:after="0" w:line="298" w:lineRule="auto"/>
        <w:rPr>
          <w:sz w:val="20"/>
          <w:szCs w:val="20"/>
          <w:color w:val="auto"/>
        </w:rPr>
      </w:pPr>
      <w:r>
        <w:rPr>
          <w:rFonts w:ascii="Times New Roman" w:cs="Times New Roman" w:eastAsia="Times New Roman" w:hAnsi="Times New Roman"/>
          <w:sz w:val="16"/>
          <w:szCs w:val="16"/>
          <w:color w:val="010000"/>
        </w:rPr>
        <w:t xml:space="preserve">11.7 </w:t>
      </w:r>
      <w:r>
        <w:rPr>
          <w:rFonts w:ascii="Times New Roman" w:cs="Times New Roman" w:eastAsia="Times New Roman" w:hAnsi="Times New Roman"/>
          <w:sz w:val="16"/>
          <w:szCs w:val="16"/>
          <w:u w:val="single" w:color="auto"/>
          <w:color w:val="000000"/>
        </w:rPr>
        <w:t>Entire Agreement</w:t>
      </w:r>
      <w:r>
        <w:rPr>
          <w:rFonts w:ascii="Times New Roman" w:cs="Times New Roman" w:eastAsia="Times New Roman" w:hAnsi="Times New Roman"/>
          <w:sz w:val="16"/>
          <w:szCs w:val="16"/>
          <w:color w:val="000000"/>
        </w:rPr>
        <w:t>. This Agreement constitutes the entire agreement between the parties hereto relating to the matters encompassed hereby</w:t>
      </w:r>
      <w:r>
        <w:rPr>
          <w:rFonts w:ascii="Times New Roman" w:cs="Times New Roman" w:eastAsia="Times New Roman" w:hAnsi="Times New Roman"/>
          <w:sz w:val="16"/>
          <w:szCs w:val="16"/>
          <w:color w:val="010000"/>
        </w:rPr>
        <w:t xml:space="preserve"> </w:t>
      </w:r>
      <w:r>
        <w:rPr>
          <w:rFonts w:ascii="Times New Roman" w:cs="Times New Roman" w:eastAsia="Times New Roman" w:hAnsi="Times New Roman"/>
          <w:sz w:val="16"/>
          <w:szCs w:val="16"/>
          <w:color w:val="000000"/>
        </w:rPr>
        <w:t>and supersedes any prior oral or written agreements relating to such matters.</w:t>
      </w:r>
    </w:p>
    <w:p>
      <w:pPr>
        <w:spacing w:after="0" w:line="56" w:lineRule="exact"/>
        <w:rPr>
          <w:sz w:val="20"/>
          <w:szCs w:val="20"/>
          <w:color w:val="auto"/>
        </w:rPr>
      </w:pPr>
    </w:p>
    <w:p>
      <w:pPr>
        <w:jc w:val="both"/>
        <w:ind w:right="120" w:firstLine="1481"/>
        <w:spacing w:after="0" w:line="281" w:lineRule="auto"/>
        <w:rPr>
          <w:sz w:val="20"/>
          <w:szCs w:val="20"/>
          <w:color w:val="auto"/>
        </w:rPr>
      </w:pPr>
      <w:r>
        <w:rPr>
          <w:rFonts w:ascii="Times New Roman" w:cs="Times New Roman" w:eastAsia="Times New Roman" w:hAnsi="Times New Roman"/>
          <w:sz w:val="16"/>
          <w:szCs w:val="16"/>
          <w:color w:val="010000"/>
        </w:rPr>
        <w:t xml:space="preserve">11.8 </w:t>
      </w:r>
      <w:r>
        <w:rPr>
          <w:rFonts w:ascii="Times New Roman" w:cs="Times New Roman" w:eastAsia="Times New Roman" w:hAnsi="Times New Roman"/>
          <w:sz w:val="16"/>
          <w:szCs w:val="16"/>
          <w:u w:val="single" w:color="auto"/>
          <w:color w:val="000000"/>
        </w:rPr>
        <w:t>Assignment</w:t>
      </w:r>
      <w:r>
        <w:rPr>
          <w:rFonts w:ascii="Times New Roman" w:cs="Times New Roman" w:eastAsia="Times New Roman" w:hAnsi="Times New Roman"/>
          <w:sz w:val="16"/>
          <w:szCs w:val="16"/>
          <w:color w:val="000000"/>
        </w:rPr>
        <w:t>. This Agreement shall not be assigned by Executive and may be assigned by the Company to any of its subsidiaries or</w:t>
      </w:r>
      <w:r>
        <w:rPr>
          <w:rFonts w:ascii="Times New Roman" w:cs="Times New Roman" w:eastAsia="Times New Roman" w:hAnsi="Times New Roman"/>
          <w:sz w:val="16"/>
          <w:szCs w:val="16"/>
          <w:color w:val="010000"/>
        </w:rPr>
        <w:t xml:space="preserve"> </w:t>
      </w:r>
      <w:r>
        <w:rPr>
          <w:rFonts w:ascii="Times New Roman" w:cs="Times New Roman" w:eastAsia="Times New Roman" w:hAnsi="Times New Roman"/>
          <w:sz w:val="16"/>
          <w:szCs w:val="16"/>
          <w:color w:val="000000"/>
        </w:rPr>
        <w:t>affiliates, or any entity that succeeds to the business of the Company; provided, that an assignment to a subsidiary or affiliate by the Company shall not relieve the Company of any of its obligations hereunder.</w:t>
      </w:r>
    </w:p>
    <w:p>
      <w:pPr>
        <w:spacing w:after="0" w:line="69" w:lineRule="exact"/>
        <w:rPr>
          <w:sz w:val="20"/>
          <w:szCs w:val="20"/>
          <w:color w:val="auto"/>
        </w:rPr>
      </w:pPr>
    </w:p>
    <w:p>
      <w:pPr>
        <w:jc w:val="both"/>
        <w:ind w:right="120" w:firstLine="1481"/>
        <w:spacing w:after="0" w:line="275" w:lineRule="auto"/>
        <w:rPr>
          <w:sz w:val="20"/>
          <w:szCs w:val="20"/>
          <w:color w:val="auto"/>
        </w:rPr>
      </w:pPr>
      <w:r>
        <w:rPr>
          <w:rFonts w:ascii="Times New Roman" w:cs="Times New Roman" w:eastAsia="Times New Roman" w:hAnsi="Times New Roman"/>
          <w:sz w:val="16"/>
          <w:szCs w:val="16"/>
          <w:color w:val="010000"/>
        </w:rPr>
        <w:t xml:space="preserve">11.9 </w:t>
      </w:r>
      <w:r>
        <w:rPr>
          <w:rFonts w:ascii="Times New Roman" w:cs="Times New Roman" w:eastAsia="Times New Roman" w:hAnsi="Times New Roman"/>
          <w:sz w:val="16"/>
          <w:szCs w:val="16"/>
          <w:u w:val="single" w:color="auto"/>
          <w:color w:val="000000"/>
        </w:rPr>
        <w:t>Non-Transferability of Interest</w:t>
      </w:r>
      <w:r>
        <w:rPr>
          <w:rFonts w:ascii="Times New Roman" w:cs="Times New Roman" w:eastAsia="Times New Roman" w:hAnsi="Times New Roman"/>
          <w:sz w:val="16"/>
          <w:szCs w:val="16"/>
          <w:color w:val="000000"/>
        </w:rPr>
        <w:t>. None of the rights of Executive to receive any form of compensation payable pursuant to this Agreement</w:t>
      </w:r>
      <w:r>
        <w:rPr>
          <w:rFonts w:ascii="Times New Roman" w:cs="Times New Roman" w:eastAsia="Times New Roman" w:hAnsi="Times New Roman"/>
          <w:sz w:val="16"/>
          <w:szCs w:val="16"/>
          <w:color w:val="010000"/>
        </w:rPr>
        <w:t xml:space="preserve"> </w:t>
      </w:r>
      <w:r>
        <w:rPr>
          <w:rFonts w:ascii="Times New Roman" w:cs="Times New Roman" w:eastAsia="Times New Roman" w:hAnsi="Times New Roman"/>
          <w:sz w:val="16"/>
          <w:szCs w:val="16"/>
          <w:color w:val="000000"/>
        </w:rPr>
        <w:t>shall be assignable or transferable except through a testamentary disposition or by the laws of descent and distribution upon the death of Executive. Any other attempted assignment, transfer, conveyance or other disposition of any interest in the rights of Executive to receive any form of compensation to be made by the Company pursuant to this Agreement shall be void.</w:t>
      </w:r>
    </w:p>
    <w:p>
      <w:pPr>
        <w:spacing w:after="0" w:line="22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530860</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1440" w:right="339" w:bottom="1440" w:gutter="0" w:footer="0" w:header="0"/>
        </w:sectPr>
      </w:pPr>
    </w:p>
    <w:bookmarkStart w:id="125" w:name="page126"/>
    <w:bookmarkEnd w:id="125"/>
    <w:p>
      <w:pPr>
        <w:spacing w:after="0" w:line="11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6"/>
          <w:szCs w:val="16"/>
          <w:i w:val="1"/>
          <w:iCs w:val="1"/>
          <w:color w:val="auto"/>
        </w:rPr>
        <w:t>[signature page follows]</w:t>
      </w:r>
    </w:p>
    <w:p>
      <w:pPr>
        <w:sectPr>
          <w:pgSz w:w="11900" w:h="16838" w:orient="portrait"/>
          <w:cols w:equalWidth="0" w:num="1">
            <w:col w:w="9019"/>
          </w:cols>
          <w:pgMar w:left="1440" w:top="1440" w:right="1440" w:bottom="1440" w:gutter="0" w:footer="0" w:header="0"/>
        </w:sectPr>
      </w:pPr>
    </w:p>
    <w:p>
      <w:pPr>
        <w:spacing w:after="0" w:line="26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530860</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16"/>
          <w:szCs w:val="16"/>
          <w:color w:val="auto"/>
        </w:rPr>
        <w:t>IN WITNESS WHEREOF, this Agreement has been duly executed as of the Effective Date.</w:t>
      </w:r>
    </w:p>
    <w:p>
      <w:pPr>
        <w:spacing w:after="0" w:line="354" w:lineRule="exact"/>
        <w:rPr>
          <w:sz w:val="20"/>
          <w:szCs w:val="20"/>
          <w:color w:val="auto"/>
        </w:rPr>
      </w:pPr>
    </w:p>
    <w:p>
      <w:pPr>
        <w:jc w:val="right"/>
        <w:ind w:right="1839"/>
        <w:spacing w:after="0"/>
        <w:rPr>
          <w:sz w:val="20"/>
          <w:szCs w:val="20"/>
          <w:color w:val="auto"/>
        </w:rPr>
      </w:pPr>
      <w:r>
        <w:rPr>
          <w:rFonts w:ascii="Times New Roman" w:cs="Times New Roman" w:eastAsia="Times New Roman" w:hAnsi="Times New Roman"/>
          <w:sz w:val="16"/>
          <w:szCs w:val="16"/>
          <w:b w:val="1"/>
          <w:bCs w:val="1"/>
          <w:color w:val="auto"/>
        </w:rPr>
        <w:t>CCC INTELLIGENT SOLUTIONS HOLDINGS INC.</w:t>
      </w:r>
    </w:p>
    <w:p>
      <w:pPr>
        <w:spacing w:after="0" w:line="35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6"/>
          <w:szCs w:val="16"/>
          <w:color w:val="auto"/>
        </w:rPr>
        <w:t>By: /s/ Githesh Ramamurthy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2892425</wp:posOffset>
            </wp:positionH>
            <wp:positionV relativeFrom="paragraph">
              <wp:posOffset>-4445</wp:posOffset>
            </wp:positionV>
            <wp:extent cx="170307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8">
                      <a:extLst>
                        <a:ext uri="{28A0092B-C50C-407E-A947-70E740481C1C}"/>
                      </a:extLst>
                    </a:blip>
                    <a:srcRect/>
                    <a:stretch>
                      <a:fillRect/>
                    </a:stretch>
                  </pic:blipFill>
                  <pic:spPr bwMode="auto">
                    <a:xfrm>
                      <a:off x="0" y="0"/>
                      <a:ext cx="1703070" cy="8890"/>
                    </a:xfrm>
                    <a:prstGeom prst="rect">
                      <a:avLst/>
                    </a:prstGeom>
                    <a:noFill/>
                  </pic:spPr>
                </pic:pic>
              </a:graphicData>
            </a:graphic>
          </wp:anchor>
        </w:drawing>
      </w:r>
    </w:p>
    <w:p>
      <w:pPr>
        <w:spacing w:after="0" w:line="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6"/>
          <w:szCs w:val="16"/>
          <w:color w:val="auto"/>
        </w:rPr>
        <w:t>Name: Githesh Ramamurthy</w:t>
      </w:r>
    </w:p>
    <w:p>
      <w:pPr>
        <w:spacing w:after="0" w:line="1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6"/>
          <w:szCs w:val="16"/>
          <w:color w:val="auto"/>
        </w:rPr>
        <w:t>Title: 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EXECUTIVE</w:t>
      </w:r>
    </w:p>
    <w:p>
      <w:pPr>
        <w:spacing w:after="0" w:line="200" w:lineRule="exact"/>
        <w:rPr>
          <w:sz w:val="20"/>
          <w:szCs w:val="20"/>
          <w:color w:val="auto"/>
        </w:rPr>
      </w:pPr>
    </w:p>
    <w:p>
      <w:pPr>
        <w:spacing w:after="0" w:line="29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6"/>
          <w:szCs w:val="16"/>
          <w:color w:val="auto"/>
        </w:rPr>
        <w:t>By:  /s/ Michael Silva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2943860</wp:posOffset>
            </wp:positionH>
            <wp:positionV relativeFrom="paragraph">
              <wp:posOffset>-4445</wp:posOffset>
            </wp:positionV>
            <wp:extent cx="144589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9">
                      <a:extLst>
                        <a:ext uri="{28A0092B-C50C-407E-A947-70E740481C1C}"/>
                      </a:extLst>
                    </a:blip>
                    <a:srcRect/>
                    <a:stretch>
                      <a:fillRect/>
                    </a:stretch>
                  </pic:blipFill>
                  <pic:spPr bwMode="auto">
                    <a:xfrm>
                      <a:off x="0" y="0"/>
                      <a:ext cx="1445895" cy="8255"/>
                    </a:xfrm>
                    <a:prstGeom prst="rect">
                      <a:avLst/>
                    </a:prstGeom>
                    <a:noFill/>
                  </pic:spPr>
                </pic:pic>
              </a:graphicData>
            </a:graphic>
          </wp:anchor>
        </w:drawing>
      </w:r>
    </w:p>
    <w:p>
      <w:pPr>
        <w:spacing w:after="0" w:line="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6"/>
          <w:szCs w:val="16"/>
          <w:color w:val="auto"/>
        </w:rPr>
        <w:t>Name: Michael Silva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6"/>
          <w:szCs w:val="16"/>
          <w:i w:val="1"/>
          <w:iCs w:val="1"/>
          <w:color w:val="auto"/>
        </w:rPr>
        <w:t>[Signature Page to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532130</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59"/>
          </w:cols>
          <w:pgMar w:left="500" w:top="1408" w:right="1440" w:bottom="1440" w:gutter="0" w:footer="0" w:header="0"/>
        </w:sectPr>
      </w:pPr>
    </w:p>
    <w:bookmarkStart w:id="127" w:name="page128"/>
    <w:bookmarkEnd w:id="127"/>
    <w:p>
      <w:pPr>
        <w:ind w:left="5160"/>
        <w:spacing w:after="0"/>
        <w:rPr>
          <w:sz w:val="20"/>
          <w:szCs w:val="20"/>
          <w:color w:val="auto"/>
        </w:rPr>
      </w:pPr>
      <w:r>
        <w:rPr>
          <w:rFonts w:ascii="Times New Roman" w:cs="Times New Roman" w:eastAsia="Times New Roman" w:hAnsi="Times New Roman"/>
          <w:sz w:val="16"/>
          <w:szCs w:val="16"/>
          <w:b w:val="1"/>
          <w:bCs w:val="1"/>
          <w:color w:val="auto"/>
        </w:rPr>
        <w:t>EXHIBIT A</w:t>
      </w:r>
    </w:p>
    <w:p>
      <w:pPr>
        <w:spacing w:after="0" w:line="2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b w:val="1"/>
          <w:bCs w:val="1"/>
          <w:u w:val="single" w:color="auto"/>
          <w:color w:val="auto"/>
        </w:rPr>
        <w:t>Employment Agreement</w:t>
      </w:r>
    </w:p>
    <w:p>
      <w:pPr>
        <w:spacing w:after="0" w:line="200" w:lineRule="exact"/>
        <w:rPr>
          <w:sz w:val="20"/>
          <w:szCs w:val="20"/>
          <w:color w:val="auto"/>
        </w:rPr>
      </w:pPr>
    </w:p>
    <w:p>
      <w:pPr>
        <w:spacing w:after="0" w:line="324"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6"/>
          <w:szCs w:val="16"/>
          <w:u w:val="single" w:color="auto"/>
          <w:color w:val="auto"/>
        </w:rPr>
        <w:t>Name of Executive</w:t>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Michael Silva</w:t>
      </w:r>
    </w:p>
    <w:p>
      <w:pPr>
        <w:spacing w:after="0" w:line="12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6"/>
          <w:szCs w:val="16"/>
          <w:u w:val="single" w:color="auto"/>
          <w:color w:val="auto"/>
        </w:rPr>
        <w:t>Title(s)</w:t>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Executive Vice President, Chief Commercial &amp; Customer Success Officer</w:t>
      </w:r>
    </w:p>
    <w:p>
      <w:pPr>
        <w:spacing w:after="0" w:line="12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6"/>
          <w:szCs w:val="16"/>
          <w:u w:val="single" w:color="auto"/>
          <w:color w:val="auto"/>
        </w:rPr>
        <w:t>Base Salary</w:t>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$450,000.00 per annum</w:t>
      </w:r>
    </w:p>
    <w:p>
      <w:pPr>
        <w:spacing w:after="0" w:line="12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u w:val="single" w:color="auto"/>
          <w:color w:val="auto"/>
        </w:rPr>
        <w:t>Performance-Based Bonus</w:t>
      </w:r>
      <w:r>
        <w:rPr>
          <w:rFonts w:ascii="Times New Roman" w:cs="Times New Roman" w:eastAsia="Times New Roman" w:hAnsi="Times New Roman"/>
          <w:sz w:val="16"/>
          <w:szCs w:val="16"/>
          <w:color w:val="auto"/>
        </w:rPr>
        <w:t>: Executive shall be eligible for an annual performance-based cash bonus of (a) for the 2022 fiscal year, 25%; and (b) for every other fiscal year during the Period of Employment, 50%, of the Executive’s then current Base Salary based on achievement of targets and/or other performance or personal objectives set by the Company with respect to each fiscal year, paid on a date no later than May 31 of the following fiscal year, subject to Executive’s employment through the last day of the fiscal year to which such bonus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840740</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20"/>
          <w:szCs w:val="20"/>
          <w:b w:val="1"/>
          <w:bCs w:val="1"/>
          <w:color w:val="auto"/>
        </w:rPr>
        <w:t>Exhibit 10.11</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FIRST AMENDMENT TO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EMPLOYMENT AGREEMENT</w:t>
      </w:r>
    </w:p>
    <w:p>
      <w:pPr>
        <w:spacing w:after="0" w:line="227" w:lineRule="exact"/>
        <w:rPr>
          <w:sz w:val="20"/>
          <w:szCs w:val="20"/>
          <w:color w:val="auto"/>
        </w:rPr>
      </w:pPr>
    </w:p>
    <w:p>
      <w:pPr>
        <w:jc w:val="both"/>
        <w:ind w:right="120" w:firstLine="749"/>
        <w:spacing w:after="0" w:line="281" w:lineRule="auto"/>
        <w:rPr>
          <w:sz w:val="20"/>
          <w:szCs w:val="20"/>
          <w:color w:val="auto"/>
        </w:rPr>
      </w:pPr>
      <w:r>
        <w:rPr>
          <w:rFonts w:ascii="Times New Roman" w:cs="Times New Roman" w:eastAsia="Times New Roman" w:hAnsi="Times New Roman"/>
          <w:sz w:val="16"/>
          <w:szCs w:val="16"/>
          <w:color w:val="auto"/>
        </w:rPr>
        <w:t>This First Amendment to the Employment Agreement (this “</w:t>
      </w:r>
      <w:r>
        <w:rPr>
          <w:rFonts w:ascii="Times New Roman" w:cs="Times New Roman" w:eastAsia="Times New Roman" w:hAnsi="Times New Roman"/>
          <w:sz w:val="16"/>
          <w:szCs w:val="16"/>
          <w:u w:val="single" w:color="auto"/>
          <w:color w:val="auto"/>
        </w:rPr>
        <w:t>Amendment</w:t>
      </w:r>
      <w:r>
        <w:rPr>
          <w:rFonts w:ascii="Times New Roman" w:cs="Times New Roman" w:eastAsia="Times New Roman" w:hAnsi="Times New Roman"/>
          <w:sz w:val="16"/>
          <w:szCs w:val="16"/>
          <w:color w:val="auto"/>
        </w:rPr>
        <w:t>”) is made and entered into on November 1, 2022 (the “</w:t>
      </w:r>
      <w:r>
        <w:rPr>
          <w:rFonts w:ascii="Times New Roman" w:cs="Times New Roman" w:eastAsia="Times New Roman" w:hAnsi="Times New Roman"/>
          <w:sz w:val="16"/>
          <w:szCs w:val="16"/>
          <w:u w:val="single" w:color="auto"/>
          <w:color w:val="auto"/>
        </w:rPr>
        <w:t>Effective Date</w:t>
      </w:r>
      <w:r>
        <w:rPr>
          <w:rFonts w:ascii="Times New Roman" w:cs="Times New Roman" w:eastAsia="Times New Roman" w:hAnsi="Times New Roman"/>
          <w:sz w:val="16"/>
          <w:szCs w:val="16"/>
          <w:color w:val="auto"/>
        </w:rPr>
        <w:t>”), by and between CCC Intelligent Solutions Holdings Inc., a Delaware corporation (together with any of its subsidiaries and affiliates as may employ Executive from time to time and any successor(s) thereto,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and Michael Silva (“</w:t>
      </w:r>
      <w:r>
        <w:rPr>
          <w:rFonts w:ascii="Times New Roman" w:cs="Times New Roman" w:eastAsia="Times New Roman" w:hAnsi="Times New Roman"/>
          <w:sz w:val="16"/>
          <w:szCs w:val="16"/>
          <w:u w:val="single" w:color="auto"/>
          <w:color w:val="auto"/>
        </w:rPr>
        <w:t>Executive</w:t>
      </w:r>
      <w:r>
        <w:rPr>
          <w:rFonts w:ascii="Times New Roman" w:cs="Times New Roman" w:eastAsia="Times New Roman" w:hAnsi="Times New Roman"/>
          <w:sz w:val="16"/>
          <w:szCs w:val="16"/>
          <w:color w:val="auto"/>
        </w:rPr>
        <w:t>”).</w:t>
      </w:r>
    </w:p>
    <w:p>
      <w:pPr>
        <w:spacing w:after="0" w:line="69" w:lineRule="exact"/>
        <w:rPr>
          <w:sz w:val="20"/>
          <w:szCs w:val="20"/>
          <w:color w:val="auto"/>
        </w:rPr>
      </w:pPr>
    </w:p>
    <w:p>
      <w:pPr>
        <w:ind w:right="160" w:firstLine="749"/>
        <w:spacing w:after="0" w:line="298" w:lineRule="auto"/>
        <w:rPr>
          <w:sz w:val="20"/>
          <w:szCs w:val="20"/>
          <w:color w:val="auto"/>
        </w:rPr>
      </w:pPr>
      <w:r>
        <w:rPr>
          <w:rFonts w:ascii="Times New Roman" w:cs="Times New Roman" w:eastAsia="Times New Roman" w:hAnsi="Times New Roman"/>
          <w:sz w:val="16"/>
          <w:szCs w:val="16"/>
          <w:color w:val="auto"/>
        </w:rPr>
        <w:t>WHEREAS, pursuant to that certain Employment Agreement, dated October 7, 2022 (the “Agreement”), by and between the parties hereto, the Executive is employed as Executive Vice President, Chief Commercial &amp; Customer Success Officer of the Company;</w:t>
      </w:r>
    </w:p>
    <w:p>
      <w:pPr>
        <w:spacing w:after="0" w:line="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WHEREAS, the Company and Executive hereby desire to amend the Relocation Section 3.6 of the Agreement on the terms and conditions hereinafter set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forth.</w:t>
      </w:r>
    </w:p>
    <w:p>
      <w:pPr>
        <w:spacing w:after="0" w:line="119" w:lineRule="exact"/>
        <w:rPr>
          <w:sz w:val="20"/>
          <w:szCs w:val="20"/>
          <w:color w:val="auto"/>
        </w:rPr>
      </w:pPr>
    </w:p>
    <w:p>
      <w:pPr>
        <w:ind w:right="140" w:firstLine="749"/>
        <w:spacing w:after="0" w:line="298" w:lineRule="auto"/>
        <w:rPr>
          <w:sz w:val="20"/>
          <w:szCs w:val="20"/>
          <w:color w:val="auto"/>
        </w:rPr>
      </w:pPr>
      <w:r>
        <w:rPr>
          <w:rFonts w:ascii="Times New Roman" w:cs="Times New Roman" w:eastAsia="Times New Roman" w:hAnsi="Times New Roman"/>
          <w:sz w:val="16"/>
          <w:szCs w:val="16"/>
          <w:color w:val="auto"/>
        </w:rPr>
        <w:t>NOW, THEREFORE, in consideration of the foregoing, and for other good and valuable consideration, including the respective covenants and agreements set forth below, the parties hereto agree as follows:</w:t>
      </w:r>
    </w:p>
    <w:p>
      <w:pPr>
        <w:spacing w:after="0" w:line="56" w:lineRule="exact"/>
        <w:rPr>
          <w:sz w:val="20"/>
          <w:szCs w:val="20"/>
          <w:color w:val="auto"/>
        </w:rPr>
      </w:pPr>
    </w:p>
    <w:p>
      <w:pPr>
        <w:ind w:left="760"/>
        <w:spacing w:after="0"/>
        <w:tabs>
          <w:tab w:leader="none" w:pos="1000" w:val="left"/>
        </w:tabs>
        <w:rPr>
          <w:sz w:val="20"/>
          <w:szCs w:val="20"/>
          <w:color w:val="auto"/>
        </w:rPr>
      </w:pPr>
      <w:r>
        <w:rPr>
          <w:rFonts w:ascii="Times New Roman" w:cs="Times New Roman" w:eastAsia="Times New Roman" w:hAnsi="Times New Roman"/>
          <w:sz w:val="16"/>
          <w:szCs w:val="16"/>
          <w:color w:val="auto"/>
        </w:rPr>
        <w:t>1.</w:t>
        <w:tab/>
        <w:t>Effective as of the Effective Date, Section 3.6 of the Agreement is hereby deleted in its entirety and replaced with the following:</w:t>
      </w:r>
    </w:p>
    <w:p>
      <w:pPr>
        <w:spacing w:after="0" w:line="127" w:lineRule="exact"/>
        <w:rPr>
          <w:sz w:val="20"/>
          <w:szCs w:val="20"/>
          <w:color w:val="auto"/>
        </w:rPr>
      </w:pPr>
    </w:p>
    <w:p>
      <w:pPr>
        <w:jc w:val="both"/>
        <w:ind w:left="760" w:right="740" w:firstLine="695"/>
        <w:spacing w:after="0" w:line="267" w:lineRule="auto"/>
        <w:rPr>
          <w:sz w:val="20"/>
          <w:szCs w:val="20"/>
          <w:color w:val="auto"/>
        </w:rPr>
      </w:pPr>
      <w:r>
        <w:rPr>
          <w:rFonts w:ascii="Times New Roman" w:cs="Times New Roman" w:eastAsia="Times New Roman" w:hAnsi="Times New Roman"/>
          <w:sz w:val="16"/>
          <w:szCs w:val="16"/>
          <w:color w:val="auto"/>
        </w:rPr>
        <w:t xml:space="preserve">3.6 </w:t>
      </w:r>
      <w:r>
        <w:rPr>
          <w:rFonts w:ascii="Times New Roman" w:cs="Times New Roman" w:eastAsia="Times New Roman" w:hAnsi="Times New Roman"/>
          <w:sz w:val="16"/>
          <w:szCs w:val="16"/>
          <w:u w:val="single" w:color="auto"/>
          <w:color w:val="auto"/>
        </w:rPr>
        <w:t>Relocation</w:t>
      </w:r>
      <w:r>
        <w:rPr>
          <w:rFonts w:ascii="Times New Roman" w:cs="Times New Roman" w:eastAsia="Times New Roman" w:hAnsi="Times New Roman"/>
          <w:sz w:val="16"/>
          <w:szCs w:val="16"/>
          <w:color w:val="auto"/>
        </w:rPr>
        <w:t>. Should Executive elect to relocate to Illinois, the Company will provide Executive with relocation benefits as follows: (a) a mover to move Executive’s personal goods and possession to Illinois, including one car; (b) prior to relocation, reasonable travel for relocation purposes and, until relocation is complete or the relocation benefits expire, for commuting between Executive’s New York home and Illinois, in line with Company travel policies (excepting the provisions disallowing commuting expenses); (c) the services of The Relocation Department, the Company’s corporate relocation partner, to provide corporate housing; (d) temporary corporate housing not to exceed a total of $42,000; (e) reimbursement of customary closing costs on Executive’s New York home and a new home in Illinois; and (f) IRS-related gross-up of all relocation-related costs that are considered compensation for commuting between Illinois and New York Executive shall work with The Relocation Department for the sale of their New York home. Relocation benefits must be used within the one-year period after the Start Date. Upon voluntary resignation from the Company within 18 months after the Start Date, Executive will promptly reimburse the Company for all reimbursed relocation costs and gross-up amounts.</w:t>
      </w:r>
    </w:p>
    <w:p>
      <w:pPr>
        <w:spacing w:after="0" w:line="86" w:lineRule="exact"/>
        <w:rPr>
          <w:sz w:val="20"/>
          <w:szCs w:val="20"/>
          <w:color w:val="auto"/>
        </w:rPr>
      </w:pPr>
    </w:p>
    <w:p>
      <w:pPr>
        <w:jc w:val="both"/>
        <w:ind w:firstLine="757"/>
        <w:spacing w:after="0" w:line="281" w:lineRule="auto"/>
        <w:tabs>
          <w:tab w:leader="none" w:pos="1018"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expressly modified therein, all of the terms and conditions of the Agreement shall remain in full force and are hereby ratified and confirmed. In the event that there is any conflict between the terms and conditions of this Amendment and the terms and conditions of the Agreement, the terms and conditions of this Amendment shall prevail.</w:t>
      </w:r>
    </w:p>
    <w:p>
      <w:pPr>
        <w:spacing w:after="0" w:line="69" w:lineRule="exact"/>
        <w:rPr>
          <w:rFonts w:ascii="Times New Roman" w:cs="Times New Roman" w:eastAsia="Times New Roman" w:hAnsi="Times New Roman"/>
          <w:sz w:val="16"/>
          <w:szCs w:val="16"/>
          <w:color w:val="auto"/>
        </w:rPr>
      </w:pPr>
    </w:p>
    <w:p>
      <w:pPr>
        <w:ind w:left="1020" w:hanging="263"/>
        <w:spacing w:after="0"/>
        <w:tabs>
          <w:tab w:leader="none" w:pos="102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capitalized terms used in this Amendment and not otherwise defined in this Amendment have the meaning assigned to them in the Agreement.</w:t>
      </w:r>
    </w:p>
    <w:p>
      <w:pPr>
        <w:spacing w:after="0" w:line="200" w:lineRule="exact"/>
        <w:rPr>
          <w:sz w:val="20"/>
          <w:szCs w:val="20"/>
          <w:color w:val="auto"/>
        </w:rPr>
      </w:pPr>
    </w:p>
    <w:p>
      <w:pPr>
        <w:spacing w:after="0" w:line="2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IN WITNESS WHEREOF, this Amendment has been duly executed as of the Effective Date.</w:t>
      </w:r>
    </w:p>
    <w:p>
      <w:pPr>
        <w:spacing w:after="0" w:line="35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b w:val="1"/>
          <w:bCs w:val="1"/>
          <w:color w:val="auto"/>
        </w:rPr>
        <w:t>CCC INTELLIGENT SOLUTIONS HOLDINGS INC.</w:t>
      </w:r>
    </w:p>
    <w:p>
      <w:pPr>
        <w:spacing w:after="0" w:line="35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By: /s/ Githesh Ramamurthy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3032125</wp:posOffset>
            </wp:positionH>
            <wp:positionV relativeFrom="paragraph">
              <wp:posOffset>-4445</wp:posOffset>
            </wp:positionV>
            <wp:extent cx="147129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2">
                      <a:extLst>
                        <a:ext uri="{28A0092B-C50C-407E-A947-70E740481C1C}"/>
                      </a:extLst>
                    </a:blip>
                    <a:srcRect/>
                    <a:stretch>
                      <a:fillRect/>
                    </a:stretch>
                  </pic:blipFill>
                  <pic:spPr bwMode="auto">
                    <a:xfrm>
                      <a:off x="0" y="0"/>
                      <a:ext cx="1471295" cy="8255"/>
                    </a:xfrm>
                    <a:prstGeom prst="rect">
                      <a:avLst/>
                    </a:prstGeom>
                    <a:noFill/>
                  </pic:spPr>
                </pic:pic>
              </a:graphicData>
            </a:graphic>
          </wp:anchor>
        </w:drawing>
      </w:r>
    </w:p>
    <w:p>
      <w:pPr>
        <w:spacing w:after="0" w:line="6" w:lineRule="exact"/>
        <w:rPr>
          <w:sz w:val="20"/>
          <w:szCs w:val="20"/>
          <w:color w:val="auto"/>
        </w:rPr>
      </w:pPr>
    </w:p>
    <w:p>
      <w:pPr>
        <w:ind w:left="4500"/>
        <w:spacing w:after="0"/>
        <w:tabs>
          <w:tab w:leader="none" w:pos="5120" w:val="left"/>
        </w:tabs>
        <w:rPr>
          <w:sz w:val="20"/>
          <w:szCs w:val="20"/>
          <w:color w:val="auto"/>
        </w:rPr>
      </w:pPr>
      <w:r>
        <w:rPr>
          <w:rFonts w:ascii="Times New Roman" w:cs="Times New Roman" w:eastAsia="Times New Roman" w:hAnsi="Times New Roman"/>
          <w:sz w:val="16"/>
          <w:szCs w:val="16"/>
          <w:color w:val="auto"/>
        </w:rPr>
        <w:t>Name:</w:t>
        <w:tab/>
        <w:t>Githesh Ramamurthy</w:t>
      </w:r>
    </w:p>
    <w:p>
      <w:pPr>
        <w:spacing w:after="0" w:line="19" w:lineRule="exact"/>
        <w:rPr>
          <w:sz w:val="20"/>
          <w:szCs w:val="20"/>
          <w:color w:val="auto"/>
        </w:rPr>
      </w:pPr>
    </w:p>
    <w:p>
      <w:pPr>
        <w:ind w:left="4500"/>
        <w:spacing w:after="0"/>
        <w:tabs>
          <w:tab w:leader="none" w:pos="512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6"/>
          <w:szCs w:val="16"/>
          <w:color w:val="auto"/>
        </w:rPr>
        <w:t>Chairman and Chief Executive Officer</w:t>
      </w:r>
    </w:p>
    <w:p>
      <w:pPr>
        <w:spacing w:after="0" w:line="200" w:lineRule="exact"/>
        <w:rPr>
          <w:sz w:val="20"/>
          <w:szCs w:val="20"/>
          <w:color w:val="auto"/>
        </w:rPr>
      </w:pPr>
    </w:p>
    <w:p>
      <w:pPr>
        <w:spacing w:after="0" w:line="28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b w:val="1"/>
          <w:bCs w:val="1"/>
          <w:color w:val="auto"/>
        </w:rPr>
        <w:t>EXECUTIVE</w:t>
      </w:r>
    </w:p>
    <w:p>
      <w:pPr>
        <w:spacing w:after="0" w:line="200" w:lineRule="exact"/>
        <w:rPr>
          <w:sz w:val="20"/>
          <w:szCs w:val="20"/>
          <w:color w:val="auto"/>
        </w:rPr>
      </w:pPr>
    </w:p>
    <w:p>
      <w:pPr>
        <w:spacing w:after="0" w:line="29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By: /s/ Michael Silva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3032125</wp:posOffset>
            </wp:positionH>
            <wp:positionV relativeFrom="paragraph">
              <wp:posOffset>-4445</wp:posOffset>
            </wp:positionV>
            <wp:extent cx="147129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3">
                      <a:extLst>
                        <a:ext uri="{28A0092B-C50C-407E-A947-70E740481C1C}"/>
                      </a:extLst>
                    </a:blip>
                    <a:srcRect/>
                    <a:stretch>
                      <a:fillRect/>
                    </a:stretch>
                  </pic:blipFill>
                  <pic:spPr bwMode="auto">
                    <a:xfrm>
                      <a:off x="0" y="0"/>
                      <a:ext cx="1471295" cy="8255"/>
                    </a:xfrm>
                    <a:prstGeom prst="rect">
                      <a:avLst/>
                    </a:prstGeom>
                    <a:noFill/>
                  </pic:spPr>
                </pic:pic>
              </a:graphicData>
            </a:graphic>
          </wp:anchor>
        </w:drawing>
      </w:r>
    </w:p>
    <w:p>
      <w:pPr>
        <w:spacing w:after="0" w:line="6" w:lineRule="exact"/>
        <w:rPr>
          <w:sz w:val="20"/>
          <w:szCs w:val="20"/>
          <w:color w:val="auto"/>
        </w:rPr>
      </w:pPr>
    </w:p>
    <w:p>
      <w:pPr>
        <w:ind w:left="4500"/>
        <w:spacing w:after="0"/>
        <w:tabs>
          <w:tab w:leader="none" w:pos="5120" w:val="left"/>
        </w:tabs>
        <w:rPr>
          <w:sz w:val="20"/>
          <w:szCs w:val="20"/>
          <w:color w:val="auto"/>
        </w:rPr>
      </w:pPr>
      <w:r>
        <w:rPr>
          <w:rFonts w:ascii="Times New Roman" w:cs="Times New Roman" w:eastAsia="Times New Roman" w:hAnsi="Times New Roman"/>
          <w:sz w:val="16"/>
          <w:szCs w:val="16"/>
          <w:color w:val="auto"/>
        </w:rPr>
        <w:t>Name:</w:t>
        <w:tab/>
        <w:t>Michael Silva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894715</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6"/>
          <w:szCs w:val="16"/>
          <w:b w:val="1"/>
          <w:bCs w:val="1"/>
          <w:color w:val="auto"/>
        </w:rPr>
        <w:t>Exhibit 21.1</w:t>
      </w:r>
    </w:p>
    <w:p>
      <w:pPr>
        <w:spacing w:after="0" w:line="237"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6"/>
          <w:szCs w:val="16"/>
          <w:color w:val="auto"/>
        </w:rPr>
        <w:t>Subsidiaries of CCC Intelligent Solutions Holdings Inc.</w:t>
      </w:r>
    </w:p>
    <w:p>
      <w:pPr>
        <w:spacing w:after="0" w:line="235" w:lineRule="exact"/>
        <w:rPr>
          <w:sz w:val="20"/>
          <w:szCs w:val="20"/>
          <w:color w:val="auto"/>
        </w:rPr>
      </w:pPr>
    </w:p>
    <w:p>
      <w:pPr>
        <w:ind w:right="300" w:firstLine="464"/>
        <w:spacing w:after="0" w:line="298" w:lineRule="auto"/>
        <w:rPr>
          <w:sz w:val="20"/>
          <w:szCs w:val="20"/>
          <w:color w:val="auto"/>
        </w:rPr>
      </w:pPr>
      <w:r>
        <w:rPr>
          <w:rFonts w:ascii="Times New Roman" w:cs="Times New Roman" w:eastAsia="Times New Roman" w:hAnsi="Times New Roman"/>
          <w:sz w:val="16"/>
          <w:szCs w:val="16"/>
          <w:color w:val="auto"/>
        </w:rPr>
        <w:t>Pursuant to Item 601(b)(21)(ii) of Regulation S-K, certain subsidiaries of the Registrant which, considered in the aggregate as a single subsidiary, would not have constituted a significant subsidiary (as defined in Rule 1-02(w) of Regulation S-X) have been omitted.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82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State or Other Jurisdiction</w:t>
            </w:r>
          </w:p>
        </w:tc>
      </w:tr>
      <w:tr>
        <w:trPr>
          <w:trHeight w:val="135"/>
        </w:trPr>
        <w:tc>
          <w:tcPr>
            <w:tcW w:w="9820" w:type="dxa"/>
            <w:vAlign w:val="bottom"/>
          </w:tcPr>
          <w:p>
            <w:pPr>
              <w:spacing w:after="0"/>
              <w:rPr>
                <w:sz w:val="11"/>
                <w:szCs w:val="11"/>
                <w:color w:val="auto"/>
              </w:rPr>
            </w:pPr>
          </w:p>
        </w:tc>
        <w:tc>
          <w:tcPr>
            <w:tcW w:w="14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of Incorporation or</w:t>
            </w:r>
          </w:p>
        </w:tc>
      </w:tr>
      <w:tr>
        <w:trPr>
          <w:trHeight w:val="167"/>
        </w:trPr>
        <w:tc>
          <w:tcPr>
            <w:tcW w:w="9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Name</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Organization</w:t>
            </w:r>
          </w:p>
        </w:tc>
      </w:tr>
      <w:tr>
        <w:trPr>
          <w:trHeight w:val="209"/>
        </w:trPr>
        <w:tc>
          <w:tcPr>
            <w:tcW w:w="9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Cypress Intermediate Holdings, Inc., f/k/a Cypress Holdings, Inc.</w:t>
            </w: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Cypress Intermediate Holdings II, Inc.</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CCC Intelligent Solutions Inc.</w:t>
            </w: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Auto Injury Solutions, Inc.</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Delaware</w:t>
            </w:r>
          </w:p>
        </w:tc>
      </w:tr>
      <w:tr>
        <w:trPr>
          <w:trHeight w:val="985"/>
        </w:trPr>
        <w:tc>
          <w:tcPr>
            <w:tcW w:w="98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0"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6"/>
          <w:szCs w:val="16"/>
          <w:color w:val="auto"/>
        </w:rPr>
        <w:t>Exhibit 23.1</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CONSENT OF INDEPENDENT REGISTERED PUBLIC ACCOUNTING FIRM</w:t>
      </w:r>
    </w:p>
    <w:p>
      <w:pPr>
        <w:spacing w:after="0" w:line="356"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6"/>
          <w:szCs w:val="16"/>
          <w:color w:val="auto"/>
        </w:rPr>
        <w:t>We consent to the incorporation by reference in Registration Statement No. 333-260256 on Form S-8 and No.333-267793 on Form S-3 of our reports dated February 28, 2024, relating to the financial statements of CCC Intelligent Solutions Holdings Inc. and subsidiaries (the “Company”) and the effectiveness of the Company’s internal control over financial reporting, appearing in this Annual Report on Form 10-K for the year ended December 31, 2023.</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Deloitte &amp; Touche LLP</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Chicago, IL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620395</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6"/>
          <w:szCs w:val="16"/>
          <w:color w:val="auto"/>
        </w:rPr>
        <w:t>Exhibit 31.1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Certification of Principal Executive Officer Pursuant to Exchange</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Act Rule 13a-14(a)/15d-14(a) as Adopted Pursuant to Section 302 of the Sarbanes-Oxley Act of 2002</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Githesh Ramamurthy, certify that:</w:t>
      </w:r>
    </w:p>
    <w:p>
      <w:pPr>
        <w:spacing w:after="0" w:line="154" w:lineRule="exact"/>
        <w:rPr>
          <w:sz w:val="20"/>
          <w:szCs w:val="20"/>
          <w:color w:val="auto"/>
        </w:rPr>
      </w:pPr>
    </w:p>
    <w:p>
      <w:pPr>
        <w:ind w:left="1140" w:hanging="563"/>
        <w:spacing w:after="0"/>
        <w:tabs>
          <w:tab w:leader="none" w:pos="114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CCC Intelligent Solutions Holdings Inc.;</w:t>
      </w:r>
    </w:p>
    <w:p>
      <w:pPr>
        <w:spacing w:after="0" w:line="153" w:lineRule="exact"/>
        <w:rPr>
          <w:rFonts w:ascii="Times New Roman" w:cs="Times New Roman" w:eastAsia="Times New Roman" w:hAnsi="Times New Roman"/>
          <w:sz w:val="16"/>
          <w:szCs w:val="16"/>
          <w:color w:val="auto"/>
        </w:rPr>
      </w:pPr>
    </w:p>
    <w:p>
      <w:pPr>
        <w:ind w:left="1140" w:right="220" w:hanging="563"/>
        <w:spacing w:after="0" w:line="298" w:lineRule="auto"/>
        <w:tabs>
          <w:tab w:leader="none" w:pos="114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Times New Roman" w:cs="Times New Roman" w:eastAsia="Times New Roman" w:hAnsi="Times New Roman"/>
          <w:sz w:val="16"/>
          <w:szCs w:val="16"/>
          <w:color w:val="auto"/>
        </w:rPr>
      </w:pPr>
    </w:p>
    <w:p>
      <w:pPr>
        <w:ind w:left="1140" w:right="20" w:hanging="563"/>
        <w:spacing w:after="0" w:line="298" w:lineRule="auto"/>
        <w:tabs>
          <w:tab w:leader="none" w:pos="114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Times New Roman" w:cs="Times New Roman" w:eastAsia="Times New Roman" w:hAnsi="Times New Roman"/>
          <w:sz w:val="16"/>
          <w:szCs w:val="16"/>
          <w:color w:val="auto"/>
        </w:rPr>
      </w:pPr>
    </w:p>
    <w:p>
      <w:pPr>
        <w:ind w:left="1140" w:right="160" w:hanging="563"/>
        <w:spacing w:after="0" w:line="281" w:lineRule="auto"/>
        <w:tabs>
          <w:tab w:leader="none" w:pos="114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rFonts w:ascii="Times New Roman" w:cs="Times New Roman" w:eastAsia="Times New Roman" w:hAnsi="Times New Roman"/>
          <w:sz w:val="16"/>
          <w:szCs w:val="16"/>
          <w:color w:val="auto"/>
        </w:rPr>
      </w:pPr>
    </w:p>
    <w:p>
      <w:pPr>
        <w:ind w:left="1620" w:right="440" w:hanging="459"/>
        <w:spacing w:after="0" w:line="281" w:lineRule="auto"/>
        <w:tabs>
          <w:tab w:leader="none" w:pos="1620" w:val="left"/>
        </w:tabs>
        <w:numPr>
          <w:ilvl w:val="1"/>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6"/>
          <w:szCs w:val="16"/>
          <w:color w:val="auto"/>
        </w:rPr>
      </w:pPr>
    </w:p>
    <w:p>
      <w:pPr>
        <w:ind w:left="1620" w:right="160" w:hanging="459"/>
        <w:spacing w:after="0" w:line="281" w:lineRule="auto"/>
        <w:tabs>
          <w:tab w:leader="none" w:pos="1620" w:val="left"/>
        </w:tabs>
        <w:numPr>
          <w:ilvl w:val="1"/>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Times New Roman" w:cs="Times New Roman" w:eastAsia="Times New Roman" w:hAnsi="Times New Roman"/>
          <w:sz w:val="16"/>
          <w:szCs w:val="16"/>
          <w:color w:val="auto"/>
        </w:rPr>
      </w:pPr>
    </w:p>
    <w:p>
      <w:pPr>
        <w:ind w:left="1620" w:right="20" w:hanging="459"/>
        <w:spacing w:after="0" w:line="298" w:lineRule="auto"/>
        <w:tabs>
          <w:tab w:leader="none" w:pos="1620" w:val="left"/>
        </w:tabs>
        <w:numPr>
          <w:ilvl w:val="1"/>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1" w:lineRule="exact"/>
        <w:rPr>
          <w:rFonts w:ascii="Times New Roman" w:cs="Times New Roman" w:eastAsia="Times New Roman" w:hAnsi="Times New Roman"/>
          <w:sz w:val="16"/>
          <w:szCs w:val="16"/>
          <w:color w:val="auto"/>
        </w:rPr>
      </w:pPr>
    </w:p>
    <w:p>
      <w:pPr>
        <w:ind w:left="1620" w:right="400" w:hanging="459"/>
        <w:spacing w:after="0" w:line="298" w:lineRule="auto"/>
        <w:tabs>
          <w:tab w:leader="none" w:pos="1620" w:val="left"/>
        </w:tabs>
        <w:numPr>
          <w:ilvl w:val="1"/>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6"/>
          <w:szCs w:val="16"/>
          <w:color w:val="auto"/>
        </w:rPr>
      </w:pPr>
    </w:p>
    <w:p>
      <w:pPr>
        <w:ind w:left="1140" w:right="560" w:hanging="563"/>
        <w:spacing w:after="0" w:line="298" w:lineRule="auto"/>
        <w:tabs>
          <w:tab w:leader="none" w:pos="114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1" w:lineRule="exact"/>
        <w:rPr>
          <w:rFonts w:ascii="Times New Roman" w:cs="Times New Roman" w:eastAsia="Times New Roman" w:hAnsi="Times New Roman"/>
          <w:sz w:val="16"/>
          <w:szCs w:val="16"/>
          <w:color w:val="auto"/>
        </w:rPr>
      </w:pPr>
    </w:p>
    <w:p>
      <w:pPr>
        <w:ind w:left="1620" w:right="340" w:hanging="459"/>
        <w:spacing w:after="0" w:line="298" w:lineRule="auto"/>
        <w:tabs>
          <w:tab w:leader="none" w:pos="1620" w:val="left"/>
        </w:tabs>
        <w:numPr>
          <w:ilvl w:val="1"/>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1" w:lineRule="exact"/>
        <w:rPr>
          <w:rFonts w:ascii="Times New Roman" w:cs="Times New Roman" w:eastAsia="Times New Roman" w:hAnsi="Times New Roman"/>
          <w:sz w:val="16"/>
          <w:szCs w:val="16"/>
          <w:color w:val="auto"/>
        </w:rPr>
      </w:pPr>
    </w:p>
    <w:p>
      <w:pPr>
        <w:ind w:left="1620" w:right="320" w:hanging="459"/>
        <w:spacing w:after="0" w:line="298" w:lineRule="auto"/>
        <w:tabs>
          <w:tab w:leader="none" w:pos="1620" w:val="left"/>
        </w:tabs>
        <w:numPr>
          <w:ilvl w:val="1"/>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 February 28, 2024</w:t>
      </w:r>
    </w:p>
    <w:p>
      <w:pPr>
        <w:spacing w:after="0" w:line="32"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6"/>
          <w:szCs w:val="16"/>
          <w:color w:val="auto"/>
        </w:rPr>
        <w:t>/s/ Githesh Ramamurthy</w:t>
      </w:r>
    </w:p>
    <w:p>
      <w:pPr>
        <w:spacing w:after="0" w:line="46"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6"/>
          <w:szCs w:val="16"/>
          <w:color w:val="auto"/>
        </w:rPr>
        <w:t>Name: Githesh Ramamurthy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-116205</wp:posOffset>
            </wp:positionV>
            <wp:extent cx="192024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8">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2"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6"/>
          <w:szCs w:val="16"/>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633730</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132" w:name="page133"/>
    <w:bookmarkEnd w:id="132"/>
    <w:p>
      <w:pPr>
        <w:ind w:left="10360"/>
        <w:spacing w:after="0"/>
        <w:rPr>
          <w:sz w:val="20"/>
          <w:szCs w:val="20"/>
          <w:color w:val="auto"/>
        </w:rPr>
      </w:pPr>
      <w:r>
        <w:rPr>
          <w:rFonts w:ascii="Times New Roman" w:cs="Times New Roman" w:eastAsia="Times New Roman" w:hAnsi="Times New Roman"/>
          <w:sz w:val="16"/>
          <w:szCs w:val="16"/>
          <w:color w:val="auto"/>
        </w:rPr>
        <w:t>Exhibit 31.2</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Certification of Principal Financial Officer Pursuant to Exchange Act Rule</w:t>
      </w:r>
    </w:p>
    <w:p>
      <w:pPr>
        <w:spacing w:after="0" w:line="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13a-14(a)/15d-14(a) as Adopted Pursuant to Section 302 of the Sarbanes-</w:t>
      </w:r>
    </w:p>
    <w:p>
      <w:pPr>
        <w:spacing w:after="0" w:line="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Oxley Act of 2002</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Brian Herb, certify that:</w:t>
      </w:r>
    </w:p>
    <w:p>
      <w:pPr>
        <w:spacing w:after="0" w:line="140" w:lineRule="exact"/>
        <w:rPr>
          <w:sz w:val="20"/>
          <w:szCs w:val="20"/>
          <w:color w:val="auto"/>
        </w:rPr>
      </w:pPr>
    </w:p>
    <w:p>
      <w:pPr>
        <w:ind w:left="1140" w:hanging="563"/>
        <w:spacing w:after="0"/>
        <w:tabs>
          <w:tab w:leader="none" w:pos="114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CCC Intelligent Solutions Holdings Inc.;</w:t>
      </w:r>
    </w:p>
    <w:p>
      <w:pPr>
        <w:spacing w:after="0" w:line="140" w:lineRule="exact"/>
        <w:rPr>
          <w:rFonts w:ascii="Times New Roman" w:cs="Times New Roman" w:eastAsia="Times New Roman" w:hAnsi="Times New Roman"/>
          <w:sz w:val="16"/>
          <w:szCs w:val="16"/>
          <w:color w:val="auto"/>
        </w:rPr>
      </w:pPr>
    </w:p>
    <w:p>
      <w:pPr>
        <w:ind w:left="1140" w:right="200" w:hanging="563"/>
        <w:spacing w:after="0" w:line="298" w:lineRule="auto"/>
        <w:tabs>
          <w:tab w:leader="none" w:pos="114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6"/>
          <w:szCs w:val="16"/>
          <w:color w:val="auto"/>
        </w:rPr>
      </w:pPr>
    </w:p>
    <w:p>
      <w:pPr>
        <w:ind w:left="1140" w:hanging="563"/>
        <w:spacing w:after="0" w:line="298" w:lineRule="auto"/>
        <w:tabs>
          <w:tab w:leader="none" w:pos="114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Times New Roman" w:cs="Times New Roman" w:eastAsia="Times New Roman" w:hAnsi="Times New Roman"/>
          <w:sz w:val="16"/>
          <w:szCs w:val="16"/>
          <w:color w:val="auto"/>
        </w:rPr>
      </w:pPr>
    </w:p>
    <w:p>
      <w:pPr>
        <w:ind w:left="1140" w:right="140" w:hanging="563"/>
        <w:spacing w:after="0" w:line="281" w:lineRule="auto"/>
        <w:tabs>
          <w:tab w:leader="none" w:pos="114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rFonts w:ascii="Times New Roman" w:cs="Times New Roman" w:eastAsia="Times New Roman" w:hAnsi="Times New Roman"/>
          <w:sz w:val="16"/>
          <w:szCs w:val="16"/>
          <w:color w:val="auto"/>
        </w:rPr>
      </w:pPr>
    </w:p>
    <w:p>
      <w:pPr>
        <w:ind w:left="1620" w:right="420" w:hanging="459"/>
        <w:spacing w:after="0" w:line="281" w:lineRule="auto"/>
        <w:tabs>
          <w:tab w:leader="none" w:pos="1620" w:val="left"/>
        </w:tabs>
        <w:numPr>
          <w:ilvl w:val="1"/>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Times New Roman" w:cs="Times New Roman" w:eastAsia="Times New Roman" w:hAnsi="Times New Roman"/>
          <w:sz w:val="16"/>
          <w:szCs w:val="16"/>
          <w:color w:val="auto"/>
        </w:rPr>
      </w:pPr>
    </w:p>
    <w:p>
      <w:pPr>
        <w:ind w:left="1620" w:right="140" w:hanging="459"/>
        <w:spacing w:after="0" w:line="281" w:lineRule="auto"/>
        <w:tabs>
          <w:tab w:leader="none" w:pos="1620" w:val="left"/>
        </w:tabs>
        <w:numPr>
          <w:ilvl w:val="1"/>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0" w:lineRule="exact"/>
        <w:rPr>
          <w:rFonts w:ascii="Times New Roman" w:cs="Times New Roman" w:eastAsia="Times New Roman" w:hAnsi="Times New Roman"/>
          <w:sz w:val="16"/>
          <w:szCs w:val="16"/>
          <w:color w:val="auto"/>
        </w:rPr>
      </w:pPr>
    </w:p>
    <w:p>
      <w:pPr>
        <w:ind w:left="1620" w:hanging="459"/>
        <w:spacing w:after="0" w:line="298" w:lineRule="auto"/>
        <w:tabs>
          <w:tab w:leader="none" w:pos="1620" w:val="left"/>
        </w:tabs>
        <w:numPr>
          <w:ilvl w:val="1"/>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Times New Roman" w:cs="Times New Roman" w:eastAsia="Times New Roman" w:hAnsi="Times New Roman"/>
          <w:sz w:val="16"/>
          <w:szCs w:val="16"/>
          <w:color w:val="auto"/>
        </w:rPr>
      </w:pPr>
    </w:p>
    <w:p>
      <w:pPr>
        <w:ind w:left="1620" w:right="380" w:hanging="459"/>
        <w:spacing w:after="0" w:line="298" w:lineRule="auto"/>
        <w:tabs>
          <w:tab w:leader="none" w:pos="1620" w:val="left"/>
        </w:tabs>
        <w:numPr>
          <w:ilvl w:val="1"/>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6"/>
          <w:szCs w:val="16"/>
          <w:color w:val="auto"/>
        </w:rPr>
      </w:pPr>
    </w:p>
    <w:p>
      <w:pPr>
        <w:ind w:left="1140" w:right="540" w:hanging="563"/>
        <w:spacing w:after="0" w:line="298" w:lineRule="auto"/>
        <w:tabs>
          <w:tab w:leader="none" w:pos="114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7" w:lineRule="exact"/>
        <w:rPr>
          <w:rFonts w:ascii="Times New Roman" w:cs="Times New Roman" w:eastAsia="Times New Roman" w:hAnsi="Times New Roman"/>
          <w:sz w:val="16"/>
          <w:szCs w:val="16"/>
          <w:color w:val="auto"/>
        </w:rPr>
      </w:pPr>
    </w:p>
    <w:p>
      <w:pPr>
        <w:ind w:left="1620" w:right="320" w:hanging="459"/>
        <w:spacing w:after="0" w:line="298" w:lineRule="auto"/>
        <w:tabs>
          <w:tab w:leader="none" w:pos="1620" w:val="left"/>
        </w:tabs>
        <w:numPr>
          <w:ilvl w:val="1"/>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Times New Roman" w:cs="Times New Roman" w:eastAsia="Times New Roman" w:hAnsi="Times New Roman"/>
          <w:sz w:val="16"/>
          <w:szCs w:val="16"/>
          <w:color w:val="auto"/>
        </w:rPr>
      </w:pPr>
    </w:p>
    <w:p>
      <w:pPr>
        <w:ind w:left="1620" w:right="300" w:hanging="459"/>
        <w:spacing w:after="0" w:line="298" w:lineRule="auto"/>
        <w:tabs>
          <w:tab w:leader="none" w:pos="1620" w:val="left"/>
        </w:tabs>
        <w:numPr>
          <w:ilvl w:val="1"/>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Date: February 28, 2024</w:t>
      </w:r>
    </w:p>
    <w:p>
      <w:pPr>
        <w:spacing w:after="0" w:line="32"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6"/>
          <w:szCs w:val="16"/>
          <w:color w:val="auto"/>
        </w:rPr>
        <w:t>/s/ Brian Herb</w:t>
      </w:r>
    </w:p>
    <w:p>
      <w:pPr>
        <w:spacing w:after="0" w:line="46"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6"/>
          <w:szCs w:val="16"/>
          <w:color w:val="auto"/>
        </w:rPr>
        <w:t>Name: Brian Herb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-116205</wp:posOffset>
            </wp:positionV>
            <wp:extent cx="198882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0">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12"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6"/>
          <w:szCs w:val="16"/>
          <w:color w:val="auto"/>
        </w:rPr>
        <w:t>Title: Executive Vice President, Chief</w:t>
      </w:r>
    </w:p>
    <w:p>
      <w:pPr>
        <w:spacing w:after="0" w:line="32"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6"/>
          <w:szCs w:val="16"/>
          <w:color w:val="auto"/>
        </w:rPr>
        <w:t>Financial and Administrative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633730</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4" w:right="35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6"/>
          <w:szCs w:val="16"/>
          <w:color w:val="auto"/>
        </w:rPr>
        <w:t>Exhibit 32.1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Certification of Principal Executive Officer Pursuant to 18 U.S.C.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Section 1350 as Adopted Pursuant to Section 906 of the Sarbanes- Oxley Act of 2002</w:t>
      </w:r>
    </w:p>
    <w:p>
      <w:pPr>
        <w:spacing w:after="0" w:line="213" w:lineRule="exact"/>
        <w:rPr>
          <w:sz w:val="20"/>
          <w:szCs w:val="20"/>
          <w:color w:val="auto"/>
        </w:rPr>
      </w:pPr>
    </w:p>
    <w:p>
      <w:pPr>
        <w:ind w:right="280"/>
        <w:spacing w:after="0" w:line="298" w:lineRule="auto"/>
        <w:rPr>
          <w:sz w:val="20"/>
          <w:szCs w:val="20"/>
          <w:color w:val="auto"/>
        </w:rPr>
      </w:pPr>
      <w:r>
        <w:rPr>
          <w:rFonts w:ascii="Times New Roman" w:cs="Times New Roman" w:eastAsia="Times New Roman" w:hAnsi="Times New Roman"/>
          <w:sz w:val="16"/>
          <w:szCs w:val="16"/>
          <w:color w:val="auto"/>
        </w:rPr>
        <w:t>Pursuant to 18 U.S.C. Section 1350, as adopted pursuant to Section 906 of the Sarbanes-Oxley Act of 2002, I, Githesh Ramamurthy, the Chief Executive Officer of CCC Intelligent Solutions Holdings Inc. (the “Company”), hereby certify, that, to my knowledge:</w:t>
      </w:r>
    </w:p>
    <w:p>
      <w:pPr>
        <w:spacing w:after="0" w:line="70" w:lineRule="exact"/>
        <w:rPr>
          <w:sz w:val="20"/>
          <w:szCs w:val="20"/>
          <w:color w:val="auto"/>
        </w:rPr>
      </w:pPr>
    </w:p>
    <w:p>
      <w:pPr>
        <w:ind w:left="1140" w:right="160" w:hanging="563"/>
        <w:spacing w:after="0" w:line="298" w:lineRule="auto"/>
        <w:tabs>
          <w:tab w:leader="none" w:pos="114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Annual Report on Form 10-K for the year ended December 31, 2023 (the “Report”) of the Company fully complies with the requirements of Section 13(a) or 15(d) of the Securities Exchange Act of 1934; and</w:t>
      </w:r>
    </w:p>
    <w:p>
      <w:pPr>
        <w:spacing w:after="0" w:line="56" w:lineRule="exact"/>
        <w:rPr>
          <w:rFonts w:ascii="Times New Roman" w:cs="Times New Roman" w:eastAsia="Times New Roman" w:hAnsi="Times New Roman"/>
          <w:sz w:val="16"/>
          <w:szCs w:val="16"/>
          <w:color w:val="auto"/>
        </w:rPr>
      </w:pPr>
    </w:p>
    <w:p>
      <w:pPr>
        <w:ind w:left="1140" w:hanging="563"/>
        <w:spacing w:after="0"/>
        <w:tabs>
          <w:tab w:leader="none" w:pos="114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21"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6"/>
          <w:szCs w:val="16"/>
          <w:color w:val="auto"/>
        </w:rPr>
        <w:t>Date: February 28, 2024</w:t>
      </w:r>
      <w:r>
        <w:rPr>
          <w:sz w:val="20"/>
          <w:szCs w:val="20"/>
          <w:color w:val="auto"/>
        </w:rPr>
        <w:tab/>
      </w:r>
      <w:r>
        <w:rPr>
          <w:rFonts w:ascii="Times New Roman" w:cs="Times New Roman" w:eastAsia="Times New Roman" w:hAnsi="Times New Roman"/>
          <w:sz w:val="16"/>
          <w:szCs w:val="16"/>
          <w:color w:val="auto"/>
        </w:rPr>
        <w:t>/s/ Githesh Ramamurthy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29210</wp:posOffset>
            </wp:positionV>
            <wp:extent cx="354901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2">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3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6"/>
          <w:szCs w:val="16"/>
          <w:color w:val="auto"/>
        </w:rPr>
        <w:t>Name: Githesh Ramamurthy</w:t>
      </w:r>
    </w:p>
    <w:p>
      <w:pPr>
        <w:spacing w:after="0" w:line="3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6"/>
          <w:szCs w:val="16"/>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633730</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6"/>
          <w:szCs w:val="16"/>
          <w:color w:val="auto"/>
        </w:rPr>
        <w:t>Exhibit 32.2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Certification of Principal Financial Officer Pursuant to 18 U.S.C.</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Section 1350 as Adopted Pursuant to Section 906 of the Sarbanes- Oxley Act of 2002</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Pursuant to 18 U.S.C. Section 1350, as adopted pursuant to Section 906 of the Sarbanes-Oxley Act of 2002, I, Brian Herb, the Executive Vice President, Chief Financial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Administrative Officer of CCC Intelligent Solutions Holdings Inc. (the “Company”), hereby certify, that, to my knowledge:</w:t>
      </w:r>
    </w:p>
    <w:p>
      <w:pPr>
        <w:spacing w:after="0" w:line="240" w:lineRule="exact"/>
        <w:rPr>
          <w:sz w:val="20"/>
          <w:szCs w:val="20"/>
          <w:color w:val="auto"/>
        </w:rPr>
      </w:pPr>
    </w:p>
    <w:p>
      <w:pPr>
        <w:ind w:left="1140" w:right="160" w:hanging="563"/>
        <w:spacing w:after="0" w:line="298" w:lineRule="auto"/>
        <w:tabs>
          <w:tab w:leader="none" w:pos="114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Annual Report on Form 10-K for the year ended December 31, 2023 (the “Report”) of the Company fully complies with the requirements of Section 13(a) or 15(d) of the Securities Exchange Act of 1934; and</w:t>
      </w:r>
    </w:p>
    <w:p>
      <w:pPr>
        <w:spacing w:after="0" w:line="56" w:lineRule="exact"/>
        <w:rPr>
          <w:rFonts w:ascii="Times New Roman" w:cs="Times New Roman" w:eastAsia="Times New Roman" w:hAnsi="Times New Roman"/>
          <w:sz w:val="16"/>
          <w:szCs w:val="16"/>
          <w:color w:val="auto"/>
        </w:rPr>
      </w:pPr>
    </w:p>
    <w:p>
      <w:pPr>
        <w:ind w:left="1140" w:hanging="563"/>
        <w:spacing w:after="0"/>
        <w:tabs>
          <w:tab w:leader="none" w:pos="114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 February 28, 2024</w:t>
      </w:r>
    </w:p>
    <w:p>
      <w:pPr>
        <w:spacing w:after="0" w:line="4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/s/ Brian Herb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29210</wp:posOffset>
            </wp:positionV>
            <wp:extent cx="356616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Name: Brian Herb</w:t>
      </w:r>
    </w:p>
    <w:p>
      <w:pPr>
        <w:spacing w:after="0" w:line="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Title: Executive Vice President, Chief</w:t>
      </w:r>
    </w:p>
    <w:p>
      <w:pPr>
        <w:spacing w:after="0" w:line="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Financial and Administrative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633730</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color w:val="auto"/>
        </w:rPr>
        <w:t>Exhibit 97</w:t>
      </w:r>
    </w:p>
    <w:p>
      <w:pPr>
        <w:spacing w:after="0" w:line="117" w:lineRule="exact"/>
        <w:rPr>
          <w:sz w:val="20"/>
          <w:szCs w:val="20"/>
          <w:color w:val="auto"/>
        </w:rPr>
      </w:pPr>
    </w:p>
    <w:p>
      <w:pPr>
        <w:ind w:left="4760" w:right="3620" w:hanging="1128"/>
        <w:spacing w:after="0" w:line="407" w:lineRule="auto"/>
        <w:tabs>
          <w:tab w:leader="none" w:pos="402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INTELLIGENT SOLUTIONS HOLDINGS INC. CLAWBACK POLICY</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PURPOSE</w:t>
      </w:r>
    </w:p>
    <w:p>
      <w:pPr>
        <w:spacing w:after="0" w:line="129" w:lineRule="exact"/>
        <w:rPr>
          <w:sz w:val="20"/>
          <w:szCs w:val="20"/>
          <w:color w:val="auto"/>
        </w:rPr>
      </w:pPr>
    </w:p>
    <w:p>
      <w:pPr>
        <w:ind w:right="40" w:firstLine="8"/>
        <w:spacing w:after="0" w:line="271" w:lineRule="auto"/>
        <w:tabs>
          <w:tab w:leader="none" w:pos="365"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Intelligent Solutions Holdings Inc., a Delaware corporation (the “Company”), believes that it is in the best interests of the Company and its shareholders to create and maintain a culture that emphasizes integrity and accountability and that reinforces the Company’s pay-for-performance compensation philosophy. The Company’s Board of Directors (the “Board”) has therefore adopted this policy, which provides for the recoupment of certain executive compensation in the event that the Company is required to prepare an accounting restatement of its financial statements due to material noncompliance with any financial reporting requirement under the federal securities laws (this “Policy”). This Policy is designed to comply with Section 10D of the Securities Exchange Act of 1934, as amended (the “Exchange Act”), the rules promulgated thereunder, and the listing standards of the national securities exchange on which the Company’s securities are listed.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ADMINISTRATION</w:t>
      </w:r>
    </w:p>
    <w:p>
      <w:pPr>
        <w:spacing w:after="0" w:line="129" w:lineRule="exact"/>
        <w:rPr>
          <w:sz w:val="20"/>
          <w:szCs w:val="20"/>
          <w:color w:val="auto"/>
        </w:rPr>
      </w:pPr>
    </w:p>
    <w:p>
      <w:pPr>
        <w:ind w:right="320"/>
        <w:spacing w:after="0" w:line="298" w:lineRule="auto"/>
        <w:rPr>
          <w:sz w:val="20"/>
          <w:szCs w:val="20"/>
          <w:color w:val="auto"/>
        </w:rPr>
      </w:pPr>
      <w:r>
        <w:rPr>
          <w:rFonts w:ascii="Times New Roman" w:cs="Times New Roman" w:eastAsia="Times New Roman" w:hAnsi="Times New Roman"/>
          <w:sz w:val="16"/>
          <w:szCs w:val="16"/>
          <w:color w:val="auto"/>
        </w:rPr>
        <w:t>This Policy shall be administered by the Human Capital and Compensation Committee of the Board (the “Compensation Committee”). Any determinations made by the Compensation Committee shall be final and binding on all affected individuals.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COVERED EXECUTIVES</w:t>
      </w:r>
    </w:p>
    <w:p>
      <w:pPr>
        <w:spacing w:after="0" w:line="129"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6"/>
          <w:szCs w:val="16"/>
          <w:color w:val="auto"/>
        </w:rPr>
        <w:t>This Policy applies to the Company’s current and former executive officers (as determined by the Compensation Committee in accordance with Section 10D of the Exchange Act, the rules promulgated thereunder, and the listing standards of the national securities exchange on which the Company’s securities are listed) and such other senior executives or employees who may from time to time be deemed subject to this Policy by the Compensation Committee (collectively, the “Covered Executives”). This Policy shall be binding and enforceable against all Covered Executives.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RECOUPMENT; ACCOUNTING RESTATEMENT</w:t>
      </w:r>
    </w:p>
    <w:p>
      <w:pPr>
        <w:spacing w:after="0" w:line="129"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6"/>
          <w:szCs w:val="16"/>
          <w:color w:val="auto"/>
        </w:rPr>
        <w:t>In the event that the Company is required to prepare an accounting restatement of its financial statements due to the Company’s material noncompliance with any financial reporting requirement under the securities laws, including (i) any required accounting restatement to correct an error in previously issued financial statements that is material to the previously issued financial statements, or (ii) that would result in a material misstatement if the error were corrected in the current period or left uncorrected in the current period (each an “Accounting Restatement”), the Compensation Committee will reasonably promptly require reimbursement or forfeiture of the Overpayment (as defined below) received by any Covered Executive (x) after beginning service as a Covered Executive, (y) who served as a Covered Executive at any time during the performance period for the applicable Incentive-Based Compensation (as defined below), and (z) during the three (3) completed fiscal years immediately preceding the date on which the Company is required to prepare an Accounting Restatement and any transition period (that results from a change in the Company’s fiscal year) within or immediately following those three (3) completed fiscal years.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INCENTIVE-BASED COMPENSATION</w:t>
      </w:r>
    </w:p>
    <w:p>
      <w:pPr>
        <w:spacing w:after="0" w:line="129"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16"/>
          <w:szCs w:val="16"/>
          <w:color w:val="auto"/>
        </w:rPr>
        <w:t>For purposes of this Policy, “Incentive-Based Compensation” means any compensation that is granted, earned, or vested based wholly or in part upon the attainment of a financial reporting measure, including, but not limited to: (i) non-equity incentive plan awards that are earned solely or in part by satisfying a financial reporting measure performance goal; (ii) bonuses paid from a bonus pool, where the size of the pool is determined solely or in part by satisfying a financial reporting measure performance goal; (iii) other cash awards based on satisfaction of a financial reporting measure performance goal; (iv) restricted stock, restricted stock units, stock options, stock appreciation rights, and performance share units that are granted or vest solely or in part based on satisfaction of a financial reporting measure performance goal; and (v) proceeds from the sale of shares acquired through an incentive plan that were granted or vested solely or in part based on satisfaction of a financial reporting measure performance goal.</w:t>
      </w:r>
    </w:p>
    <w:p>
      <w:pPr>
        <w:spacing w:after="0" w:line="82"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6"/>
          <w:szCs w:val="16"/>
          <w:color w:val="auto"/>
        </w:rPr>
        <w:t>Compensation that would not be considered Incentive-Based Compensation includes, but is not limited to: (i) salaries; (ii) bonuses paid solely based on satisfaction of subjective standards, such as demonstrating leadership, and/or completion of a specified employment period; (iii) non-equity incentive plan awards earned solely based on satisfaction of strategic or operational measures; (iv) wholly time-based equity awards; and (v) discretionary bonuses or other compensation that is not paid from a bonus pool that is determined by satisfying a financial reporting measure performance goal.</w:t>
      </w:r>
    </w:p>
    <w:p>
      <w:pPr>
        <w:spacing w:after="0" w:line="75"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6"/>
          <w:szCs w:val="16"/>
          <w:color w:val="auto"/>
        </w:rPr>
        <w:t>A financial reporting measure is: (i) any measure that is determined and presented in accordance with the accounting principles used in preparing financial statements, or any measure derived wholly or in part from such measure, such as revenues, EBITDA, or net income or (ii) stock price and total shareholder return. Financial reporting measures include, but are not limited to: revenues; net income; operating income; profitability of one or more reportable segments; financial ratios (e.g., accounts receivable turnover and inventory turnover rates); net assets or net asset value per share; earnings before interest, taxes, depreciation and amortization; funds from operations and adjusted funds from operations; liquidity measures (e.g., working capital, operating cash flow); return measures (e.g., return on invested capital, return on assets); earnings measures (e.g., earnings per share); sales per square foot or same store sales, where sales is subject to an accounting restatement; revenue per user, or average revenue per user, where revenue is subject to an accounting restatement; cost per employee, where cost is subject to an accounting restatement; any of such financial reporting measures relative to a peer group, where the Company’s financial reporting measure is subject to an accounting restatement; and tax basis income.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OVERPAYMENT: AMOUNT SUBJECT TO RECOVERY</w:t>
      </w:r>
    </w:p>
    <w:p>
      <w:pPr>
        <w:spacing w:after="0" w:line="129"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6"/>
          <w:szCs w:val="16"/>
          <w:color w:val="auto"/>
        </w:rPr>
        <w:t>The amount to be recovered will be the amount of Incentive-Based Compensation received that exceeds the amount of Incentive-Based Compensation that otherwise would have been received had it been determined based on the restated amounts, and must be computed without regard to any taxes paid (the “Overpayment”). Incentive-Based Compensation is deemed “received” in the Company’s fiscal period during which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451485</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6" w:name="page137"/>
    <w:bookmarkEnd w:id="136"/>
    <w:p>
      <w:pPr>
        <w:ind w:right="420"/>
        <w:spacing w:after="0" w:line="298" w:lineRule="auto"/>
        <w:rPr>
          <w:sz w:val="20"/>
          <w:szCs w:val="20"/>
          <w:color w:val="auto"/>
        </w:rPr>
      </w:pPr>
      <w:r>
        <w:rPr>
          <w:rFonts w:ascii="Times New Roman" w:cs="Times New Roman" w:eastAsia="Times New Roman" w:hAnsi="Times New Roman"/>
          <w:sz w:val="16"/>
          <w:szCs w:val="16"/>
          <w:color w:val="auto"/>
        </w:rPr>
        <w:t>financial reporting measure specified in the incentive-based compensation award is attained, even if the vesting, payment or grant of the incentive-based compensation occurs after the end of that period.</w:t>
      </w:r>
    </w:p>
    <w:p>
      <w:pPr>
        <w:spacing w:after="0" w:line="56"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6"/>
          <w:szCs w:val="16"/>
          <w:color w:val="auto"/>
        </w:rPr>
        <w:t>For Incentive-Based Compensation based on stock price or total shareholder return, where the amount of erroneously awarded compensation is not subject to mathematical recalculation directly from the information in the Accounting Restatement, the amount must be based on a reasonable estimate of the effect of the Accounting Restatement on the stock price or total shareholder return upon which the Incentive-Based Compensation was received, and the Company must maintain documentation of the determination of that reasonable estimate and provide such documentation to the exchange on which the Company’s securities are listed.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METHOD OF RECOUPMENT</w:t>
      </w:r>
    </w:p>
    <w:p>
      <w:pPr>
        <w:spacing w:after="0" w:line="129" w:lineRule="exact"/>
        <w:rPr>
          <w:sz w:val="20"/>
          <w:szCs w:val="20"/>
          <w:color w:val="auto"/>
        </w:rPr>
      </w:pPr>
    </w:p>
    <w:p>
      <w:pPr>
        <w:ind w:right="660"/>
        <w:spacing w:after="0" w:line="298" w:lineRule="auto"/>
        <w:rPr>
          <w:sz w:val="20"/>
          <w:szCs w:val="20"/>
          <w:color w:val="auto"/>
        </w:rPr>
      </w:pPr>
      <w:r>
        <w:rPr>
          <w:rFonts w:ascii="Times New Roman" w:cs="Times New Roman" w:eastAsia="Times New Roman" w:hAnsi="Times New Roman"/>
          <w:sz w:val="16"/>
          <w:szCs w:val="16"/>
          <w:color w:val="auto"/>
        </w:rPr>
        <w:t>The Compensation Committee will determine, in its sole discretion, the method or methods for recouping any Overpayment hereunder which may include, without limitation:</w:t>
      </w:r>
    </w:p>
    <w:p>
      <w:pPr>
        <w:spacing w:after="0" w:line="56" w:lineRule="exact"/>
        <w:rPr>
          <w:sz w:val="20"/>
          <w:szCs w:val="20"/>
          <w:color w:val="auto"/>
        </w:rPr>
      </w:pPr>
    </w:p>
    <w:p>
      <w:pPr>
        <w:ind w:left="1020" w:hanging="503"/>
        <w:spacing w:after="0"/>
        <w:tabs>
          <w:tab w:leader="none" w:pos="102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requiring reimbursement of cash Incentive-Based Compensation previously paid;</w:t>
      </w:r>
    </w:p>
    <w:p>
      <w:pPr>
        <w:spacing w:after="0" w:line="126" w:lineRule="exact"/>
        <w:rPr>
          <w:rFonts w:ascii="Times New Roman" w:cs="Times New Roman" w:eastAsia="Times New Roman" w:hAnsi="Times New Roman"/>
          <w:sz w:val="16"/>
          <w:szCs w:val="16"/>
          <w:color w:val="auto"/>
        </w:rPr>
      </w:pPr>
    </w:p>
    <w:p>
      <w:pPr>
        <w:ind w:left="1020" w:right="20" w:hanging="503"/>
        <w:spacing w:after="0" w:line="298" w:lineRule="auto"/>
        <w:tabs>
          <w:tab w:leader="none" w:pos="102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seeking recovery of any gain realized on the vesting, exercise, settlement, sale, transfer, or other disposition of any equity-based awards granted as Incentive-Based Compensation;</w:t>
      </w:r>
    </w:p>
    <w:p>
      <w:pPr>
        <w:spacing w:after="0" w:line="5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offsetting any or all of the Overpayment from any compensation otherwise owed by the Company to the Covered Executive;</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cancelling outstanding vested or unvested equity awards; and/or</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taking any other remedial or recovery action permitted by law, as determined by the Compensation Committee.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LIMITATION ON RECOVERY; NO ADDITIONAL PAYMENTS</w:t>
      </w:r>
    </w:p>
    <w:p>
      <w:pPr>
        <w:spacing w:after="0" w:line="129" w:lineRule="exact"/>
        <w:rPr>
          <w:sz w:val="20"/>
          <w:szCs w:val="20"/>
          <w:color w:val="auto"/>
        </w:rPr>
      </w:pPr>
    </w:p>
    <w:p>
      <w:pPr>
        <w:ind w:right="320" w:firstLine="324"/>
        <w:spacing w:after="0" w:line="275" w:lineRule="auto"/>
        <w:rPr>
          <w:sz w:val="20"/>
          <w:szCs w:val="20"/>
          <w:color w:val="auto"/>
        </w:rPr>
      </w:pPr>
      <w:r>
        <w:rPr>
          <w:rFonts w:ascii="Times New Roman" w:cs="Times New Roman" w:eastAsia="Times New Roman" w:hAnsi="Times New Roman"/>
          <w:sz w:val="16"/>
          <w:szCs w:val="16"/>
          <w:color w:val="auto"/>
        </w:rPr>
        <w:t>The right to recovery will be limited to Overpayments received during the three (3) completed fiscal years prior to the date on which the Company is required to prepare an Accounting Restatement and any transition period (that results from a change in the Company’s fiscal year) within or immediately following those three (3) completed fiscal years. In no event shall the Company be required to award Covered Executives an additional payment if the restated or accurate financial results would have resulted in a higher Incentive-Based Compensation payment.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 INDEMNIFICATION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shall not indemnify any Covered Executives against the loss of any incorrectly awarded Incentive-Based Compensation.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INTERPRETATION</w:t>
      </w:r>
    </w:p>
    <w:p>
      <w:pPr>
        <w:spacing w:after="0" w:line="129"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6"/>
          <w:szCs w:val="16"/>
          <w:color w:val="auto"/>
        </w:rPr>
        <w:t>The Compensation Committee is authorized to interpret and construe this Policy and to make all determinations necessary, appropriate, or advisable for the administration of this Policy. It is intended that this Policy be interpreted in a manner that is consistent with the requirements of Section 10D of the Exchange Act and the applicable rules or standards adopted by the Securities and Exchange Commission or any national securities exchange on which the Company’s securities are listed.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EFFECTIVE DATE</w:t>
      </w:r>
    </w:p>
    <w:p>
      <w:pPr>
        <w:spacing w:after="0" w:line="129"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6"/>
          <w:szCs w:val="16"/>
          <w:color w:val="auto"/>
        </w:rPr>
        <w:t>This Policy shall be effective as of the date it is adopted by the Board (the “Effective Date”) and shall apply to Incentive-Based Compensation (including Incentive-Based Compensation granted pursuant to arrangements existing prior to the Effective Date). Notwithstanding the foregoing, this Policy shall only apply to Incentive-Based Compensation received (as determined pursuant to this Policy) on or after the effective date of NASDAQ Listing Rule 5608.</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AMENDMENT; TERMINATION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Board may amend this Policy from time to time in its discretion. The Board may terminate this Policy at any time.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RECOUPMENT RIGHTS</w:t>
      </w:r>
    </w:p>
    <w:p>
      <w:pPr>
        <w:spacing w:after="0" w:line="129" w:lineRule="exact"/>
        <w:rPr>
          <w:sz w:val="20"/>
          <w:szCs w:val="20"/>
          <w:color w:val="auto"/>
        </w:rPr>
      </w:pPr>
    </w:p>
    <w:p>
      <w:pPr>
        <w:ind w:firstLine="324"/>
        <w:spacing w:after="0" w:line="272" w:lineRule="auto"/>
        <w:rPr>
          <w:sz w:val="20"/>
          <w:szCs w:val="20"/>
          <w:color w:val="auto"/>
        </w:rPr>
      </w:pPr>
      <w:r>
        <w:rPr>
          <w:rFonts w:ascii="Times New Roman" w:cs="Times New Roman" w:eastAsia="Times New Roman" w:hAnsi="Times New Roman"/>
          <w:sz w:val="16"/>
          <w:szCs w:val="16"/>
          <w:color w:val="auto"/>
        </w:rPr>
        <w:t>The Board intends that this Policy will be applied to the fullest extent of the law. The Compensation Committee may require that any employment or service agreement, cash-based bonus plan or program, equity award agreement, or similar agreement entered into on or after the adoption of this Policy shall, as a condition to the grant of any benefit thereunder, require a Covered Executive to agree to abide by the terms of this Policy. Any right of recoupment under this Policy is in addition to, and not in lieu of, any other remedies or rights of recoupment that may be available to the Company pursuant to the terms of any similar policy in any employment agreement, equity award agreement, cash-based bonus plan or program, or similar agreement and any other legal remedies available to the Company.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IMPRACTICABILITY</w:t>
      </w:r>
    </w:p>
    <w:p>
      <w:pPr>
        <w:spacing w:after="0" w:line="129" w:lineRule="exact"/>
        <w:rPr>
          <w:sz w:val="20"/>
          <w:szCs w:val="20"/>
          <w:color w:val="auto"/>
        </w:rPr>
      </w:pPr>
    </w:p>
    <w:p>
      <w:pPr>
        <w:ind w:right="520"/>
        <w:spacing w:after="0" w:line="298" w:lineRule="auto"/>
        <w:rPr>
          <w:sz w:val="20"/>
          <w:szCs w:val="20"/>
          <w:color w:val="auto"/>
        </w:rPr>
      </w:pPr>
      <w:r>
        <w:rPr>
          <w:rFonts w:ascii="Times New Roman" w:cs="Times New Roman" w:eastAsia="Times New Roman" w:hAnsi="Times New Roman"/>
          <w:sz w:val="16"/>
          <w:szCs w:val="16"/>
          <w:color w:val="auto"/>
        </w:rPr>
        <w:t>The Compensation Committee shall recover any Overpayment in accordance with this Policy except to the extent that the Compensation Committee determines such recovery would be impracticable because:</w:t>
      </w:r>
    </w:p>
    <w:p>
      <w:pPr>
        <w:spacing w:after="0" w:line="56" w:lineRule="exact"/>
        <w:rPr>
          <w:sz w:val="20"/>
          <w:szCs w:val="20"/>
          <w:color w:val="auto"/>
        </w:rPr>
      </w:pPr>
    </w:p>
    <w:p>
      <w:pPr>
        <w:ind w:left="280" w:hanging="272"/>
        <w:spacing w:after="0"/>
        <w:tabs>
          <w:tab w:leader="none" w:pos="28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 expense paid to a third party to assist in enforcing this Policy would exceed the amount to be recovered;</w:t>
      </w:r>
    </w:p>
    <w:p>
      <w:pPr>
        <w:spacing w:after="0" w:line="126"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Recovery would violate home country law of the Company where that law was adopted prior to November 28, 2022; or</w:t>
      </w:r>
    </w:p>
    <w:p>
      <w:pPr>
        <w:spacing w:after="0" w:line="126" w:lineRule="exact"/>
        <w:rPr>
          <w:rFonts w:ascii="Times New Roman" w:cs="Times New Roman" w:eastAsia="Times New Roman" w:hAnsi="Times New Roman"/>
          <w:sz w:val="16"/>
          <w:szCs w:val="16"/>
          <w:color w:val="auto"/>
        </w:rPr>
      </w:pPr>
    </w:p>
    <w:p>
      <w:pPr>
        <w:ind w:right="300" w:firstLine="8"/>
        <w:spacing w:after="0" w:line="298" w:lineRule="auto"/>
        <w:tabs>
          <w:tab w:leader="none" w:pos="256"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Recovery would likely cause an otherwise tax-qualified retirement plan, under which benefits are broadly available to employees of the Company, to fail to meet the requirements of 26 U.S.C. 401(a)(13) or 26 U.S.C. 411(a) and regulations thereunder.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SUCCESSORS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Policy shall be binding and enforceable against all Covered Executives and their beneficiaries, heirs, executors, administrators or other legal representatives.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693420</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6"/>
          <w:szCs w:val="16"/>
          <w:i w:val="1"/>
          <w:iCs w:val="1"/>
          <w:color w:val="auto"/>
        </w:rPr>
        <w:t>Adopted by the Human Capital and Compensation Committee on October 18,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488950</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80" w:right="1440" w:bottom="1440" w:gutter="0" w:footer="0" w:header="0"/>
        </w:sectPr>
      </w:pPr>
    </w:p>
    <w:bookmarkStart w:id="138" w:name="page139"/>
    <w:bookmarkEnd w:id="13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C6A529"/>
    <w:multiLevelType w:val="hybridMultilevel"/>
    <w:lvl w:ilvl="0">
      <w:lvlJc w:val="left"/>
      <w:lvlText w:val="☒"/>
      <w:numFmt w:val="bullet"/>
      <w:start w:val="1"/>
    </w:lvl>
  </w:abstractNum>
  <w:abstractNum w:abstractNumId="1">
    <w:nsid w:val="520EEDD1"/>
    <w:multiLevelType w:val="hybridMultilevel"/>
    <w:lvl w:ilvl="0">
      <w:lvlJc w:val="left"/>
      <w:lvlText w:val="☐"/>
      <w:numFmt w:val="bullet"/>
      <w:start w:val="1"/>
    </w:lvl>
  </w:abstractNum>
  <w:abstractNum w:abstractNumId="2">
    <w:nsid w:val="374A3FE6"/>
    <w:multiLevelType w:val="hybridMultilevel"/>
    <w:lvl w:ilvl="0">
      <w:lvlJc w:val="left"/>
      <w:lvlText w:val="•"/>
      <w:numFmt w:val="bullet"/>
      <w:start w:val="1"/>
    </w:lvl>
  </w:abstractNum>
  <w:abstractNum w:abstractNumId="3">
    <w:nsid w:val="4F4EF005"/>
    <w:multiLevelType w:val="hybridMultilevel"/>
    <w:lvl w:ilvl="0">
      <w:lvlJc w:val="left"/>
      <w:lvlText w:val="•"/>
      <w:numFmt w:val="bullet"/>
      <w:start w:val="1"/>
    </w:lvl>
  </w:abstractNum>
  <w:abstractNum w:abstractNumId="4">
    <w:nsid w:val="23F9C13C"/>
    <w:multiLevelType w:val="hybridMultilevel"/>
    <w:lvl w:ilvl="0">
      <w:lvlJc w:val="left"/>
      <w:lvlText w:val="•"/>
      <w:numFmt w:val="bullet"/>
      <w:start w:val="1"/>
    </w:lvl>
  </w:abstractNum>
  <w:abstractNum w:abstractNumId="5">
    <w:nsid w:val="649BB77C"/>
    <w:multiLevelType w:val="hybridMultilevel"/>
    <w:lvl w:ilvl="0">
      <w:lvlJc w:val="left"/>
      <w:lvlText w:val="•"/>
      <w:numFmt w:val="bullet"/>
      <w:start w:val="1"/>
    </w:lvl>
  </w:abstractNum>
  <w:abstractNum w:abstractNumId="6">
    <w:nsid w:val="275AC794"/>
    <w:multiLevelType w:val="hybridMultilevel"/>
    <w:lvl w:ilvl="0">
      <w:lvlJc w:val="left"/>
      <w:lvlText w:val="•"/>
      <w:numFmt w:val="bullet"/>
      <w:start w:val="1"/>
    </w:lvl>
  </w:abstractNum>
  <w:abstractNum w:abstractNumId="7">
    <w:nsid w:val="39386575"/>
    <w:multiLevelType w:val="hybridMultilevel"/>
    <w:lvl w:ilvl="0">
      <w:lvlJc w:val="left"/>
      <w:lvlText w:val="•"/>
      <w:numFmt w:val="bullet"/>
      <w:start w:val="1"/>
    </w:lvl>
  </w:abstractNum>
  <w:abstractNum w:abstractNumId="8">
    <w:nsid w:val="1CF10FD8"/>
    <w:multiLevelType w:val="hybridMultilevel"/>
    <w:lvl w:ilvl="0">
      <w:lvlJc w:val="left"/>
      <w:lvlText w:val="%1"/>
      <w:numFmt w:val="upperLetter"/>
      <w:start w:val="54"/>
    </w:lvl>
    <w:lvl w:ilvl="1">
      <w:lvlJc w:val="left"/>
      <w:lvlText w:val="•"/>
      <w:numFmt w:val="bullet"/>
      <w:start w:val="1"/>
    </w:lvl>
  </w:abstractNum>
  <w:abstractNum w:abstractNumId="9">
    <w:nsid w:val="180115BE"/>
    <w:multiLevelType w:val="hybridMultilevel"/>
    <w:lvl w:ilvl="0">
      <w:lvlJc w:val="left"/>
      <w:lvlText w:val="•"/>
      <w:numFmt w:val="bullet"/>
      <w:start w:val="1"/>
    </w:lvl>
  </w:abstractNum>
  <w:abstractNum w:abstractNumId="10">
    <w:nsid w:val="235BA861"/>
    <w:multiLevelType w:val="hybridMultilevel"/>
    <w:lvl w:ilvl="0">
      <w:lvlJc w:val="left"/>
      <w:lvlText w:val="%1"/>
      <w:numFmt w:val="upperLetter"/>
      <w:start w:val="55"/>
    </w:lvl>
    <w:lvl w:ilvl="1">
      <w:lvlJc w:val="left"/>
      <w:lvlText w:val="•"/>
      <w:numFmt w:val="bullet"/>
      <w:start w:val="1"/>
    </w:lvl>
    <w:lvl w:ilvl="2">
      <w:lvlJc w:val="left"/>
      <w:lvlText w:val="%3"/>
      <w:numFmt w:val="upperLetter"/>
      <w:start w:val="1"/>
    </w:lvl>
  </w:abstractNum>
  <w:abstractNum w:abstractNumId="11">
    <w:nsid w:val="47398C89"/>
    <w:multiLevelType w:val="hybridMultilevel"/>
    <w:lvl w:ilvl="0">
      <w:lvlJc w:val="left"/>
      <w:lvlText w:val="%1"/>
      <w:numFmt w:val="upperLetter"/>
      <w:start w:val="55"/>
    </w:lvl>
    <w:lvl w:ilvl="1">
      <w:lvlJc w:val="left"/>
      <w:lvlText w:val="%2"/>
      <w:numFmt w:val="upperLetter"/>
      <w:start w:val="1"/>
    </w:lvl>
  </w:abstractNum>
  <w:abstractNum w:abstractNumId="12">
    <w:nsid w:val="354FE9F9"/>
    <w:multiLevelType w:val="hybridMultilevel"/>
    <w:lvl w:ilvl="0">
      <w:lvlJc w:val="left"/>
      <w:lvlText w:val="•"/>
      <w:numFmt w:val="bullet"/>
      <w:start w:val="1"/>
    </w:lvl>
    <w:lvl w:ilvl="1">
      <w:lvlJc w:val="left"/>
      <w:lvlText w:val="%2"/>
      <w:numFmt w:val="upperLetter"/>
      <w:start w:val="55"/>
    </w:lvl>
  </w:abstractNum>
  <w:abstractNum w:abstractNumId="13">
    <w:nsid w:val="15B5AF5C"/>
    <w:multiLevelType w:val="hybridMultilevel"/>
    <w:lvl w:ilvl="0">
      <w:lvlJc w:val="left"/>
      <w:lvlText w:val="•"/>
      <w:numFmt w:val="bullet"/>
      <w:start w:val="1"/>
    </w:lvl>
  </w:abstractNum>
  <w:abstractNum w:abstractNumId="14">
    <w:nsid w:val="741226BB"/>
    <w:multiLevelType w:val="hybridMultilevel"/>
    <w:lvl w:ilvl="0">
      <w:lvlJc w:val="left"/>
      <w:lvlText w:val="%1"/>
      <w:numFmt w:val="upperLetter"/>
      <w:start w:val="55"/>
    </w:lvl>
  </w:abstractNum>
  <w:abstractNum w:abstractNumId="15">
    <w:nsid w:val="D34B6A8"/>
    <w:multiLevelType w:val="hybridMultilevel"/>
    <w:lvl w:ilvl="0">
      <w:lvlJc w:val="left"/>
      <w:lvlText w:val="•"/>
      <w:numFmt w:val="bullet"/>
      <w:start w:val="1"/>
    </w:lvl>
  </w:abstractNum>
  <w:abstractNum w:abstractNumId="16">
    <w:nsid w:val="10233C99"/>
    <w:multiLevelType w:val="hybridMultilevel"/>
    <w:lvl w:ilvl="0">
      <w:lvlJc w:val="left"/>
      <w:lvlText w:val="\endash "/>
      <w:numFmt w:val="bullet"/>
      <w:start w:val="1"/>
    </w:lvl>
  </w:abstractNum>
  <w:abstractNum w:abstractNumId="17">
    <w:nsid w:val="3F6AB60F"/>
    <w:multiLevelType w:val="hybridMultilevel"/>
    <w:lvl w:ilvl="0">
      <w:lvlJc w:val="left"/>
      <w:lvlText w:val="•"/>
      <w:numFmt w:val="bullet"/>
      <w:start w:val="1"/>
    </w:lvl>
  </w:abstractNum>
  <w:abstractNum w:abstractNumId="18">
    <w:nsid w:val="61574095"/>
    <w:multiLevelType w:val="hybridMultilevel"/>
    <w:lvl w:ilvl="0">
      <w:lvlJc w:val="left"/>
      <w:lvlText w:val="•"/>
      <w:numFmt w:val="bullet"/>
      <w:start w:val="1"/>
    </w:lvl>
  </w:abstractNum>
  <w:abstractNum w:abstractNumId="19">
    <w:nsid w:val="7E0C57B1"/>
    <w:multiLevelType w:val="hybridMultilevel"/>
    <w:lvl w:ilvl="0">
      <w:lvlJc w:val="left"/>
      <w:lvlText w:val="•"/>
      <w:numFmt w:val="bullet"/>
      <w:start w:val="1"/>
    </w:lvl>
  </w:abstractNum>
  <w:abstractNum w:abstractNumId="20">
    <w:nsid w:val="77AE35EB"/>
    <w:multiLevelType w:val="hybridMultilevel"/>
    <w:lvl w:ilvl="0">
      <w:lvlJc w:val="left"/>
      <w:lvlText w:val="•"/>
      <w:numFmt w:val="bullet"/>
      <w:start w:val="1"/>
    </w:lvl>
  </w:abstractNum>
  <w:abstractNum w:abstractNumId="21">
    <w:nsid w:val="579BE4F1"/>
    <w:multiLevelType w:val="hybridMultilevel"/>
    <w:lvl w:ilvl="0">
      <w:lvlJc w:val="left"/>
      <w:lvlText w:val="•"/>
      <w:numFmt w:val="bullet"/>
      <w:start w:val="1"/>
    </w:lvl>
  </w:abstractNum>
  <w:abstractNum w:abstractNumId="22">
    <w:nsid w:val="310C50B3"/>
    <w:multiLevelType w:val="hybridMultilevel"/>
    <w:lvl w:ilvl="0">
      <w:lvlJc w:val="left"/>
      <w:lvlText w:val="•"/>
      <w:numFmt w:val="bullet"/>
      <w:start w:val="1"/>
    </w:lvl>
  </w:abstractNum>
  <w:abstractNum w:abstractNumId="23">
    <w:nsid w:val="5FF87E05"/>
    <w:multiLevelType w:val="hybridMultilevel"/>
    <w:lvl w:ilvl="0">
      <w:lvlJc w:val="left"/>
      <w:lvlText w:val="•"/>
      <w:numFmt w:val="bullet"/>
      <w:start w:val="1"/>
    </w:lvl>
  </w:abstractNum>
  <w:abstractNum w:abstractNumId="24">
    <w:nsid w:val="2F305DEF"/>
    <w:multiLevelType w:val="hybridMultilevel"/>
    <w:lvl w:ilvl="0">
      <w:lvlJc w:val="left"/>
      <w:lvlText w:val="•"/>
      <w:numFmt w:val="bullet"/>
      <w:start w:val="1"/>
    </w:lvl>
  </w:abstractNum>
  <w:abstractNum w:abstractNumId="25">
    <w:nsid w:val="25A70BF7"/>
    <w:multiLevelType w:val="hybridMultilevel"/>
    <w:lvl w:ilvl="0">
      <w:lvlJc w:val="left"/>
      <w:lvlText w:val="(%1)"/>
      <w:numFmt w:val="decimal"/>
      <w:start w:val="1"/>
    </w:lvl>
  </w:abstractNum>
  <w:abstractNum w:abstractNumId="26">
    <w:nsid w:val="1DBABF00"/>
    <w:multiLevelType w:val="hybridMultilevel"/>
    <w:lvl w:ilvl="0">
      <w:lvlJc w:val="left"/>
      <w:lvlText w:val="•"/>
      <w:numFmt w:val="bullet"/>
      <w:start w:val="1"/>
    </w:lvl>
  </w:abstractNum>
  <w:abstractNum w:abstractNumId="27">
    <w:nsid w:val="4AD084E9"/>
    <w:multiLevelType w:val="hybridMultilevel"/>
    <w:lvl w:ilvl="0">
      <w:lvlJc w:val="left"/>
      <w:lvlText w:val="(%1)"/>
      <w:numFmt w:val="decimal"/>
      <w:start w:val="1"/>
    </w:lvl>
  </w:abstractNum>
  <w:abstractNum w:abstractNumId="28">
    <w:nsid w:val="1F48EAA1"/>
    <w:multiLevelType w:val="hybridMultilevel"/>
    <w:lvl w:ilvl="0">
      <w:lvlJc w:val="left"/>
      <w:lvlText w:val="•"/>
      <w:numFmt w:val="bullet"/>
      <w:start w:val="1"/>
    </w:lvl>
  </w:abstractNum>
  <w:abstractNum w:abstractNumId="29">
    <w:nsid w:val="1381823A"/>
    <w:multiLevelType w:val="hybridMultilevel"/>
    <w:lvl w:ilvl="0">
      <w:lvlJc w:val="left"/>
      <w:lvlText w:val="•"/>
      <w:numFmt w:val="bullet"/>
      <w:start w:val="1"/>
    </w:lvl>
  </w:abstractNum>
  <w:abstractNum w:abstractNumId="30">
    <w:nsid w:val="5DB70AE5"/>
    <w:multiLevelType w:val="hybridMultilevel"/>
    <w:lvl w:ilvl="0">
      <w:lvlJc w:val="left"/>
      <w:lvlText w:val="•"/>
      <w:numFmt w:val="bullet"/>
      <w:start w:val="1"/>
    </w:lvl>
  </w:abstractNum>
  <w:abstractNum w:abstractNumId="31">
    <w:nsid w:val="100F8FCA"/>
    <w:multiLevelType w:val="hybridMultilevel"/>
    <w:lvl w:ilvl="0">
      <w:lvlJc w:val="left"/>
      <w:lvlText w:val="•"/>
      <w:numFmt w:val="bullet"/>
      <w:start w:val="1"/>
    </w:lvl>
  </w:abstractNum>
  <w:abstractNum w:abstractNumId="32">
    <w:nsid w:val="6590700B"/>
    <w:multiLevelType w:val="hybridMultilevel"/>
    <w:lvl w:ilvl="0">
      <w:lvlJc w:val="left"/>
      <w:lvlText w:val="•"/>
      <w:numFmt w:val="bullet"/>
      <w:start w:val="1"/>
    </w:lvl>
  </w:abstractNum>
  <w:abstractNum w:abstractNumId="33">
    <w:nsid w:val="15014ACB"/>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55"/>
    </w:lvl>
  </w:abstractNum>
  <w:abstractNum w:abstractNumId="34">
    <w:nsid w:val="5F5E7FD0"/>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1"/>
    </w:lvl>
  </w:abstractNum>
  <w:abstractNum w:abstractNumId="35">
    <w:nsid w:val="98A3148"/>
    <w:multiLevelType w:val="hybridMultilevel"/>
    <w:lvl w:ilvl="0">
      <w:lvlJc w:val="left"/>
      <w:lvlText w:val="%1."/>
      <w:numFmt w:val="decimal"/>
      <w:start w:val="2"/>
    </w:lvl>
  </w:abstractNum>
  <w:abstractNum w:abstractNumId="36">
    <w:nsid w:val="799D0247"/>
    <w:multiLevelType w:val="hybridMultilevel"/>
    <w:lvl w:ilvl="0">
      <w:lvlJc w:val="left"/>
      <w:lvlText w:val="•"/>
      <w:numFmt w:val="bullet"/>
      <w:start w:val="1"/>
    </w:lvl>
  </w:abstractNum>
  <w:abstractNum w:abstractNumId="37">
    <w:nsid w:val="6B94764"/>
    <w:multiLevelType w:val="hybridMultilevel"/>
    <w:lvl w:ilvl="0">
      <w:lvlJc w:val="left"/>
      <w:lvlText w:val="%1."/>
      <w:numFmt w:val="decimal"/>
      <w:start w:val="3"/>
    </w:lvl>
  </w:abstractNum>
  <w:abstractNum w:abstractNumId="38">
    <w:nsid w:val="42C296BD"/>
    <w:multiLevelType w:val="hybridMultilevel"/>
    <w:lvl w:ilvl="0">
      <w:lvlJc w:val="left"/>
      <w:lvlText w:val="•"/>
      <w:numFmt w:val="bullet"/>
      <w:start w:val="1"/>
    </w:lvl>
  </w:abstractNum>
  <w:abstractNum w:abstractNumId="39">
    <w:nsid w:val="168E121F"/>
    <w:multiLevelType w:val="hybridMultilevel"/>
    <w:lvl w:ilvl="0">
      <w:lvlJc w:val="left"/>
      <w:lvlText w:val="•"/>
      <w:numFmt w:val="bullet"/>
      <w:start w:val="1"/>
    </w:lvl>
  </w:abstractNum>
  <w:abstractNum w:abstractNumId="40">
    <w:nsid w:val="1EBA5D23"/>
    <w:multiLevelType w:val="hybridMultilevel"/>
    <w:lvl w:ilvl="0">
      <w:lvlJc w:val="left"/>
      <w:lvlText w:val="%1."/>
      <w:numFmt w:val="decimal"/>
      <w:start w:val="4"/>
    </w:lvl>
  </w:abstractNum>
  <w:abstractNum w:abstractNumId="41">
    <w:nsid w:val="661E3F1E"/>
    <w:multiLevelType w:val="hybridMultilevel"/>
    <w:lvl w:ilvl="0">
      <w:lvlJc w:val="left"/>
      <w:lvlText w:val="%1."/>
      <w:numFmt w:val="decimal"/>
      <w:start w:val="5"/>
    </w:lvl>
  </w:abstractNum>
  <w:abstractNum w:abstractNumId="42">
    <w:nsid w:val="5DC79EA8"/>
    <w:multiLevelType w:val="hybridMultilevel"/>
    <w:lvl w:ilvl="0">
      <w:lvlJc w:val="left"/>
      <w:lvlText w:val="1"/>
      <w:numFmt w:val="bullet"/>
      <w:start w:val="1"/>
    </w:lvl>
  </w:abstractNum>
  <w:abstractNum w:abstractNumId="43">
    <w:nsid w:val="540A471C"/>
    <w:multiLevelType w:val="hybridMultilevel"/>
    <w:lvl w:ilvl="0">
      <w:lvlJc w:val="left"/>
      <w:lvlText w:val="%1."/>
      <w:numFmt w:val="decimal"/>
      <w:start w:val="6"/>
    </w:lvl>
  </w:abstractNum>
  <w:abstractNum w:abstractNumId="44">
    <w:nsid w:val="7BD3EE7B"/>
    <w:multiLevelType w:val="hybridMultilevel"/>
    <w:lvl w:ilvl="0">
      <w:lvlJc w:val="left"/>
      <w:lvlText w:val="%1."/>
      <w:numFmt w:val="decimal"/>
      <w:start w:val="7"/>
    </w:lvl>
  </w:abstractNum>
  <w:abstractNum w:abstractNumId="45">
    <w:nsid w:val="51D9C564"/>
    <w:multiLevelType w:val="hybridMultilevel"/>
    <w:lvl w:ilvl="0">
      <w:lvlJc w:val="left"/>
      <w:lvlText w:val="%1."/>
      <w:numFmt w:val="decimal"/>
      <w:start w:val="8"/>
    </w:lvl>
  </w:abstractNum>
  <w:abstractNum w:abstractNumId="46">
    <w:nsid w:val="613EFDC5"/>
    <w:multiLevelType w:val="hybridMultilevel"/>
    <w:lvl w:ilvl="0">
      <w:lvlJc w:val="left"/>
      <w:lvlText w:val="%1."/>
      <w:numFmt w:val="decimal"/>
      <w:start w:val="9"/>
    </w:lvl>
  </w:abstractNum>
  <w:abstractNum w:abstractNumId="47">
    <w:nsid w:val="BF72B14"/>
    <w:multiLevelType w:val="hybridMultilevel"/>
    <w:lvl w:ilvl="0">
      <w:lvlJc w:val="left"/>
      <w:lvlText w:val="%1."/>
      <w:numFmt w:val="decimal"/>
      <w:start w:val="10"/>
    </w:lvl>
  </w:abstractNum>
  <w:abstractNum w:abstractNumId="48">
    <w:nsid w:val="11447B73"/>
    <w:multiLevelType w:val="hybridMultilevel"/>
    <w:lvl w:ilvl="0">
      <w:lvlJc w:val="left"/>
      <w:lvlText w:val="%1."/>
      <w:numFmt w:val="decimal"/>
      <w:start w:val="11"/>
    </w:lvl>
  </w:abstractNum>
  <w:abstractNum w:abstractNumId="49">
    <w:nsid w:val="42963E5A"/>
    <w:multiLevelType w:val="hybridMultilevel"/>
    <w:lvl w:ilvl="0">
      <w:lvlJc w:val="left"/>
      <w:lvlText w:val="%1."/>
      <w:numFmt w:val="decimal"/>
      <w:start w:val="12"/>
    </w:lvl>
  </w:abstractNum>
  <w:abstractNum w:abstractNumId="50">
    <w:nsid w:val="A0382C5"/>
    <w:multiLevelType w:val="hybridMultilevel"/>
    <w:lvl w:ilvl="0">
      <w:lvlJc w:val="left"/>
      <w:lvlText w:val="%1."/>
      <w:numFmt w:val="decimal"/>
      <w:start w:val="13"/>
    </w:lvl>
  </w:abstractNum>
  <w:abstractNum w:abstractNumId="51">
    <w:nsid w:val="8F2B15E"/>
    <w:multiLevelType w:val="hybridMultilevel"/>
    <w:lvl w:ilvl="0">
      <w:lvlJc w:val="left"/>
      <w:lvlText w:val="%1."/>
      <w:numFmt w:val="decimal"/>
      <w:start w:val="15"/>
    </w:lvl>
  </w:abstractNum>
  <w:abstractNum w:abstractNumId="52">
    <w:nsid w:val="1A32234B"/>
    <w:multiLevelType w:val="hybridMultilevel"/>
    <w:lvl w:ilvl="0">
      <w:lvlJc w:val="left"/>
      <w:lvlText w:val="%1."/>
      <w:numFmt w:val="decimal"/>
      <w:start w:val="16"/>
    </w:lvl>
  </w:abstractNum>
  <w:abstractNum w:abstractNumId="53">
    <w:nsid w:val="3B0FD379"/>
    <w:multiLevelType w:val="hybridMultilevel"/>
    <w:lvl w:ilvl="0">
      <w:lvlJc w:val="left"/>
      <w:lvlText w:val="(%1)"/>
      <w:numFmt w:val="decimal"/>
      <w:start w:val="1"/>
    </w:lvl>
  </w:abstractNum>
  <w:abstractNum w:abstractNumId="54">
    <w:nsid w:val="68EB2F63"/>
    <w:multiLevelType w:val="hybridMultilevel"/>
    <w:lvl w:ilvl="0">
      <w:lvlJc w:val="left"/>
      <w:lvlText w:val="%1."/>
      <w:numFmt w:val="decimal"/>
      <w:start w:val="17"/>
    </w:lvl>
  </w:abstractNum>
  <w:abstractNum w:abstractNumId="55">
    <w:nsid w:val="4962813B"/>
    <w:multiLevelType w:val="hybridMultilevel"/>
    <w:lvl w:ilvl="0">
      <w:lvlJc w:val="left"/>
      <w:lvlText w:val="%1."/>
      <w:numFmt w:val="decimal"/>
      <w:start w:val="18"/>
    </w:lvl>
  </w:abstractNum>
  <w:abstractNum w:abstractNumId="56">
    <w:nsid w:val="60B6DF70"/>
    <w:multiLevelType w:val="hybridMultilevel"/>
    <w:lvl w:ilvl="0">
      <w:lvlJc w:val="left"/>
      <w:lvlText w:val="%1."/>
      <w:numFmt w:val="decimal"/>
      <w:start w:val="19"/>
    </w:lvl>
  </w:abstractNum>
  <w:abstractNum w:abstractNumId="57">
    <w:nsid w:val="6A5EE64"/>
    <w:multiLevelType w:val="hybridMultilevel"/>
    <w:lvl w:ilvl="0">
      <w:lvlJc w:val="left"/>
      <w:lvlText w:val="%1."/>
      <w:numFmt w:val="decimal"/>
      <w:start w:val="20"/>
    </w:lvl>
  </w:abstractNum>
  <w:abstractNum w:abstractNumId="58">
    <w:nsid w:val="14330624"/>
    <w:multiLevelType w:val="hybridMultilevel"/>
    <w:lvl w:ilvl="0">
      <w:lvlJc w:val="left"/>
      <w:lvlText w:val="%1."/>
      <w:numFmt w:val="decimal"/>
      <w:start w:val="22"/>
    </w:lvl>
  </w:abstractNum>
  <w:abstractNum w:abstractNumId="59">
    <w:nsid w:val="7FFFCA11"/>
    <w:multiLevelType w:val="hybridMultilevel"/>
    <w:lvl w:ilvl="0">
      <w:lvlJc w:val="left"/>
      <w:lvlText w:val="%1."/>
      <w:numFmt w:val="decimal"/>
      <w:start w:val="23"/>
    </w:lvl>
  </w:abstractNum>
  <w:abstractNum w:abstractNumId="60">
    <w:nsid w:val="1A27709E"/>
    <w:multiLevelType w:val="hybridMultilevel"/>
    <w:lvl w:ilvl="0">
      <w:lvlJc w:val="left"/>
      <w:lvlText w:val="%1."/>
      <w:numFmt w:val="decimal"/>
      <w:start w:val="24"/>
    </w:lvl>
  </w:abstractNum>
  <w:abstractNum w:abstractNumId="61">
    <w:nsid w:val="71EA1109"/>
    <w:multiLevelType w:val="hybridMultilevel"/>
    <w:lvl w:ilvl="0">
      <w:lvlJc w:val="left"/>
      <w:lvlText w:val="%1."/>
      <w:numFmt w:val="decimal"/>
      <w:start w:val="26"/>
    </w:lvl>
  </w:abstractNum>
  <w:abstractNum w:abstractNumId="62">
    <w:nsid w:val="100F59DC"/>
    <w:multiLevelType w:val="hybridMultilevel"/>
    <w:lvl w:ilvl="0">
      <w:lvlJc w:val="left"/>
      <w:lvlText w:val="%1."/>
      <w:numFmt w:val="decimal"/>
      <w:start w:val="27"/>
    </w:lvl>
  </w:abstractNum>
  <w:abstractNum w:abstractNumId="63">
    <w:nsid w:val="7FB7E0AA"/>
    <w:multiLevelType w:val="hybridMultilevel"/>
    <w:lvl w:ilvl="0">
      <w:lvlJc w:val="left"/>
      <w:lvlText w:val="%1."/>
      <w:numFmt w:val="decimal"/>
      <w:start w:val="28"/>
    </w:lvl>
  </w:abstractNum>
  <w:abstractNum w:abstractNumId="64">
    <w:nsid w:val="6EB5BD4"/>
    <w:multiLevelType w:val="hybridMultilevel"/>
    <w:lvl w:ilvl="0">
      <w:lvlJc w:val="left"/>
      <w:lvlText w:val="%1."/>
      <w:numFmt w:val="decimal"/>
      <w:start w:val="29"/>
    </w:lvl>
  </w:abstractNum>
  <w:abstractNum w:abstractNumId="65">
    <w:nsid w:val="6F6DD9AC"/>
    <w:multiLevelType w:val="hybridMultilevel"/>
    <w:lvl w:ilvl="0">
      <w:lvlJc w:val="left"/>
      <w:lvlText w:val="(%1)"/>
      <w:numFmt w:val="lowerLetter"/>
      <w:start w:val="1"/>
    </w:lvl>
  </w:abstractNum>
  <w:abstractNum w:abstractNumId="66">
    <w:nsid w:val="94211F2"/>
    <w:multiLevelType w:val="hybridMultilevel"/>
    <w:lvl w:ilvl="0">
      <w:lvlJc w:val="left"/>
      <w:lvlText w:val="(%1)"/>
      <w:numFmt w:val="decimal"/>
      <w:start w:val="1"/>
    </w:lvl>
  </w:abstractNum>
  <w:abstractNum w:abstractNumId="67">
    <w:nsid w:val="885E1B"/>
    <w:multiLevelType w:val="hybridMultilevel"/>
    <w:lvl w:ilvl="0">
      <w:lvlJc w:val="left"/>
      <w:lvlText w:val="%1"/>
      <w:numFmt w:val="decimal"/>
      <w:start w:val="97"/>
    </w:lvl>
  </w:abstractNum>
  <w:abstractNum w:abstractNumId="68">
    <w:nsid w:val="76272110"/>
    <w:multiLevelType w:val="hybridMultilevel"/>
    <w:lvl w:ilvl="0">
      <w:lvlJc w:val="left"/>
      <w:lvlText w:val="*"/>
      <w:numFmt w:val="bullet"/>
      <w:start w:val="1"/>
    </w:lvl>
    <w:lvl w:ilvl="1">
      <w:lvlJc w:val="left"/>
      <w:lvlText w:val="%2"/>
      <w:numFmt w:val="decimal"/>
      <w:start w:val="104"/>
    </w:lvl>
  </w:abstractNum>
  <w:abstractNum w:abstractNumId="69">
    <w:nsid w:val="4C04A8AF"/>
    <w:multiLevelType w:val="hybridMultilevel"/>
    <w:lvl w:ilvl="0">
      <w:lvlJc w:val="left"/>
      <w:lvlText w:val="**"/>
      <w:numFmt w:val="bullet"/>
      <w:start w:val="1"/>
    </w:lvl>
    <w:lvl w:ilvl="1">
      <w:lvlJc w:val="left"/>
      <w:lvlText w:val="%2"/>
      <w:numFmt w:val="decimal"/>
      <w:start w:val="1"/>
    </w:lvl>
  </w:abstractNum>
  <w:abstractNum w:abstractNumId="70">
    <w:nsid w:val="1716703B"/>
    <w:multiLevelType w:val="hybridMultilevel"/>
    <w:lvl w:ilvl="0">
      <w:lvlJc w:val="left"/>
      <w:lvlText w:val="***"/>
      <w:numFmt w:val="bullet"/>
      <w:start w:val="1"/>
    </w:lvl>
    <w:lvl w:ilvl="1">
      <w:lvlJc w:val="left"/>
      <w:lvlText w:val="%2"/>
      <w:numFmt w:val="decimal"/>
      <w:start w:val="1"/>
    </w:lvl>
  </w:abstractNum>
  <w:abstractNum w:abstractNumId="71">
    <w:nsid w:val="14E17E33"/>
    <w:multiLevelType w:val="hybridMultilevel"/>
    <w:lvl w:ilvl="0">
      <w:lvlJc w:val="left"/>
      <w:lvlText w:val="(%1)"/>
      <w:numFmt w:val="decimal"/>
      <w:start w:val="13"/>
    </w:lvl>
  </w:abstractNum>
  <w:abstractNum w:abstractNumId="72">
    <w:nsid w:val="3222E7CD"/>
    <w:multiLevelType w:val="hybridMultilevel"/>
    <w:lvl w:ilvl="0">
      <w:lvlJc w:val="left"/>
      <w:lvlText w:val="•"/>
      <w:numFmt w:val="bullet"/>
      <w:start w:val="1"/>
    </w:lvl>
  </w:abstractNum>
  <w:abstractNum w:abstractNumId="73">
    <w:nsid w:val="74DE0EE3"/>
    <w:multiLevelType w:val="hybridMultilevel"/>
    <w:lvl w:ilvl="0">
      <w:lvlJc w:val="left"/>
      <w:lvlText w:val="•"/>
      <w:numFmt w:val="bullet"/>
      <w:start w:val="1"/>
    </w:lvl>
  </w:abstractNum>
  <w:abstractNum w:abstractNumId="74">
    <w:nsid w:val="68EBC550"/>
    <w:multiLevelType w:val="hybridMultilevel"/>
    <w:lvl w:ilvl="0">
      <w:lvlJc w:val="left"/>
      <w:lvlText w:val="•"/>
      <w:numFmt w:val="bullet"/>
      <w:start w:val="1"/>
    </w:lvl>
  </w:abstractNum>
  <w:abstractNum w:abstractNumId="75">
    <w:nsid w:val="2DF6D648"/>
    <w:multiLevelType w:val="hybridMultilevel"/>
    <w:lvl w:ilvl="0">
      <w:lvlJc w:val="left"/>
      <w:lvlText w:val="(%1)"/>
      <w:numFmt w:val="decimal"/>
      <w:start w:val="10"/>
    </w:lvl>
  </w:abstractNum>
  <w:abstractNum w:abstractNumId="76">
    <w:nsid w:val="46B7D447"/>
    <w:multiLevelType w:val="hybridMultilevel"/>
    <w:lvl w:ilvl="0">
      <w:lvlJc w:val="left"/>
      <w:lvlText w:val="%1."/>
      <w:numFmt w:val="decimal"/>
      <w:start w:val="1"/>
    </w:lvl>
  </w:abstractNum>
  <w:abstractNum w:abstractNumId="77">
    <w:nsid w:val="4A2AC315"/>
    <w:multiLevelType w:val="hybridMultilevel"/>
    <w:lvl w:ilvl="0">
      <w:lvlJc w:val="left"/>
      <w:lvlText w:val="%1."/>
      <w:numFmt w:val="decimal"/>
      <w:start w:val="4"/>
    </w:lvl>
  </w:abstractNum>
  <w:abstractNum w:abstractNumId="78">
    <w:nsid w:val="39EE015C"/>
    <w:multiLevelType w:val="hybridMultilevel"/>
    <w:lvl w:ilvl="0">
      <w:lvlJc w:val="left"/>
      <w:lvlText w:val="%1."/>
      <w:numFmt w:val="decimal"/>
      <w:start w:val="7"/>
    </w:lvl>
    <w:lvl w:ilvl="1">
      <w:lvlJc w:val="left"/>
      <w:lvlText w:val="(%2)"/>
      <w:numFmt w:val="lowerLetter"/>
      <w:start w:val="1"/>
    </w:lvl>
  </w:abstractNum>
  <w:abstractNum w:abstractNumId="79">
    <w:nsid w:val="57FC4FBB"/>
    <w:multiLevelType w:val="hybridMultilevel"/>
    <w:lvl w:ilvl="0">
      <w:lvlJc w:val="left"/>
      <w:lvlText w:val="%1."/>
      <w:numFmt w:val="decimal"/>
      <w:start w:val="8"/>
    </w:lvl>
  </w:abstractNum>
  <w:abstractNum w:abstractNumId="80">
    <w:nsid w:val="CC1016F"/>
    <w:multiLevelType w:val="hybridMultilevel"/>
    <w:lvl w:ilvl="0">
      <w:lvlJc w:val="left"/>
      <w:lvlText w:val="%1."/>
      <w:numFmt w:val="decimal"/>
      <w:start w:val="11"/>
    </w:lvl>
  </w:abstractNum>
  <w:abstractNum w:abstractNumId="81">
    <w:nsid w:val="43F18422"/>
    <w:multiLevelType w:val="hybridMultilevel"/>
    <w:lvl w:ilvl="0">
      <w:lvlJc w:val="left"/>
      <w:lvlText w:val="%1."/>
      <w:numFmt w:val="decimal"/>
      <w:start w:val="1"/>
    </w:lvl>
  </w:abstractNum>
  <w:abstractNum w:abstractNumId="82">
    <w:nsid w:val="60EF0119"/>
    <w:multiLevelType w:val="hybridMultilevel"/>
    <w:lvl w:ilvl="0">
      <w:lvlJc w:val="left"/>
      <w:lvlText w:val="%1."/>
      <w:numFmt w:val="decimal"/>
      <w:start w:val="4"/>
    </w:lvl>
  </w:abstractNum>
  <w:abstractNum w:abstractNumId="83">
    <w:nsid w:val="26F324BA"/>
    <w:multiLevelType w:val="hybridMultilevel"/>
    <w:lvl w:ilvl="0">
      <w:lvlJc w:val="left"/>
      <w:lvlText w:val="%1."/>
      <w:numFmt w:val="decimal"/>
      <w:start w:val="7"/>
    </w:lvl>
    <w:lvl w:ilvl="1">
      <w:lvlJc w:val="left"/>
      <w:lvlText w:val="(%2)"/>
      <w:numFmt w:val="lowerLetter"/>
      <w:start w:val="1"/>
    </w:lvl>
  </w:abstractNum>
  <w:abstractNum w:abstractNumId="84">
    <w:nsid w:val="7F01579B"/>
    <w:multiLevelType w:val="hybridMultilevel"/>
    <w:lvl w:ilvl="0">
      <w:lvlJc w:val="left"/>
      <w:lvlText w:val="%1."/>
      <w:numFmt w:val="decimal"/>
      <w:start w:val="8"/>
    </w:lvl>
  </w:abstractNum>
  <w:abstractNum w:abstractNumId="85">
    <w:nsid w:val="49DA307D"/>
    <w:multiLevelType w:val="hybridMultilevel"/>
    <w:lvl w:ilvl="0">
      <w:lvlJc w:val="left"/>
      <w:lvlText w:val="%1."/>
      <w:numFmt w:val="decimal"/>
      <w:start w:val="11"/>
    </w:lvl>
  </w:abstractNum>
  <w:abstractNum w:abstractNumId="86">
    <w:nsid w:val="7055A5F5"/>
    <w:multiLevelType w:val="hybridMultilevel"/>
    <w:lvl w:ilvl="0">
      <w:lvlJc w:val="left"/>
      <w:lvlText w:val="%1."/>
      <w:numFmt w:val="decimal"/>
      <w:start w:val="1"/>
    </w:lvl>
  </w:abstractNum>
  <w:abstractNum w:abstractNumId="87">
    <w:nsid w:val="5FB8370B"/>
    <w:multiLevelType w:val="hybridMultilevel"/>
    <w:lvl w:ilvl="0">
      <w:lvlJc w:val="left"/>
      <w:lvlText w:val="%1."/>
      <w:numFmt w:val="decimal"/>
      <w:start w:val="4"/>
    </w:lvl>
  </w:abstractNum>
  <w:abstractNum w:abstractNumId="88">
    <w:nsid w:val="50801EE1"/>
    <w:multiLevelType w:val="hybridMultilevel"/>
    <w:lvl w:ilvl="0">
      <w:lvlJc w:val="left"/>
      <w:lvlText w:val="(%1)"/>
      <w:numFmt w:val="lowerLetter"/>
      <w:start w:val="2"/>
    </w:lvl>
    <w:lvl w:ilvl="1">
      <w:lvlJc w:val="left"/>
      <w:lvlText w:val="%2."/>
      <w:numFmt w:val="decimal"/>
      <w:start w:val="5"/>
    </w:lvl>
  </w:abstractNum>
  <w:abstractNum w:abstractNumId="89">
    <w:nsid w:val="488AC1A"/>
    <w:multiLevelType w:val="hybridMultilevel"/>
    <w:lvl w:ilvl="0">
      <w:lvlJc w:val="left"/>
      <w:lvlText w:val="%1."/>
      <w:numFmt w:val="decimal"/>
      <w:start w:val="7"/>
    </w:lvl>
  </w:abstractNum>
  <w:abstractNum w:abstractNumId="90">
    <w:nsid w:val="5FB8011C"/>
    <w:multiLevelType w:val="hybridMultilevel"/>
    <w:lvl w:ilvl="0">
      <w:lvlJc w:val="left"/>
      <w:lvlText w:val="%1"/>
      <w:numFmt w:val="lowerLetter"/>
      <w:start w:val="1"/>
    </w:lvl>
    <w:lvl w:ilvl="1">
      <w:lvlJc w:val="left"/>
      <w:lvlText w:val="(%2)"/>
      <w:numFmt w:val="lowerLetter"/>
      <w:start w:val="1"/>
    </w:lvl>
  </w:abstractNum>
  <w:abstractNum w:abstractNumId="91">
    <w:nsid w:val="6AA78F7F"/>
    <w:multiLevelType w:val="hybridMultilevel"/>
    <w:lvl w:ilvl="0">
      <w:lvlJc w:val="left"/>
      <w:lvlText w:val="(%1)"/>
      <w:numFmt w:val="lowerLetter"/>
      <w:start w:val="35"/>
    </w:lvl>
    <w:lvl w:ilvl="1">
      <w:lvlJc w:val="left"/>
      <w:lvlText w:val="%2"/>
      <w:numFmt w:val="lowerLetter"/>
      <w:start w:val="1"/>
    </w:lvl>
  </w:abstractNum>
  <w:abstractNum w:abstractNumId="92">
    <w:nsid w:val="7672BD23"/>
    <w:multiLevelType w:val="hybridMultilevel"/>
    <w:lvl w:ilvl="0">
      <w:lvlJc w:val="left"/>
      <w:lvlText w:val="%1."/>
      <w:numFmt w:val="decimal"/>
      <w:start w:val="8"/>
    </w:lvl>
  </w:abstractNum>
  <w:abstractNum w:abstractNumId="93">
    <w:nsid w:val="6FC75AF8"/>
    <w:multiLevelType w:val="hybridMultilevel"/>
    <w:lvl w:ilvl="0">
      <w:lvlJc w:val="left"/>
      <w:lvlText w:val="%1."/>
      <w:numFmt w:val="decimal"/>
      <w:start w:val="10"/>
    </w:lvl>
  </w:abstractNum>
  <w:abstractNum w:abstractNumId="94">
    <w:nsid w:val="6A5F7029"/>
    <w:multiLevelType w:val="hybridMultilevel"/>
    <w:lvl w:ilvl="0">
      <w:lvlJc w:val="left"/>
      <w:lvlText w:val="(%1)"/>
      <w:numFmt w:val="lowerLetter"/>
      <w:start w:val="2"/>
    </w:lvl>
    <w:lvl w:ilvl="1">
      <w:lvlJc w:val="left"/>
      <w:lvlText w:val="%2."/>
      <w:numFmt w:val="decimal"/>
      <w:start w:val="11"/>
    </w:lvl>
  </w:abstractNum>
  <w:abstractNum w:abstractNumId="95">
    <w:nsid w:val="7D5E18F8"/>
    <w:multiLevelType w:val="hybridMultilevel"/>
    <w:lvl w:ilvl="0">
      <w:lvlJc w:val="left"/>
      <w:lvlText w:val="%1"/>
      <w:numFmt w:val="upperLetter"/>
      <w:start w:val="55"/>
    </w:lvl>
  </w:abstractNum>
  <w:abstractNum w:abstractNumId="96">
    <w:nsid w:val="5F3534A4"/>
    <w:multiLevelType w:val="hybridMultilevel"/>
    <w:lvl w:ilvl="0">
      <w:lvlJc w:val="left"/>
      <w:lvlText w:val="%1."/>
      <w:numFmt w:val="decimal"/>
      <w:start w:val="2"/>
    </w:lvl>
  </w:abstractNum>
  <w:abstractNum w:abstractNumId="97">
    <w:nsid w:val="73A1821B"/>
    <w:multiLevelType w:val="hybridMultilevel"/>
    <w:lvl w:ilvl="0">
      <w:lvlJc w:val="left"/>
      <w:lvlText w:val="%1."/>
      <w:numFmt w:val="decimal"/>
      <w:start w:val="1"/>
    </w:lvl>
    <w:lvl w:ilvl="1">
      <w:lvlJc w:val="left"/>
      <w:lvlText w:val="(%2)"/>
      <w:numFmt w:val="lowerLetter"/>
      <w:start w:val="1"/>
    </w:lvl>
  </w:abstractNum>
  <w:abstractNum w:abstractNumId="98">
    <w:nsid w:val="7DE67713"/>
    <w:multiLevelType w:val="hybridMultilevel"/>
    <w:lvl w:ilvl="0">
      <w:lvlJc w:val="left"/>
      <w:lvlText w:val="%1."/>
      <w:numFmt w:val="decimal"/>
      <w:start w:val="1"/>
    </w:lvl>
    <w:lvl w:ilvl="1">
      <w:lvlJc w:val="left"/>
      <w:lvlText w:val="(%2)"/>
      <w:numFmt w:val="lowerLetter"/>
      <w:start w:val="1"/>
    </w:lvl>
  </w:abstractNum>
  <w:abstractNum w:abstractNumId="99">
    <w:nsid w:val="555C55B5"/>
    <w:multiLevelType w:val="hybridMultilevel"/>
    <w:lvl w:ilvl="0">
      <w:lvlJc w:val="left"/>
      <w:lvlText w:val="%1."/>
      <w:numFmt w:val="decimal"/>
      <w:start w:val="1"/>
    </w:lvl>
  </w:abstractNum>
  <w:abstractNum w:abstractNumId="100">
    <w:nsid w:val="3FA62ACA"/>
    <w:multiLevelType w:val="hybridMultilevel"/>
    <w:lvl w:ilvl="0">
      <w:lvlJc w:val="left"/>
      <w:lvlText w:val="%1."/>
      <w:numFmt w:val="decimal"/>
      <w:start w:val="1"/>
    </w:lvl>
  </w:abstractNum>
  <w:abstractNum w:abstractNumId="101">
    <w:nsid w:val="14FCE74E"/>
    <w:multiLevelType w:val="hybridMultilevel"/>
    <w:lvl w:ilvl="0">
      <w:lvlJc w:val="left"/>
      <w:lvlText w:val="%1"/>
      <w:numFmt w:val="upperLetter"/>
      <w:start w:val="55"/>
    </w:lvl>
  </w:abstractNum>
  <w:abstractNum w:abstractNumId="102">
    <w:nsid w:val="6A3DD3E8"/>
    <w:multiLevelType w:val="hybridMultilevel"/>
    <w:lvl w:ilvl="0">
      <w:lvlJc w:val="left"/>
      <w:lvlText w:val="%1"/>
      <w:numFmt w:val="upperLetter"/>
      <w:start w:val="55"/>
    </w:lvl>
  </w:abstractNum>
  <w:abstractNum w:abstractNumId="103">
    <w:nsid w:val="71C91298"/>
    <w:multiLevelType w:val="hybridMultilevel"/>
    <w:lvl w:ilvl="0">
      <w:lvlJc w:val="left"/>
      <w:lvlText w:val="•"/>
      <w:numFmt w:val="bullet"/>
      <w:start w:val="1"/>
    </w:lvl>
  </w:abstractNum>
  <w:abstractNum w:abstractNumId="104">
    <w:nsid w:val="9DAF632"/>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60" Type="http://schemas.openxmlformats.org/officeDocument/2006/relationships/image" Target="media/image441.png"/><Relationship Id="rId461" Type="http://schemas.openxmlformats.org/officeDocument/2006/relationships/image" Target="media/image442.png"/><Relationship Id="rId465" Type="http://schemas.openxmlformats.org/officeDocument/2006/relationships/image" Target="media/image443.png"/><Relationship Id="rId466" Type="http://schemas.openxmlformats.org/officeDocument/2006/relationships/image" Target="media/image444.png"/><Relationship Id="rId467" Type="http://schemas.openxmlformats.org/officeDocument/2006/relationships/image" Target="media/image445.png"/><Relationship Id="rId468" Type="http://schemas.openxmlformats.org/officeDocument/2006/relationships/image" Target="media/image446.png"/><Relationship Id="rId469" Type="http://schemas.openxmlformats.org/officeDocument/2006/relationships/image" Target="media/image447.png"/><Relationship Id="rId470" Type="http://schemas.openxmlformats.org/officeDocument/2006/relationships/image" Target="media/image448.png"/><Relationship Id="rId471" Type="http://schemas.openxmlformats.org/officeDocument/2006/relationships/image" Target="media/image449.png"/><Relationship Id="rId472" Type="http://schemas.openxmlformats.org/officeDocument/2006/relationships/image" Target="media/image450.png"/><Relationship Id="rId473" Type="http://schemas.openxmlformats.org/officeDocument/2006/relationships/image" Target="media/image451.png"/><Relationship Id="rId474" Type="http://schemas.openxmlformats.org/officeDocument/2006/relationships/image" Target="media/image452.png"/><Relationship Id="rId475" Type="http://schemas.openxmlformats.org/officeDocument/2006/relationships/image" Target="media/image453.png"/><Relationship Id="rId476" Type="http://schemas.openxmlformats.org/officeDocument/2006/relationships/image" Target="media/image454.png"/><Relationship Id="rId477" Type="http://schemas.openxmlformats.org/officeDocument/2006/relationships/image" Target="media/image455.png"/><Relationship Id="rId478" Type="http://schemas.openxmlformats.org/officeDocument/2006/relationships/image" Target="media/image456.png"/><Relationship Id="rId479" Type="http://schemas.openxmlformats.org/officeDocument/2006/relationships/image" Target="media/image457.png"/><Relationship Id="rId480" Type="http://schemas.openxmlformats.org/officeDocument/2006/relationships/image" Target="media/image458.png"/><Relationship Id="rId481" Type="http://schemas.openxmlformats.org/officeDocument/2006/relationships/image" Target="media/image459.png"/><Relationship Id="rId482" Type="http://schemas.openxmlformats.org/officeDocument/2006/relationships/image" Target="media/image460.png"/><Relationship Id="rId483" Type="http://schemas.openxmlformats.org/officeDocument/2006/relationships/image" Target="media/image461.png"/><Relationship Id="rId484" Type="http://schemas.openxmlformats.org/officeDocument/2006/relationships/image" Target="media/image462.png"/><Relationship Id="rId485" Type="http://schemas.openxmlformats.org/officeDocument/2006/relationships/image" Target="media/image463.png"/><Relationship Id="rId486" Type="http://schemas.openxmlformats.org/officeDocument/2006/relationships/image" Target="media/image464.png"/><Relationship Id="rId487" Type="http://schemas.openxmlformats.org/officeDocument/2006/relationships/image" Target="media/image465.png"/><Relationship Id="rId488" Type="http://schemas.openxmlformats.org/officeDocument/2006/relationships/image" Target="media/image466.png"/><Relationship Id="rId489" Type="http://schemas.openxmlformats.org/officeDocument/2006/relationships/image" Target="media/image467.png"/><Relationship Id="rId490" Type="http://schemas.openxmlformats.org/officeDocument/2006/relationships/image" Target="media/image468.png"/><Relationship Id="rId491" Type="http://schemas.openxmlformats.org/officeDocument/2006/relationships/image" Target="media/image469.png"/><Relationship Id="rId492" Type="http://schemas.openxmlformats.org/officeDocument/2006/relationships/image" Target="media/image470.png"/><Relationship Id="rId493" Type="http://schemas.openxmlformats.org/officeDocument/2006/relationships/image" Target="media/image471.png"/><Relationship Id="rId494" Type="http://schemas.openxmlformats.org/officeDocument/2006/relationships/image" Target="media/image472.png"/><Relationship Id="rId495" Type="http://schemas.openxmlformats.org/officeDocument/2006/relationships/image" Target="media/image473.png"/><Relationship Id="rId496" Type="http://schemas.openxmlformats.org/officeDocument/2006/relationships/image" Target="media/image474.png"/><Relationship Id="rId497" Type="http://schemas.openxmlformats.org/officeDocument/2006/relationships/image" Target="media/image475.png"/><Relationship Id="rId498" Type="http://schemas.openxmlformats.org/officeDocument/2006/relationships/image" Target="media/image476.png"/><Relationship Id="rId499" Type="http://schemas.openxmlformats.org/officeDocument/2006/relationships/image" Target="media/image477.png"/><Relationship Id="rId500" Type="http://schemas.openxmlformats.org/officeDocument/2006/relationships/image" Target="media/image478.png"/><Relationship Id="rId501" Type="http://schemas.openxmlformats.org/officeDocument/2006/relationships/image" Target="media/image479.png"/><Relationship Id="rId502" Type="http://schemas.openxmlformats.org/officeDocument/2006/relationships/image" Target="media/image480.png"/><Relationship Id="rId503" Type="http://schemas.openxmlformats.org/officeDocument/2006/relationships/image" Target="media/image481.png"/><Relationship Id="rId504" Type="http://schemas.openxmlformats.org/officeDocument/2006/relationships/image" Target="media/image482.png"/><Relationship Id="rId505" Type="http://schemas.openxmlformats.org/officeDocument/2006/relationships/image" Target="media/image483.png"/><Relationship Id="rId506" Type="http://schemas.openxmlformats.org/officeDocument/2006/relationships/image" Target="media/image484.png"/><Relationship Id="rId507" Type="http://schemas.openxmlformats.org/officeDocument/2006/relationships/image" Target="media/image485.png"/><Relationship Id="rId508" Type="http://schemas.openxmlformats.org/officeDocument/2006/relationships/image" Target="media/image486.png"/><Relationship Id="rId509" Type="http://schemas.openxmlformats.org/officeDocument/2006/relationships/image" Target="media/image487.png"/><Relationship Id="rId510" Type="http://schemas.openxmlformats.org/officeDocument/2006/relationships/image" Target="media/image488.png"/><Relationship Id="rId511" Type="http://schemas.openxmlformats.org/officeDocument/2006/relationships/image" Target="media/image489.png"/><Relationship Id="rId512" Type="http://schemas.openxmlformats.org/officeDocument/2006/relationships/image" Target="media/image490.png"/><Relationship Id="rId513" Type="http://schemas.openxmlformats.org/officeDocument/2006/relationships/image" Target="media/image491.png"/><Relationship Id="rId514" Type="http://schemas.openxmlformats.org/officeDocument/2006/relationships/image" Target="media/image492.png"/><Relationship Id="rId515" Type="http://schemas.openxmlformats.org/officeDocument/2006/relationships/image" Target="media/image493.png"/><Relationship Id="rId516" Type="http://schemas.openxmlformats.org/officeDocument/2006/relationships/image" Target="media/image494.png"/><Relationship Id="rId517" Type="http://schemas.openxmlformats.org/officeDocument/2006/relationships/image" Target="media/image495.png"/><Relationship Id="rId518" Type="http://schemas.openxmlformats.org/officeDocument/2006/relationships/image" Target="media/image496.png"/><Relationship Id="rId448" Type="http://schemas.openxmlformats.org/officeDocument/2006/relationships/hyperlink" Target="https://www.sec.gov/Archives/edgar/data/1818201/000119312521185551/d128753ds4a.htm#toc128753_101" TargetMode="External"/><Relationship Id="rId449" Type="http://schemas.openxmlformats.org/officeDocument/2006/relationships/hyperlink" Target="https://www.sec.gov/Archives/edgar/data/1818201/000119312521185551/d128753ds4a.htm#anxaa" TargetMode="External"/><Relationship Id="rId450" Type="http://schemas.openxmlformats.org/officeDocument/2006/relationships/hyperlink" Target="https://www.sec.gov/Archives/edgar/data/1818201/000119312521208876/d128753d424b3.htm" TargetMode="External"/><Relationship Id="rId451" Type="http://schemas.openxmlformats.org/officeDocument/2006/relationships/hyperlink" Target="https://www.sec.gov/Archives/edgar/data/1818201/000119312521237930/d198324dex32.htm" TargetMode="External"/><Relationship Id="rId452" Type="http://schemas.openxmlformats.org/officeDocument/2006/relationships/hyperlink" Target="https://www.sec.gov/Archives/edgar/data/1818201/000119312521237930/d198324dex33.htm" TargetMode="External"/><Relationship Id="rId453" Type="http://schemas.openxmlformats.org/officeDocument/2006/relationships/hyperlink" Target="https://www.sec.gov/Archives/edgar/data/1818201/000114036120018101/nt10013544x3_ex4-3.htm" TargetMode="External"/><Relationship Id="rId454" Type="http://schemas.openxmlformats.org/officeDocument/2006/relationships/hyperlink" Target="https://www.sec.gov/Archives/edgar/data/1818201/000114036120018739/nt10013544x10_ex4-1.htm" TargetMode="External"/><Relationship Id="rId455" Type="http://schemas.openxmlformats.org/officeDocument/2006/relationships/hyperlink" Target="https://www.sec.gov/Archives/edgar/data/1818201/000119312521200377/d128753ds4a.htm#annexi" TargetMode="External"/><Relationship Id="rId456" Type="http://schemas.openxmlformats.org/officeDocument/2006/relationships/hyperlink" Target="https://www.sec.gov/Archives/edgar/data/1818201/000119312521298917/d223095dex101.htm" TargetMode="External"/><Relationship Id="rId457" Type="http://schemas.openxmlformats.org/officeDocument/2006/relationships/hyperlink" Target="https://www.sec.gov/Archives/edgar/data/1818201/000119312521280904/d230544dex101.htm" TargetMode="External"/><Relationship Id="rId458" Type="http://schemas.openxmlformats.org/officeDocument/2006/relationships/hyperlink" Target="https://www.sec.gov/Archives/edgar/data/1818201/000095017023036577/cccs-ex10_1.htm" TargetMode="External"/><Relationship Id="rId459" Type="http://schemas.openxmlformats.org/officeDocument/2006/relationships/hyperlink" Target="https://www.sec.gov/Archives/edgar/data/1818201/000119312521298917/d223095dex102.htm" TargetMode="External"/><Relationship Id="rId462" Type="http://schemas.openxmlformats.org/officeDocument/2006/relationships/hyperlink" Target="https://www.sec.gov/Archives/edgar/data/1818201/000119312521098791/d128753dex1013.htm" TargetMode="External"/><Relationship Id="rId463" Type="http://schemas.openxmlformats.org/officeDocument/2006/relationships/hyperlink" Target="https://www.sec.gov/Archives/edgar/data/1818201/000119312521098791/d128753dex1015.htm" TargetMode="External"/><Relationship Id="rId464" Type="http://schemas.openxmlformats.org/officeDocument/2006/relationships/hyperlink" Target="https://www.sec.gov/Archives/edgar/data/1818201/000119312521237930/d198324dex10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2024-02-28T17:06:21Z</dcterms:created>
  <dcterms:modified xsi:type="dcterms:W3CDTF">2024-02-28T17:06:21Z</dcterms:modified>
</cp:coreProperties>
</file>