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001-39447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98-1546280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60607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621-8070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CCC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into this Item 2.02 is a copy of the press release, dated October 29, 2026, announcing the financial results of CCC Intelligent Solutions Holdings Inc. for the quarter ended September 30, 2026, including, among other things, unaudited financial results for that period.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or the Exchange Act, except as otherwise expressly stated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spacing w:after="0"/>
              <w:rPr>
                <w:sz w:val="17"/>
                <w:szCs w:val="17"/>
                <w:color w:val="auto"/>
              </w:rPr>
            </w:pPr>
          </w:p>
        </w:tc>
        <w:tc>
          <w:tcPr>
            <w:tcW w:w="8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October 29, 2026</w:t>
            </w:r>
          </w:p>
        </w:tc>
      </w:tr>
      <w:tr>
        <w:trPr>
          <w:trHeight w:val="20"/>
        </w:trPr>
        <w:tc>
          <w:tcPr>
            <w:tcW w:w="126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0"/>
                <w:szCs w:val="20"/>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CCC INTELLIGENT SOLUTIONS HOLDINGS INC.</w:t>
            </w:r>
          </w:p>
        </w:tc>
      </w:tr>
      <w:tr>
        <w:trPr>
          <w:trHeight w:val="58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Christo</w:t>
            </w:r>
          </w:p>
        </w:tc>
      </w:tr>
      <w:tr>
        <w:trPr>
          <w:trHeight w:val="191"/>
        </w:trPr>
        <w:tc>
          <w:tcPr>
            <w:tcW w:w="3620" w:type="dxa"/>
            <w:vAlign w:val="bottom"/>
          </w:tcPr>
          <w:p>
            <w:pPr>
              <w:spacing w:after="0"/>
              <w:rPr>
                <w:sz w:val="16"/>
                <w:szCs w:val="16"/>
                <w:color w:val="auto"/>
              </w:rPr>
            </w:pPr>
          </w:p>
        </w:tc>
        <w:tc>
          <w:tcPr>
            <w:tcW w:w="2460" w:type="dxa"/>
            <w:vAlign w:val="bottom"/>
          </w:tcPr>
          <w:p>
            <w:pPr>
              <w:ind w:left="16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Christo</w:t>
            </w:r>
          </w:p>
        </w:tc>
      </w:tr>
      <w:tr>
        <w:trPr>
          <w:trHeight w:val="248"/>
        </w:trPr>
        <w:tc>
          <w:tcPr>
            <w:tcW w:w="3620" w:type="dxa"/>
            <w:vAlign w:val="bottom"/>
          </w:tcPr>
          <w:p>
            <w:pPr>
              <w:spacing w:after="0"/>
              <w:rPr>
                <w:sz w:val="21"/>
                <w:szCs w:val="21"/>
                <w:color w:val="auto"/>
              </w:rPr>
            </w:pP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Chief Accounting Officer</w:t>
            </w:r>
          </w:p>
        </w:tc>
      </w:tr>
      <w:tr>
        <w:trPr>
          <w:trHeight w:val="1357"/>
        </w:trPr>
        <w:tc>
          <w:tcPr>
            <w:tcW w:w="36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Announces Third Quarter 2026 Financial Results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October 29, 2026 – CCC Intelligent Solutions Holdings Inc. (“CCC” or the “Company”) (NASDAQ: CCC), a leading SaaS and AI platform provider for the multi-trillion-dollar insurance economy, today announced its financial results for the three months ended September 30, 2026.</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“CCC delivered strong third quarter results, with revenue growth of 10% and adjusted EBITDA margin of approximately 44%. Our performance reflects the durability of our business, the trust customers place in us, and the increasing role our platform plays in helping participants across the insurance economy operate more efficiently and achieve better outcomes,” said Githesh Ramamurthy, Chairman &amp; CEO of CCC.</w:t>
      </w:r>
    </w:p>
    <w:p>
      <w:pPr>
        <w:spacing w:after="0" w:line="176"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“The pending transaction with GTCR and Elliott marks an exciting next chapter for CCC and our customers,” continued Ramamurthy. “Together, we expect to accelerate the AI and agentic capabilities our customers want from us, expand the network at the center of our platform, and make long-term investments in innovation that help customers navigate growing complexity across the claims lifecycle. We believe this positions CCC to deliver even greater value to the insurance economy in the years ahead.”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Highlights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$294.1 million for the third quarter of 2026, an increase of 10.1% from $267.1 million for the third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w:t>
      </w:r>
    </w:p>
    <w:p>
      <w:pPr>
        <w:spacing w:after="0" w:line="121" w:lineRule="exact"/>
        <w:rPr>
          <w:sz w:val="20"/>
          <w:szCs w:val="20"/>
          <w:color w:val="auto"/>
        </w:rPr>
      </w:pPr>
    </w:p>
    <w:p>
      <w:pPr>
        <w:ind w:left="1020" w:right="1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was $218.0 million, representing a gross margin of 74%, for the third quarter of 2026, compared with $193.0 million, representing a gross margin of 72%, for the third quarter of 2025. Adjusted gross profit was $224.6 million, representing an adjusted gross profit margin of 76%, for the third quarter of 2026, compared with $199.5 million, representing an adjusted gross profit margin of 78%, for the third quarter of 2025.</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was $57.4 million for the third quarter of 2026, compared with GAAP operating income of $30.0 million for the third quarter of 2025. Adjusted operating income was $115.7 million for the third quarter of 2026, compared with adjusted operating income of $93.0 million for the third quarter of 2025.</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$30.2 million for the third quarter of 2026, compared with GAAP net loss of $2.0 million for the third quarter of 2025. Adjusted net income was $75.1 million for the third quarter of 2026, compared with $59.4 million for the third quarter of 2025.</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$130.5 million for the third quarter of 2026, up 18.5% compared with adjusted EBITDA of $110.1 million for the third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CCC had $202.9 million in cash and cash equivalents and $1.28 billion of total debt as of September 30, 2026. The Company generated</w:t>
      </w:r>
    </w:p>
    <w:p>
      <w:pPr>
        <w:spacing w:after="0" w:line="27" w:lineRule="exact"/>
        <w:rPr>
          <w:rFonts w:ascii="Times New Roman" w:cs="Times New Roman" w:eastAsia="Times New Roman" w:hAnsi="Times New Roman"/>
          <w:sz w:val="18"/>
          <w:szCs w:val="18"/>
          <w:color w:val="auto"/>
        </w:rPr>
      </w:pPr>
    </w:p>
    <w:p>
      <w:pPr>
        <w:ind w:left="102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 million in cash from operating activities and had free cash flow of $82.5 million for the third quarter of 2026, compared with $94.8 million in cash generated from operating activities and free cash flow of $78.6 million for the third quarter of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24"/>
          <w:szCs w:val="24"/>
          <w:b w:val="1"/>
          <w:bCs w:val="1"/>
          <w:i w:val="1"/>
          <w:iCs w:val="1"/>
          <w:color w:val="auto"/>
          <w:vertAlign w:val="superscript"/>
        </w:rPr>
        <w:t>rd</w:t>
      </w:r>
      <w:r>
        <w:rPr>
          <w:rFonts w:ascii="Times New Roman" w:cs="Times New Roman" w:eastAsia="Times New Roman" w:hAnsi="Times New Roman"/>
          <w:sz w:val="18"/>
          <w:szCs w:val="18"/>
          <w:b w:val="1"/>
          <w:bCs w:val="1"/>
          <w:i w:val="1"/>
          <w:iCs w:val="1"/>
          <w:color w:val="auto"/>
        </w:rPr>
        <w:t xml:space="preserve"> Quarter and Recent Business Highlights</w:t>
      </w:r>
    </w:p>
    <w:p>
      <w:pPr>
        <w:spacing w:after="0" w:line="156" w:lineRule="exact"/>
        <w:rPr>
          <w:sz w:val="20"/>
          <w:szCs w:val="20"/>
          <w:color w:val="auto"/>
        </w:rPr>
      </w:pPr>
    </w:p>
    <w:p>
      <w:pPr>
        <w:ind w:left="1020" w:right="4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GTCR and Elliott to acquire CCC. </w:t>
      </w:r>
      <w:r>
        <w:rPr>
          <w:rFonts w:ascii="Times New Roman" w:cs="Times New Roman" w:eastAsia="Times New Roman" w:hAnsi="Times New Roman"/>
          <w:sz w:val="18"/>
          <w:szCs w:val="18"/>
          <w:color w:val="auto"/>
        </w:rPr>
        <w:t>On October 15, 2026, CCC announced a definitive agreement to be acquired by a consortium of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firms led by GTCR and including Elliott Investment Management in an all-cash transaction in which shareholders will receive $7.75 per share, representing an enterprise value of approximately $6.1 billion. Subject to regulatory and stockholder approvals and other customary closing conditions, the proposed transaction is expected to close in the first quarter of 2027. Following the close, CCC will become a privately held company.</w:t>
      </w:r>
    </w:p>
    <w:p>
      <w:pPr>
        <w:spacing w:after="0" w:line="179" w:lineRule="exact"/>
        <w:rPr>
          <w:rFonts w:ascii="Times New Roman" w:cs="Times New Roman" w:eastAsia="Times New Roman" w:hAnsi="Times New Roman"/>
          <w:sz w:val="18"/>
          <w:szCs w:val="18"/>
          <w:color w:val="auto"/>
        </w:rPr>
      </w:pPr>
    </w:p>
    <w:p>
      <w:pPr>
        <w:ind w:left="1020" w:right="6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Insurers expand AI adoption across core claims workflows. </w:t>
      </w:r>
      <w:r>
        <w:rPr>
          <w:rFonts w:ascii="Times New Roman" w:cs="Times New Roman" w:eastAsia="Times New Roman" w:hAnsi="Times New Roman"/>
          <w:sz w:val="18"/>
          <w:szCs w:val="18"/>
          <w:color w:val="auto"/>
        </w:rPr>
        <w:t>CCC’s AI-related revenue reached approximately $130 million in annualized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run-rate in the third quarter of 2026, representing growth of 40% year over year and increasing from an annualized run rate of approximately $120 million in the second quarter of 2026. This growth reflects a continuing shift in customer behavior from AI experimentation to AI deployment at scale.</w:t>
      </w:r>
    </w:p>
    <w:p>
      <w:pPr>
        <w:spacing w:after="0" w:line="176" w:lineRule="exact"/>
        <w:rPr>
          <w:rFonts w:ascii="Times New Roman" w:cs="Times New Roman" w:eastAsia="Times New Roman" w:hAnsi="Times New Roman"/>
          <w:sz w:val="18"/>
          <w:szCs w:val="18"/>
          <w:color w:val="auto"/>
        </w:rPr>
      </w:pPr>
    </w:p>
    <w:p>
      <w:pPr>
        <w:ind w:left="1020" w:right="1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insurer is largest to adopt Medhub for Auto Casualty. </w:t>
      </w:r>
      <w:r>
        <w:rPr>
          <w:rFonts w:ascii="Times New Roman" w:cs="Times New Roman" w:eastAsia="Times New Roman" w:hAnsi="Times New Roman"/>
          <w:sz w:val="18"/>
          <w:szCs w:val="18"/>
          <w:color w:val="auto"/>
        </w:rPr>
        <w:t>During the third quarter of 2026, a top-five insurer (based on 2025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written) became the largest insurer to adopt CCC’s Medhub for Auto Casualty, which uses AI to extract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020" w:right="40"/>
        <w:spacing w:after="0" w:line="266" w:lineRule="auto"/>
        <w:rPr>
          <w:sz w:val="20"/>
          <w:szCs w:val="20"/>
          <w:color w:val="auto"/>
        </w:rPr>
      </w:pPr>
      <w:r>
        <w:rPr>
          <w:rFonts w:ascii="Times New Roman" w:cs="Times New Roman" w:eastAsia="Times New Roman" w:hAnsi="Times New Roman"/>
          <w:sz w:val="18"/>
          <w:szCs w:val="18"/>
          <w:color w:val="auto"/>
        </w:rPr>
        <w:t>insights from complex medical records and help claims professionals make faster, more informed decisions grounded in auditable claim data. The deployment marks the largest application of EvolutionIQ’s technology within the P&amp;C auto market and demonstrates customers’ willingness to adopt adjacent workflows from CCC, underscoring the substantial growth opportunity beyond the traditional APD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Conference Call Information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light of the proposed transaction, the Company is suspending its practice of providing guidance and will not be hosting a conference call or webcast to discuss the Company’s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CCC Intelligent Solutions</w:t>
      </w:r>
    </w:p>
    <w:p>
      <w:pPr>
        <w:spacing w:after="0" w:line="229" w:lineRule="exact"/>
        <w:rPr>
          <w:sz w:val="20"/>
          <w:szCs w:val="20"/>
          <w:color w:val="auto"/>
        </w:rPr>
      </w:pPr>
    </w:p>
    <w:p>
      <w:pPr>
        <w:ind w:firstLine="8"/>
        <w:spacing w:after="0" w:line="256" w:lineRule="auto"/>
        <w:tabs>
          <w:tab w:leader="none" w:pos="4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Solutions Inc. (CCC), a subsidiary of CCC Intelligent Solutions Holdings Inc. (NASDAQ: CCC), is a leading SaaS and AI platform provider powering the multi-trillion-dollar insurance and repair economy. CCC connects more than 35,000 businesses, including insurers, repairers, automakers and parts suppliers, through the workflows where claims and repair decisions are made every day. With AI built into those workflows for over a decade and informed by more than 40 years of industry data, CCC helps customers manage growing complexity and move work forward with confidence. Through purposeful innovation and the strength of its network, CCC helps keep people’s lives moving forward when it matters most. Learn more about CCC at www.cccis.com.</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0" w:lineRule="exact"/>
        <w:rPr>
          <w:sz w:val="20"/>
          <w:szCs w:val="20"/>
          <w:color w:val="auto"/>
        </w:rPr>
      </w:pPr>
    </w:p>
    <w:p>
      <w:pPr>
        <w:spacing w:after="0" w:line="2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press release include, but are not limited to, future events, goals, plans and projections regarding the Company’s financial position, results of operations, market position, product development and business strategy. Such differences may be material. We cannot assure you that the forward-looking statements in this press release will prove to be accurate. These forward looking statements are subject to a number of risks and uncertainties, including, among others, the occurrence of any event, change or other circumstances that could give rise to the termination of the definitive transaction documents concerning the proposed transaction, including circumstances requiring payment of a termination fee pursuant to the definitive transaction documents; the failure to obtain stockholder approval of the proposed transaction, or the failure to satisfy other conditions to completion, of the proposed transaction; the risk that regulatory approvals required for the proposed transaction may not be obtained in a timely manner or at all, or may be obtained subject to conditions that are not anticipated; the failure to satisfy the other conditions to the consummation of the proposed transaction on a timely basis or at all; risks related to the disruption of management’s attention from the Company’s ongoing business operations due to the proposed transaction; the effect of the announcement or pendency of the proposed transaction on the Company’s business relationships, operating results and business generally; the risk the proposed transaction may not be completed in the time frame expected by the parties or at all; the risk that any announcements relating to the proposed transaction could have adverse effects on the market price of the Company’s common stock; the risk of any litigation related to the proposed transaction; the possibility that competing offers will be made; the risk that certain restrictions during the pendency of the proposed transaction may impact the Company’s ability to pursue certain business opportunities or strategic transactions; our revenues, the concentration of our customers and the ability to retain our current customers; our ability to negotiate with our customers on favorable terms; our ability to maintain and grow our brand and reputation cost-effectively; the execution of our growth strategy; the impact of factors outside our control including public health outbreaks, natural catastrophes, war and terrorism; our projected financial information, growth rate and market opportunity; the health of our industry, claim volumes, and market conditions; changes in the insurance and automotive collision industries, including the adoption of new technologies; global economic conditions and geopolitical events; competition in our market and our ability to retain and grow market share; our ability to develop, introduce and market new enhanced versions of our solutions; our sales and implementation cycles; the ability of our research and development efforts to create significant new revenue streams; changes in applicable laws or regulations; changes in international economic, political, social and governmental conditions and policies, including corruption risks in China and other countries; our reliance on third-party data, technology and intellectual property; our ability to protect our intellectual property; our ability to keep our data and information systems secure from data security breaches; changes in our customers’ or the public’s perceptions regarding the use of artificial intelligence; our ability to acquire or invest in companies or pursue business partnerships; our ability to raise financing in the future and improve our capital structure; our success in retaining or recruiting, or changes required in, our officers, key employees or directors; our estimates regarding expenses, future revenue, capital requirements and needs for additional financing; our ability to expand or maintain our existing customer base; our ability to service our indebtedness; and other risks and uncertainties, including those included under the header “Risk Factors” in the Company’s Annual Report on Form 10-K for the fiscal year ended December 31, 2025, and the Company’s Quarterly Report on Form 10-Q for the three months ended September 30, 2026, filed with the Securities and Exchange Commission (“SEC”), which can be obtained, without charge, at the SEC’s website (www.sec.gov), and in our other filings with the SEC.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ind w:right="200"/>
        <w:spacing w:after="0" w:line="282" w:lineRule="auto"/>
        <w:rPr>
          <w:sz w:val="20"/>
          <w:szCs w:val="20"/>
          <w:color w:val="auto"/>
        </w:rPr>
      </w:pPr>
      <w:r>
        <w:rPr>
          <w:rFonts w:ascii="Times New Roman" w:cs="Times New Roman" w:eastAsia="Times New Roman" w:hAnsi="Times New Roman"/>
          <w:sz w:val="18"/>
          <w:szCs w:val="18"/>
          <w:color w:val="auto"/>
        </w:rPr>
        <w:t>future, we have no current intention of doing so except to the extent required by applicable law. You should, therefore, not rely on these forward-looking statements as representing our views as of any date subsequent to the date of this press release.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includes certain financial measures not presented in accordance with generally accepted accounting principles in the U.S. (“GAAP”), including, but not limited to, “adjusted EBITDA,” “adjusted EBITDA margin,” “adjusted net income,” “adjusted operating income,” “adjusted gross profit,” “adjusted gross profit margin,” “adjusted operating expenses,” and “free cash flow” in each case presented on a non-GAAP basis, and certain ratios and other metrics derived therefrom. These non-GAAP financial measures are not measures of financial performance in accordance with GAAP and may exclude items that are significant in understanding and assessing the Company’s financial results. Therefore, these measures should not be considered in isolation or as an alternative to other measures of profitability, liquidity or performance under GAAP. You should be aware that the Company’s calculation of these non-GAAP measures may not be comparable to similarly-titled measures used by other companies.</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believes these non-GAAP measures of financial results provide useful information to management and investors regarding certain financial and business trends relating to the Company’s financial condition and results of operations. The Company believes that the use of these non-GAAP financial measures provides an additional tool for investors to use in evaluating ongoing operating results and trends and in comparing the Company’s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 Please refer to the reconciliations of these measures below to what the Company believes are the most directly comparable measures evaluated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Warmington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 CCC Intelligent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312-229-2355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IR@cccis.com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Hellyar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Senior Director, Public Relations, CCC Intelligent Solutions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mhellyar@cccis.com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 w:name="page8"/>
    <w:bookmarkEnd w:id="7"/>
    <w:p>
      <w:pPr>
        <w:ind w:left="3480" w:right="2620" w:hanging="843"/>
        <w:spacing w:after="0" w:line="278" w:lineRule="auto"/>
        <w:tabs>
          <w:tab w:leader="none" w:pos="30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CONDENSED CONSOLIDATED BALANCE SHEETS</w:t>
      </w:r>
    </w:p>
    <w:p>
      <w:pPr>
        <w:spacing w:after="0" w:line="1" w:lineRule="exact"/>
        <w:rPr>
          <w:rFonts w:ascii="Times New Roman" w:cs="Times New Roman" w:eastAsia="Times New Roman" w:hAnsi="Times New Roman"/>
          <w:sz w:val="17"/>
          <w:szCs w:val="17"/>
          <w:b w:val="1"/>
          <w:bCs w:val="1"/>
          <w:color w:val="auto"/>
        </w:rPr>
      </w:pPr>
    </w:p>
    <w:p>
      <w:pPr>
        <w:ind w:left="43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202"/>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202,926</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111,192</w:t>
            </w:r>
          </w:p>
        </w:tc>
        <w:tc>
          <w:tcPr>
            <w:tcW w:w="120" w:type="dxa"/>
            <w:vAlign w:val="bottom"/>
            <w:shd w:val="clear" w:color="auto" w:fill="CFF0FC"/>
          </w:tcPr>
          <w:p>
            <w:pPr>
              <w:spacing w:after="0"/>
              <w:rPr>
                <w:sz w:val="17"/>
                <w:szCs w:val="17"/>
                <w:color w:val="auto"/>
              </w:rPr>
            </w:pPr>
          </w:p>
        </w:tc>
      </w:tr>
      <w:tr>
        <w:trPr>
          <w:trHeight w:val="189"/>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receivable—Net of allowances of $4,044 and $3,773 as of September 30, 2026 and December 31,</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respectively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137,056</w:t>
            </w:r>
          </w:p>
        </w:tc>
        <w:tc>
          <w:tcPr>
            <w:tcW w:w="120" w:type="dxa"/>
            <w:vAlign w:val="bottom"/>
          </w:tcPr>
          <w:p>
            <w:pPr>
              <w:spacing w:after="0"/>
              <w:rPr>
                <w:sz w:val="18"/>
                <w:szCs w:val="18"/>
                <w:color w:val="auto"/>
              </w:rPr>
            </w:pPr>
          </w:p>
        </w:tc>
      </w:tr>
      <w:tr>
        <w:trPr>
          <w:trHeight w:val="20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24,933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33,274</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contract costs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12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335,098</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EQUIPMENT, AND PROPERTY—Net</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173,171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166,796</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ASSETS—Net</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942,018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1,010,658</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1,955,551</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FEES, REVOLVER—Net</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COSTS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22,479</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120" w:type="dxa"/>
            <w:vAlign w:val="bottom"/>
            <w:tcBorders>
              <w:bottom w:val="single" w:sz="8" w:color="CFF0FC"/>
            </w:tcBorders>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3,602,061</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3,573,432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2"/>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24,245</w:t>
            </w:r>
          </w:p>
        </w:tc>
        <w:tc>
          <w:tcPr>
            <w:tcW w:w="14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78,976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80,897</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licensing agreement—Net</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54,917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72,793</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 payable to minority investor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25,197</w:t>
            </w:r>
          </w:p>
        </w:tc>
        <w:tc>
          <w:tcPr>
            <w:tcW w:w="120" w:type="dxa"/>
            <w:vAlign w:val="bottom"/>
          </w:tcPr>
          <w:p>
            <w:pPr>
              <w:spacing w:after="0"/>
              <w:rPr>
                <w:sz w:val="17"/>
                <w:szCs w:val="17"/>
                <w:color w:val="auto"/>
              </w:rPr>
            </w:pPr>
          </w:p>
        </w:tc>
      </w:tr>
      <w:tr>
        <w:trPr>
          <w:trHeight w:val="19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208,437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234,125</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DEBT—Net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1,264,941</w:t>
            </w:r>
          </w:p>
        </w:tc>
        <w:tc>
          <w:tcPr>
            <w:tcW w:w="120" w:type="dxa"/>
            <w:vAlign w:val="bottom"/>
          </w:tcPr>
          <w:p>
            <w:pPr>
              <w:spacing w:after="0"/>
              <w:rPr>
                <w:sz w:val="17"/>
                <w:szCs w:val="17"/>
                <w:color w:val="auto"/>
              </w:rPr>
            </w:pPr>
          </w:p>
        </w:tc>
      </w:tr>
      <w:tr>
        <w:trPr>
          <w:trHeight w:val="202"/>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TAXES—Net</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217,194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199,311</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LONG-TERM LICENSING AGREEMENT—Net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20,968</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51,467</w:t>
            </w: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15,610</w:t>
            </w:r>
          </w:p>
        </w:tc>
        <w:tc>
          <w:tcPr>
            <w:tcW w:w="120" w:type="dxa"/>
            <w:vAlign w:val="bottom"/>
            <w:tcBorders>
              <w:bottom w:val="single" w:sz="8" w:color="CFF0FC"/>
            </w:tcBorders>
          </w:tcPr>
          <w:p>
            <w:pPr>
              <w:spacing w:after="0"/>
              <w:rPr>
                <w:sz w:val="17"/>
                <w:szCs w:val="17"/>
                <w:color w:val="auto"/>
              </w:rPr>
            </w:pPr>
          </w:p>
        </w:tc>
      </w:tr>
      <w:tr>
        <w:trPr>
          <w:trHeight w:val="196"/>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1,760,176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1,786,422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(Notes 19 and 20)</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stock—$0.0001 par; 100,000,000 shares authorized; no shares issued or outstanding</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stock—$0.0001 par; 5,000,000,000 shares authorized; 590,525,042 and</w:t>
            </w: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605,449,050 shares issued and outstanding as of September 30, 2026 and December 31, 2025, respectively</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8"/>
                <w:szCs w:val="18"/>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3,571,841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3,483,031</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(1,729,118)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(1,695,057)</w:t>
            </w: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(1,024)</w:t>
            </w:r>
          </w:p>
        </w:tc>
      </w:tr>
      <w:tr>
        <w:trPr>
          <w:trHeight w:val="196"/>
        </w:trPr>
        <w:tc>
          <w:tcPr>
            <w:tcW w:w="760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1,841,885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1,787,010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3,602,061</w:t>
            </w:r>
          </w:p>
        </w:tc>
        <w:tc>
          <w:tcPr>
            <w:tcW w:w="14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3,573,432</w:t>
            </w:r>
          </w:p>
        </w:tc>
        <w:tc>
          <w:tcPr>
            <w:tcW w:w="12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9"/>
        </w:trPr>
        <w:tc>
          <w:tcPr>
            <w:tcW w:w="7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-5374005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-5374005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-4070985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-4053840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-4208145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-4070985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-4053840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-4208145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-2120900</wp:posOffset>
            </wp:positionV>
            <wp:extent cx="939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-2120900</wp:posOffset>
            </wp:positionV>
            <wp:extent cx="1028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-946150</wp:posOffset>
            </wp:positionV>
            <wp:extent cx="939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-946150</wp:posOffset>
            </wp:positionV>
            <wp:extent cx="1028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59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294,093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267,120</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861,298</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779,136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revenues, exclusive of amortization of acquired technologies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71,719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69,779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210,671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cost of revenues</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76,087</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74,147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223,776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637,522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38,017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44,208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18,511</w:t>
            </w:r>
          </w:p>
        </w:tc>
        <w:tc>
          <w:tcPr>
            <w:tcW w:w="2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160,619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57,387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29,974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153,837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(20,900)</w:t>
            </w: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(61,559)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(52,866)</w:t>
            </w: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(EXPENSE)—NET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(6,688)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PRETAX INCOME (LOSS)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39,934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(11,575)</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(9,703)</w:t>
            </w: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INCOME (LOSS) INCLUDING NON-CONTROLLING</w:t>
            </w: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(6,432)</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INCOME (LOSS) ATTRIBUTABLE TO CCC INTELLIGENT</w:t>
            </w: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SOLUTIONS HOLDINGS INC. 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(1,971)</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(7,708)</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575,679,641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631,440,015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578,837,408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635,263,670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593,430,988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631,440,015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595,291,220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635,263,670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 (loss) including non-controlling interest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(6,432)</w:t>
            </w:r>
          </w:p>
        </w:tc>
        <w:tc>
          <w:tcPr>
            <w:tcW w:w="0" w:type="dxa"/>
            <w:vAlign w:val="bottom"/>
          </w:tcPr>
          <w:p>
            <w:pPr>
              <w:spacing w:after="0"/>
              <w:rPr>
                <w:sz w:val="1"/>
                <w:szCs w:val="1"/>
                <w:color w:val="auto"/>
              </w:rPr>
            </w:pPr>
          </w:p>
        </w:tc>
      </w:tr>
      <w:tr>
        <w:trPr>
          <w:trHeight w:val="189"/>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income—Foreign currency translation</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COMPREHENSIVE INCOME (LOSS) INCLUDING</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(6,311)</w:t>
            </w:r>
          </w:p>
        </w:tc>
        <w:tc>
          <w:tcPr>
            <w:tcW w:w="0" w:type="dxa"/>
            <w:vAlign w:val="bottom"/>
          </w:tcPr>
          <w:p>
            <w:pPr>
              <w:spacing w:after="0"/>
              <w:rPr>
                <w:sz w:val="1"/>
                <w:szCs w:val="1"/>
                <w:color w:val="auto"/>
              </w:rPr>
            </w:pPr>
          </w:p>
        </w:tc>
      </w:tr>
      <w:tr>
        <w:trPr>
          <w:trHeight w:val="202"/>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COMPREHENSIVE INCOME (LOSS) ATTRIBUTABLE TO CCC</w:t>
            </w: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INTELLIGENT SOLUTIONS HOLDINGS INC. COMMON</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26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(1,888)</w:t>
            </w:r>
          </w:p>
        </w:tc>
        <w:tc>
          <w:tcPr>
            <w:tcW w:w="2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66,562</w:t>
            </w:r>
          </w:p>
        </w:tc>
        <w:tc>
          <w:tcPr>
            <w:tcW w:w="160" w:type="dxa"/>
            <w:vAlign w:val="bottom"/>
            <w:shd w:val="clear" w:color="auto" w:fill="CFF0FC"/>
          </w:tcPr>
          <w:p>
            <w:pPr>
              <w:spacing w:after="0"/>
              <w:rPr>
                <w:sz w:val="17"/>
                <w:szCs w:val="17"/>
                <w:color w:val="auto"/>
              </w:rPr>
            </w:pPr>
          </w:p>
        </w:tc>
        <w:tc>
          <w:tcPr>
            <w:tcW w:w="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(7,587)</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80"/>
              <w:spacing w:after="0" w:line="176" w:lineRule="exact"/>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59"/>
        </w:trPr>
        <w:tc>
          <w:tcPr>
            <w:tcW w:w="592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-5202555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-5202555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-5202555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-5202555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-4426585</wp:posOffset>
            </wp:positionV>
            <wp:extent cx="102870" cy="17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-4426585</wp:posOffset>
            </wp:positionV>
            <wp:extent cx="93980"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-4426585</wp:posOffset>
            </wp:positionV>
            <wp:extent cx="93980" cy="170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-4426585</wp:posOffset>
            </wp:positionV>
            <wp:extent cx="93980"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-659130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-642620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-659130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-642620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-659130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-642620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2900" w:right="2620" w:hanging="263"/>
        <w:spacing w:after="0" w:line="263" w:lineRule="auto"/>
        <w:tabs>
          <w:tab w:leader="none" w:pos="30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INTELLIGENT SOLUTIONS HOLDINGS INC. AND SUBSIDIARIES CONDENSED 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5"/>
        </w:trPr>
        <w:tc>
          <w:tcPr>
            <w:tcW w:w="8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8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40" w:type="dxa"/>
            <w:vAlign w:val="bottom"/>
          </w:tcPr>
          <w:p>
            <w:pPr>
              <w:spacing w:after="0"/>
              <w:rPr>
                <w:sz w:val="17"/>
                <w:szCs w:val="17"/>
                <w:color w:val="auto"/>
              </w:rPr>
            </w:pPr>
          </w:p>
        </w:tc>
        <w:tc>
          <w:tcPr>
            <w:tcW w:w="6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(6,432)</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of software, equipment, and property</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44,376</w:t>
            </w: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68,641</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(1,208)</w:t>
            </w: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146,216</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financing fees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Amortization of discount on debt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(10,019)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w:t>
            </w: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Accounts receivable—Net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(5,051)</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(33,743)</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contract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(566)</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(2,770)</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contract costs—Non-current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(1,902)</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assets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(30,733)</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(6,707)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(6,720)</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(3,277)</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Deferred revenues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(17,875)</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(2,901)</w:t>
            </w:r>
          </w:p>
        </w:tc>
      </w:tr>
      <w:tr>
        <w:trPr>
          <w:trHeight w:val="196"/>
        </w:trPr>
        <w:tc>
          <w:tcPr>
            <w:tcW w:w="816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259,464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196,315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software, equipment, and property</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(52,966)</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(46,684)</w:t>
            </w:r>
          </w:p>
        </w:tc>
      </w:tr>
      <w:tr>
        <w:trPr>
          <w:trHeight w:val="202"/>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 of EvolutionIQ, Inc., net of cash acquired</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(410,412)</w:t>
            </w:r>
          </w:p>
        </w:tc>
      </w:tr>
      <w:tr>
        <w:trPr>
          <w:trHeight w:val="20"/>
        </w:trPr>
        <w:tc>
          <w:tcPr>
            <w:tcW w:w="8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1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(52,966)</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(457,096)</w:t>
            </w:r>
          </w:p>
        </w:tc>
      </w:tr>
      <w:tr>
        <w:trPr>
          <w:trHeight w:val="196"/>
        </w:trPr>
        <w:tc>
          <w:tcPr>
            <w:tcW w:w="8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20" w:type="dxa"/>
            <w:vAlign w:val="bottom"/>
          </w:tcPr>
          <w:p>
            <w:pPr>
              <w:spacing w:after="0"/>
              <w:rPr>
                <w:sz w:val="17"/>
                <w:szCs w:val="17"/>
                <w:color w:val="auto"/>
              </w:rPr>
            </w:pP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 for employee taxes withheld upon vesting of equity awards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(18,631)</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(48,262)</w:t>
            </w: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(100,166)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(212,485)</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of fees associated with the debt modification</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(6,565)</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(9,774)</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(7,508)</w:t>
            </w:r>
          </w:p>
        </w:tc>
      </w:tr>
      <w:tr>
        <w:trPr>
          <w:trHeight w:val="20"/>
        </w:trPr>
        <w:tc>
          <w:tcPr>
            <w:tcW w:w="8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81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(114,919)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(41,173)</w:t>
            </w:r>
          </w:p>
        </w:tc>
      </w:tr>
      <w:tr>
        <w:trPr>
          <w:trHeight w:val="196"/>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EFFECT OF EXCHANGE RATE CHANGES ON CASH AND CASH EQUIVALENTS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(301,842)</w:t>
            </w:r>
          </w:p>
        </w:tc>
      </w:tr>
      <w:tr>
        <w:trPr>
          <w:trHeight w:val="203"/>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398,983</w:t>
            </w:r>
          </w:p>
        </w:tc>
        <w:tc>
          <w:tcPr>
            <w:tcW w:w="120" w:type="dxa"/>
            <w:vAlign w:val="bottom"/>
          </w:tcPr>
          <w:p>
            <w:pPr>
              <w:spacing w:after="0"/>
              <w:rPr>
                <w:sz w:val="17"/>
                <w:szCs w:val="17"/>
                <w:color w:val="auto"/>
              </w:rPr>
            </w:pPr>
          </w:p>
        </w:tc>
      </w:tr>
      <w:tr>
        <w:trPr>
          <w:trHeight w:val="236"/>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202,926</w:t>
            </w: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97,141</w:t>
            </w:r>
          </w:p>
        </w:tc>
        <w:tc>
          <w:tcPr>
            <w:tcW w:w="120" w:type="dxa"/>
            <w:vAlign w:val="bottom"/>
            <w:shd w:val="clear" w:color="auto" w:fill="CFF0FC"/>
          </w:tcPr>
          <w:p>
            <w:pPr>
              <w:spacing w:after="0"/>
              <w:rPr>
                <w:sz w:val="20"/>
                <w:szCs w:val="20"/>
                <w:color w:val="auto"/>
              </w:rPr>
            </w:pPr>
          </w:p>
        </w:tc>
      </w:tr>
      <w:tr>
        <w:trPr>
          <w:trHeight w:val="183"/>
        </w:trPr>
        <w:tc>
          <w:tcPr>
            <w:tcW w:w="8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43"/>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purchases of software, equipment, and property</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8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issued related the acquisition of EvolutionIQ, Inc.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250,441</w:t>
            </w:r>
          </w:p>
        </w:tc>
        <w:tc>
          <w:tcPr>
            <w:tcW w:w="120" w:type="dxa"/>
            <w:vAlign w:val="bottom"/>
          </w:tcPr>
          <w:p>
            <w:pPr>
              <w:spacing w:after="0"/>
              <w:rPr>
                <w:sz w:val="15"/>
                <w:szCs w:val="15"/>
                <w:color w:val="auto"/>
              </w:rPr>
            </w:pPr>
          </w:p>
        </w:tc>
      </w:tr>
      <w:tr>
        <w:trPr>
          <w:trHeight w:val="20"/>
        </w:trPr>
        <w:tc>
          <w:tcPr>
            <w:tcW w:w="8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promissory note to minority investor of redeemable preferred securities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120" w:type="dxa"/>
            <w:vAlign w:val="bottom"/>
            <w:shd w:val="clear" w:color="auto" w:fill="CFF0FC"/>
          </w:tcPr>
          <w:p>
            <w:pPr>
              <w:spacing w:after="0"/>
              <w:rPr>
                <w:sz w:val="19"/>
                <w:szCs w:val="19"/>
                <w:color w:val="auto"/>
              </w:rPr>
            </w:pPr>
          </w:p>
        </w:tc>
      </w:tr>
      <w:tr>
        <w:trPr>
          <w:trHeight w:val="183"/>
        </w:trPr>
        <w:tc>
          <w:tcPr>
            <w:tcW w:w="8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43"/>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57,637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51,893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83"/>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income taxes—Net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9,142</w:t>
            </w:r>
          </w:p>
        </w:tc>
        <w:tc>
          <w:tcPr>
            <w:tcW w:w="140" w:type="dxa"/>
            <w:vAlign w:val="bottom"/>
          </w:tcPr>
          <w:p>
            <w:pPr>
              <w:spacing w:after="0"/>
              <w:rPr>
                <w:sz w:val="15"/>
                <w:szCs w:val="15"/>
                <w:color w:val="auto"/>
              </w:rPr>
            </w:pPr>
          </w:p>
        </w:tc>
        <w:tc>
          <w:tcPr>
            <w:tcW w:w="6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120" w:type="dxa"/>
            <w:vAlign w:val="bottom"/>
          </w:tcPr>
          <w:p>
            <w:pPr>
              <w:spacing w:after="0"/>
              <w:rPr>
                <w:sz w:val="15"/>
                <w:szCs w:val="15"/>
                <w:color w:val="auto"/>
              </w:rPr>
            </w:pPr>
          </w:p>
        </w:tc>
      </w:tr>
      <w:tr>
        <w:trPr>
          <w:trHeight w:val="20"/>
        </w:trPr>
        <w:tc>
          <w:tcPr>
            <w:tcW w:w="8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9"/>
        </w:trPr>
        <w:tc>
          <w:tcPr>
            <w:tcW w:w="8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-4062730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-4062730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-3531235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-3531235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-2493645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-2493645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-2219325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-2219325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-1687830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-1670685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-1687830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-1670685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-1405255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-1388110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-1388110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-1096645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-1079500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-813435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-796290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-813435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ind w:left="2640" w:right="2620" w:hanging="3"/>
        <w:spacing w:after="0" w:line="278" w:lineRule="auto"/>
        <w:tabs>
          <w:tab w:leader="none" w:pos="30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RECONCILIATION OF GROSS PROFIT TO ADJUSTED GROSS PROFIT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profit margin percentage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percentages)</w:t>
            </w:r>
          </w:p>
        </w:tc>
        <w:tc>
          <w:tcPr>
            <w:tcW w:w="18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3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218,006</w:t>
            </w:r>
          </w:p>
        </w:tc>
        <w:tc>
          <w:tcPr>
            <w:tcW w:w="2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192,973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637,522</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571,981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 and related employer payroll tax</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224,639</w:t>
            </w:r>
          </w:p>
        </w:tc>
        <w:tc>
          <w:tcPr>
            <w:tcW w:w="2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199,497</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657,540</w:t>
            </w:r>
          </w:p>
        </w:tc>
        <w:tc>
          <w:tcPr>
            <w:tcW w:w="2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 Margin</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Gross Profit Margin</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961"/>
        </w:trPr>
        <w:tc>
          <w:tcPr>
            <w:tcW w:w="5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-1079500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-1079500</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-1079500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-1079500</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1620" w:right="1620" w:firstLine="1017"/>
        <w:spacing w:after="0" w:line="278" w:lineRule="auto"/>
        <w:tabs>
          <w:tab w:leader="none" w:pos="3067"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RECONCILIATION OF GAAP OPERATING EXPENSES TO ADJUSTED OPERATING EXPENSES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6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160,619</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162,999</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483,685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(55,535)</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(55,536)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(29,493)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(37,623)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(90,446)</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(142,562)</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Litigation proceeds, net</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Debt refinancing costs</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106,453</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333,540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6"/>
        </w:trPr>
        <w:tc>
          <w:tcPr>
            <w:tcW w:w="6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-942340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-942340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-942340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1800" w:right="1780" w:firstLine="837"/>
        <w:spacing w:after="0" w:line="278" w:lineRule="auto"/>
        <w:tabs>
          <w:tab w:leader="none" w:pos="307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RECONCILIATION OF GAAP OPERATING INCOME TO ADJUSTED OPERATING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153,837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Litigation proceeds, net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Debt refinancing costs</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272,627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959"/>
        </w:trPr>
        <w:tc>
          <w:tcPr>
            <w:tcW w:w="6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-659130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-642620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-805180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-659130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-642620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-805180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-659130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-642620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-805180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-805180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2440" w:right="2440" w:firstLine="197"/>
        <w:spacing w:after="0" w:line="278" w:lineRule="auto"/>
        <w:tabs>
          <w:tab w:leader="none" w:pos="3067"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RECONCILIATION OF GAAP NET INCOME (LOSS) TO ADJUSTED EBITDA</w:t>
      </w:r>
    </w:p>
    <w:p>
      <w:pPr>
        <w:spacing w:after="0" w:line="1" w:lineRule="exact"/>
        <w:rPr>
          <w:rFonts w:ascii="Times New Roman" w:cs="Times New Roman" w:eastAsia="Times New Roman" w:hAnsi="Times New Roman"/>
          <w:sz w:val="17"/>
          <w:szCs w:val="17"/>
          <w:b w:val="1"/>
          <w:bCs w:val="1"/>
          <w:color w:val="auto"/>
        </w:rPr>
      </w:pPr>
    </w:p>
    <w:p>
      <w:pPr>
        <w:ind w:left="3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except for EBITDA margin percentage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gridSpan w:val="2"/>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6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(1,971)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software, equipment and property</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software, equipment and property—Cost of</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Litigation proceeds, net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Debt refinancing costs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(2,514)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(10,019)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Expense (Income) from derivative instruments</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9"/>
        </w:trPr>
        <w:tc>
          <w:tcPr>
            <w:tcW w:w="65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130,539</w:t>
            </w:r>
          </w:p>
        </w:tc>
        <w:tc>
          <w:tcPr>
            <w:tcW w:w="3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110,120</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366,217</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317,314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979"/>
        </w:trPr>
        <w:tc>
          <w:tcPr>
            <w:tcW w:w="6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-942340</wp:posOffset>
            </wp:positionV>
            <wp:extent cx="111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-942340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-942340</wp:posOffset>
            </wp:positionV>
            <wp:extent cx="111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-942340</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2200" w:right="2200" w:firstLine="437"/>
        <w:spacing w:after="0" w:line="278" w:lineRule="auto"/>
        <w:tabs>
          <w:tab w:leader="none" w:pos="3069"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RECONCILIATION OF GAAP NET INCOME (LOSS) TO ADJUSTED NET INCOME</w:t>
      </w:r>
    </w:p>
    <w:p>
      <w:pPr>
        <w:spacing w:after="0" w:line="1" w:lineRule="exact"/>
        <w:rPr>
          <w:rFonts w:ascii="Times New Roman" w:cs="Times New Roman" w:eastAsia="Times New Roman" w:hAnsi="Times New Roman"/>
          <w:sz w:val="17"/>
          <w:szCs w:val="17"/>
          <w:b w:val="1"/>
          <w:bCs w:val="1"/>
          <w:color w:val="auto"/>
        </w:rPr>
      </w:pPr>
    </w:p>
    <w:p>
      <w:pPr>
        <w:ind w:left="38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6040" w:type="dxa"/>
            <w:vAlign w:val="bottom"/>
            <w:gridSpan w:val="3"/>
          </w:tcPr>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78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1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proceeds,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refinancing costs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75,148</w:t>
            </w:r>
          </w:p>
        </w:tc>
        <w:tc>
          <w:tcPr>
            <w:tcW w:w="1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203,235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172,766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Per Share attributable to common stockholders: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575,679,641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631,440,015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578,837,408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635,263,670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593,430,988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657,825,243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595,291,220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664,060,542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9"/>
        </w:trPr>
        <w:tc>
          <w:tcPr>
            <w:tcW w:w="8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1480" w:right="1480" w:firstLine="1157"/>
        <w:spacing w:after="0" w:line="278" w:lineRule="auto"/>
        <w:tabs>
          <w:tab w:leader="none" w:pos="3069"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RECONCILIATION OF NET CASH FLOW FROM OPERATING ACTIVITIES TO FREE CASH FLOW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100,429</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94,767</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259,464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software, equipment, and property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(46,684)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82,465</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206,498</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959"/>
        </w:trPr>
        <w:tc>
          <w:tcPr>
            <w:tcW w:w="602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-659130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-642620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-659130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-642620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-659130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-642620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upperLetter"/>
      <w:start w:val="55"/>
    </w:lvl>
  </w:abstractNum>
  <w:abstractNum w:abstractNumId="6">
    <w:nsid w:val="216231B"/>
    <w:multiLevelType w:val="hybridMultilevel"/>
    <w:lvl w:ilvl="0">
      <w:lvlJc w:val="left"/>
      <w:lvlText w:val="%1"/>
      <w:numFmt w:val="upperLetter"/>
      <w:start w:val="55"/>
    </w:lvl>
  </w:abstractNum>
  <w:abstractNum w:abstractNumId="7">
    <w:nsid w:val="1F16E9E8"/>
    <w:multiLevelType w:val="hybridMultilevel"/>
    <w:lvl w:ilvl="0">
      <w:lvlJc w:val="left"/>
      <w:lvlText w:val="%1"/>
      <w:numFmt w:val="upperLetter"/>
      <w:start w:val="55"/>
    </w:lvl>
  </w:abstractNum>
  <w:abstractNum w:abstractNumId="8">
    <w:nsid w:val="1190CDE7"/>
    <w:multiLevelType w:val="hybridMultilevel"/>
    <w:lvl w:ilvl="0">
      <w:lvlJc w:val="left"/>
      <w:lvlText w:val="%1"/>
      <w:numFmt w:val="upperLetter"/>
      <w:start w:val="55"/>
    </w:lvl>
  </w:abstractNum>
  <w:abstractNum w:abstractNumId="9">
    <w:nsid w:val="66EF438D"/>
    <w:multiLevelType w:val="hybridMultilevel"/>
    <w:lvl w:ilvl="0">
      <w:lvlJc w:val="left"/>
      <w:lvlText w:val="%1"/>
      <w:numFmt w:val="upperLetter"/>
      <w:start w:val="55"/>
    </w:lvl>
  </w:abstractNum>
  <w:abstractNum w:abstractNumId="10">
    <w:nsid w:val="140E0F76"/>
    <w:multiLevelType w:val="hybridMultilevel"/>
    <w:lvl w:ilvl="0">
      <w:lvlJc w:val="left"/>
      <w:lvlText w:val="%1"/>
      <w:numFmt w:val="upperLetter"/>
      <w:start w:val="55"/>
    </w:lvl>
  </w:abstractNum>
  <w:abstractNum w:abstractNumId="11">
    <w:nsid w:val="3352255A"/>
    <w:multiLevelType w:val="hybridMultilevel"/>
    <w:lvl w:ilvl="0">
      <w:lvlJc w:val="left"/>
      <w:lvlText w:val="%1"/>
      <w:numFmt w:val="upperLetter"/>
      <w:start w:val="55"/>
    </w:lvl>
  </w:abstractNum>
  <w:abstractNum w:abstractNumId="12">
    <w:nsid w:val="109CF92E"/>
    <w:multiLevelType w:val="hybridMultilevel"/>
    <w:lvl w:ilvl="0">
      <w:lvlJc w:val="left"/>
      <w:lvlText w:val="%1"/>
      <w:numFmt w:val="upperLetter"/>
      <w:start w:val="55"/>
    </w:lvl>
  </w:abstractNum>
  <w:abstractNum w:abstractNumId="13">
    <w:nsid w:val="DED7263"/>
    <w:multiLevelType w:val="hybridMultilevel"/>
    <w:lvl w:ilvl="0">
      <w:lvlJc w:val="left"/>
      <w:lvlText w:val="%1"/>
      <w:numFmt w:val="upperLetter"/>
      <w:start w:val="5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2026-10-29T06:16:42Z</dcterms:created>
  <dcterms:modified xsi:type="dcterms:W3CDTF">2026-10-29T06:16:42Z</dcterms:modified>
</cp:coreProperties>
</file>