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ind w:left="3880" w:right="1620" w:hanging="3859"/>
        <w:spacing w:after="0" w:line="266" w:lineRule="auto"/>
        <w:tabs>
          <w:tab w:leader="none" w:pos="47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49" w:lineRule="exact"/>
        <w:rPr>
          <w:sz w:val="24"/>
          <w:szCs w:val="24"/>
          <w:color w:val="auto"/>
        </w:rPr>
      </w:pPr>
    </w:p>
    <w:p>
      <w:pPr>
        <w:ind w:left="2860" w:right="1600" w:hanging="2839"/>
        <w:spacing w:after="0" w:line="266" w:lineRule="auto"/>
        <w:tabs>
          <w:tab w:leader="none" w:pos="4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CCC INTELLIGENT SOLUTIONS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240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001-39447</w:t>
            </w:r>
          </w:p>
        </w:tc>
        <w:tc>
          <w:tcPr>
            <w:tcW w:w="404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98-1546280</w:t>
            </w:r>
          </w:p>
        </w:tc>
        <w:tc>
          <w:tcPr>
            <w:tcW w:w="0" w:type="dxa"/>
            <w:vAlign w:val="bottom"/>
          </w:tcPr>
          <w:p>
            <w:pPr>
              <w:spacing w:after="0"/>
              <w:rPr>
                <w:sz w:val="1"/>
                <w:szCs w:val="1"/>
                <w:color w:val="auto"/>
              </w:rPr>
            </w:pPr>
          </w:p>
        </w:tc>
      </w:tr>
      <w:tr>
        <w:trPr>
          <w:trHeight w:val="175"/>
        </w:trPr>
        <w:tc>
          <w:tcPr>
            <w:tcW w:w="4680" w:type="dxa"/>
            <w:vAlign w:val="bottom"/>
          </w:tcPr>
          <w:p>
            <w:pPr>
              <w:jc w:val="center"/>
              <w:ind w:right="930"/>
              <w:spacing w:after="0" w:line="176" w:lineRule="exact"/>
              <w:rPr>
                <w:sz w:val="20"/>
                <w:szCs w:val="20"/>
                <w:color w:val="auto"/>
              </w:rPr>
            </w:pPr>
            <w:r>
              <w:rPr>
                <w:rFonts w:ascii="Arial" w:cs="Arial" w:eastAsia="Arial" w:hAnsi="Arial"/>
                <w:sz w:val="18"/>
                <w:szCs w:val="18"/>
                <w:b w:val="1"/>
                <w:bCs w:val="1"/>
                <w:color w:val="auto"/>
                <w:w w:val="91"/>
              </w:rPr>
              <w:t>(State or other jurisdiction</w:t>
            </w:r>
          </w:p>
        </w:tc>
        <w:tc>
          <w:tcPr>
            <w:tcW w:w="2400" w:type="dxa"/>
            <w:vAlign w:val="bottom"/>
          </w:tcPr>
          <w:p>
            <w:pPr>
              <w:ind w:left="360"/>
              <w:spacing w:after="0" w:line="176" w:lineRule="exact"/>
              <w:rPr>
                <w:sz w:val="20"/>
                <w:szCs w:val="20"/>
                <w:color w:val="auto"/>
              </w:rPr>
            </w:pPr>
            <w:r>
              <w:rPr>
                <w:rFonts w:ascii="Arial" w:cs="Arial" w:eastAsia="Arial" w:hAnsi="Arial"/>
                <w:sz w:val="18"/>
                <w:szCs w:val="18"/>
                <w:b w:val="1"/>
                <w:bCs w:val="1"/>
                <w:color w:val="auto"/>
              </w:rPr>
              <w:t>(Commission</w:t>
            </w:r>
          </w:p>
        </w:tc>
        <w:tc>
          <w:tcPr>
            <w:tcW w:w="4040" w:type="dxa"/>
            <w:vAlign w:val="bottom"/>
          </w:tcPr>
          <w:p>
            <w:pPr>
              <w:jc w:val="center"/>
              <w:ind w:left="250"/>
              <w:spacing w:after="0" w:line="176" w:lineRule="exact"/>
              <w:rPr>
                <w:sz w:val="20"/>
                <w:szCs w:val="20"/>
                <w:color w:val="auto"/>
              </w:rPr>
            </w:pPr>
            <w:r>
              <w:rPr>
                <w:rFonts w:ascii="Arial" w:cs="Arial" w:eastAsia="Arial" w:hAnsi="Arial"/>
                <w:sz w:val="18"/>
                <w:szCs w:val="18"/>
                <w:b w:val="1"/>
                <w:bCs w:val="1"/>
                <w:color w:val="auto"/>
                <w:w w:val="95"/>
              </w:rPr>
              <w:t>(IRS Employer</w:t>
            </w:r>
          </w:p>
        </w:tc>
        <w:tc>
          <w:tcPr>
            <w:tcW w:w="0" w:type="dxa"/>
            <w:vAlign w:val="bottom"/>
          </w:tcPr>
          <w:p>
            <w:pPr>
              <w:spacing w:after="0"/>
              <w:rPr>
                <w:sz w:val="1"/>
                <w:szCs w:val="1"/>
                <w:color w:val="auto"/>
              </w:rPr>
            </w:pPr>
          </w:p>
        </w:tc>
      </w:tr>
      <w:tr>
        <w:trPr>
          <w:trHeight w:val="234"/>
        </w:trPr>
        <w:tc>
          <w:tcPr>
            <w:tcW w:w="468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of incorporation or organization)</w:t>
            </w:r>
          </w:p>
        </w:tc>
        <w:tc>
          <w:tcPr>
            <w:tcW w:w="2400" w:type="dxa"/>
            <w:vAlign w:val="bottom"/>
          </w:tcPr>
          <w:p>
            <w:pPr>
              <w:ind w:left="380"/>
              <w:spacing w:after="0"/>
              <w:rPr>
                <w:sz w:val="20"/>
                <w:szCs w:val="20"/>
                <w:color w:val="auto"/>
              </w:rPr>
            </w:pPr>
            <w:r>
              <w:rPr>
                <w:rFonts w:ascii="Arial" w:cs="Arial" w:eastAsia="Arial" w:hAnsi="Arial"/>
                <w:sz w:val="18"/>
                <w:szCs w:val="18"/>
                <w:b w:val="1"/>
                <w:bCs w:val="1"/>
                <w:color w:val="auto"/>
              </w:rPr>
              <w:t>File Number)</w:t>
            </w:r>
          </w:p>
        </w:tc>
        <w:tc>
          <w:tcPr>
            <w:tcW w:w="404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319"/>
        </w:trPr>
        <w:tc>
          <w:tcPr>
            <w:tcW w:w="468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167 N. Green Street, 9th Floor</w:t>
            </w:r>
          </w:p>
        </w:tc>
        <w:tc>
          <w:tcPr>
            <w:tcW w:w="2400" w:type="dxa"/>
            <w:vAlign w:val="bottom"/>
          </w:tcPr>
          <w:p>
            <w:pPr>
              <w:spacing w:after="0"/>
              <w:rPr>
                <w:sz w:val="24"/>
                <w:szCs w:val="24"/>
                <w:color w:val="auto"/>
              </w:rPr>
            </w:pPr>
          </w:p>
        </w:tc>
        <w:tc>
          <w:tcPr>
            <w:tcW w:w="4040" w:type="dxa"/>
            <w:vAlign w:val="bottom"/>
            <w:vMerge w:val="restart"/>
          </w:tcPr>
          <w:p>
            <w:pPr>
              <w:jc w:val="right"/>
              <w:ind w:right="2430"/>
              <w:spacing w:after="0"/>
              <w:rPr>
                <w:sz w:val="20"/>
                <w:szCs w:val="20"/>
                <w:color w:val="auto"/>
              </w:rPr>
            </w:pPr>
            <w:r>
              <w:rPr>
                <w:rFonts w:ascii="Arial" w:cs="Arial" w:eastAsia="Arial" w:hAnsi="Arial"/>
                <w:sz w:val="18"/>
                <w:szCs w:val="18"/>
                <w:b w:val="1"/>
                <w:bCs w:val="1"/>
                <w:color w:val="auto"/>
              </w:rPr>
              <w:t>60607</w:t>
            </w:r>
          </w:p>
        </w:tc>
        <w:tc>
          <w:tcPr>
            <w:tcW w:w="0" w:type="dxa"/>
            <w:vAlign w:val="bottom"/>
          </w:tcPr>
          <w:p>
            <w:pPr>
              <w:spacing w:after="0"/>
              <w:rPr>
                <w:sz w:val="1"/>
                <w:szCs w:val="1"/>
                <w:color w:val="auto"/>
              </w:rPr>
            </w:pPr>
          </w:p>
        </w:tc>
      </w:tr>
      <w:tr>
        <w:trPr>
          <w:trHeight w:val="81"/>
        </w:trPr>
        <w:tc>
          <w:tcPr>
            <w:tcW w:w="4680" w:type="dxa"/>
            <w:vAlign w:val="bottom"/>
            <w:vMerge w:val="restart"/>
          </w:tcPr>
          <w:p>
            <w:pPr>
              <w:jc w:val="center"/>
              <w:ind w:left="670"/>
              <w:spacing w:after="0" w:line="176" w:lineRule="exact"/>
              <w:rPr>
                <w:sz w:val="20"/>
                <w:szCs w:val="20"/>
                <w:color w:val="auto"/>
              </w:rPr>
            </w:pPr>
            <w:r>
              <w:rPr>
                <w:rFonts w:ascii="Arial" w:cs="Arial" w:eastAsia="Arial" w:hAnsi="Arial"/>
                <w:sz w:val="18"/>
                <w:szCs w:val="18"/>
                <w:b w:val="1"/>
                <w:bCs w:val="1"/>
                <w:color w:val="auto"/>
                <w:w w:val="89"/>
              </w:rPr>
              <w:t>Chicago, Illinois</w:t>
            </w:r>
          </w:p>
        </w:tc>
        <w:tc>
          <w:tcPr>
            <w:tcW w:w="240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68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4040" w:type="dxa"/>
            <w:vAlign w:val="bottom"/>
            <w:vMerge w:val="restart"/>
          </w:tcPr>
          <w:p>
            <w:pPr>
              <w:jc w:val="center"/>
              <w:ind w:right="13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140"/>
        </w:trPr>
        <w:tc>
          <w:tcPr>
            <w:tcW w:w="4680" w:type="dxa"/>
            <w:vAlign w:val="bottom"/>
            <w:vMerge w:val="restart"/>
          </w:tcPr>
          <w:p>
            <w:pPr>
              <w:jc w:val="center"/>
              <w:ind w:left="710"/>
              <w:spacing w:after="0" w:line="202" w:lineRule="exact"/>
              <w:rPr>
                <w:sz w:val="20"/>
                <w:szCs w:val="20"/>
                <w:color w:val="auto"/>
              </w:rPr>
            </w:pPr>
            <w:r>
              <w:rPr>
                <w:rFonts w:ascii="Arial" w:cs="Arial" w:eastAsia="Arial" w:hAnsi="Arial"/>
                <w:sz w:val="18"/>
                <w:szCs w:val="18"/>
                <w:b w:val="1"/>
                <w:bCs w:val="1"/>
                <w:color w:val="auto"/>
                <w:w w:val="90"/>
              </w:rPr>
              <w:t>(Address Of Principal Executive Offices)</w:t>
            </w:r>
          </w:p>
        </w:tc>
        <w:tc>
          <w:tcPr>
            <w:tcW w:w="2400" w:type="dxa"/>
            <w:vAlign w:val="bottom"/>
          </w:tcPr>
          <w:p>
            <w:pPr>
              <w:spacing w:after="0"/>
              <w:rPr>
                <w:sz w:val="12"/>
                <w:szCs w:val="12"/>
                <w:color w:val="auto"/>
              </w:rPr>
            </w:pPr>
          </w:p>
        </w:tc>
        <w:tc>
          <w:tcPr>
            <w:tcW w:w="4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4680" w:type="dxa"/>
            <w:vAlign w:val="bottom"/>
            <w:tcBorders>
              <w:bottom w:val="single" w:sz="8" w:color="auto"/>
            </w:tcBorders>
            <w:vMerge w:val="continue"/>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4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680" w:type="dxa"/>
            <w:vAlign w:val="bottom"/>
          </w:tcPr>
          <w:p>
            <w:pPr>
              <w:spacing w:after="0"/>
              <w:rPr>
                <w:sz w:val="17"/>
                <w:szCs w:val="17"/>
                <w:color w:val="auto"/>
              </w:rPr>
            </w:pPr>
          </w:p>
        </w:tc>
        <w:tc>
          <w:tcPr>
            <w:tcW w:w="2400" w:type="dxa"/>
            <w:vAlign w:val="bottom"/>
          </w:tcPr>
          <w:p>
            <w:pPr>
              <w:ind w:left="380"/>
              <w:spacing w:after="0" w:line="204" w:lineRule="exact"/>
              <w:rPr>
                <w:sz w:val="20"/>
                <w:szCs w:val="20"/>
                <w:color w:val="auto"/>
              </w:rPr>
            </w:pPr>
            <w:r>
              <w:rPr>
                <w:rFonts w:ascii="Arial" w:cs="Arial" w:eastAsia="Arial" w:hAnsi="Arial"/>
                <w:sz w:val="18"/>
                <w:szCs w:val="18"/>
                <w:b w:val="1"/>
                <w:bCs w:val="1"/>
                <w:color w:val="auto"/>
              </w:rPr>
              <w:t>(800) 621-8070</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line="234" w:lineRule="auto"/>
        <w:rPr>
          <w:sz w:val="20"/>
          <w:szCs w:val="20"/>
          <w:color w:val="auto"/>
        </w:rPr>
      </w:pPr>
      <w:r>
        <w:rPr>
          <w:rFonts w:ascii="Arial" w:cs="Arial" w:eastAsia="Arial" w:hAnsi="Arial"/>
          <w:sz w:val="18"/>
          <w:szCs w:val="18"/>
          <w:b w:val="1"/>
          <w:bCs w:val="1"/>
          <w:color w:val="auto"/>
        </w:rPr>
        <w:t>Registrant’s telephone number, including area code</w:t>
      </w:r>
    </w:p>
    <w:p>
      <w:pPr>
        <w:jc w:val="center"/>
        <w:spacing w:after="0" w:line="235" w:lineRule="auto"/>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2"/>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CCCS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80"/>
        <w:spacing w:after="0" w:line="21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29, 2022, 616,503,861 shares of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 w:name="page2"/>
    <w:bookmarkEnd w:id="1"/>
    <w:p>
      <w:pPr>
        <w:ind w:left="5200" w:right="3460" w:hanging="1688"/>
        <w:spacing w:after="0" w:line="246" w:lineRule="auto"/>
        <w:tabs>
          <w:tab w:leader="none" w:pos="395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Form 10-Q</w:t>
      </w:r>
    </w:p>
    <w:p>
      <w:pPr>
        <w:jc w:val="center"/>
        <w:ind w:right="-39"/>
        <w:spacing w:after="0" w:line="235" w:lineRule="auto"/>
        <w:rPr>
          <w:sz w:val="20"/>
          <w:szCs w:val="20"/>
          <w:color w:val="auto"/>
        </w:rPr>
      </w:pPr>
      <w:r>
        <w:rPr>
          <w:rFonts w:ascii="Arial" w:cs="Arial" w:eastAsia="Arial" w:hAnsi="Arial"/>
          <w:sz w:val="18"/>
          <w:szCs w:val="18"/>
          <w:b w:val="1"/>
          <w:bCs w:val="1"/>
          <w:color w:val="auto"/>
        </w:rPr>
        <w:t>For the Quarter Ended June 30, 2022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40" w:type="dxa"/>
            <w:vAlign w:val="bottom"/>
            <w:gridSpan w:val="26"/>
            <w:vMerge w:val="restart"/>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35"/>
        </w:trPr>
        <w:tc>
          <w:tcPr>
            <w:tcW w:w="10440" w:type="dxa"/>
            <w:vAlign w:val="bottom"/>
            <w:gridSpan w:val="26"/>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0" w:type="dxa"/>
            <w:vAlign w:val="bottom"/>
            <w:gridSpan w:val="2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Cautionary Statement Regarding Forward-Looking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1"/>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520" w:type="dxa"/>
            <w:vAlign w:val="bottom"/>
            <w:tcBorders>
              <w:top w:val="single" w:sz="8" w:color="0000FF"/>
            </w:tcBorders>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508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20" w:type="dxa"/>
            <w:vAlign w:val="bottom"/>
            <w:tcBorders>
              <w:top w:val="single" w:sz="8" w:color="0000FF"/>
            </w:tcBorders>
            <w:gridSpan w:val="13"/>
          </w:tcPr>
          <w:p>
            <w:pPr>
              <w:spacing w:after="0" w:line="156"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w:t>
              </w:r>
            </w:hyperlink>
          </w:p>
        </w:tc>
        <w:tc>
          <w:tcPr>
            <w:tcW w:w="20" w:type="dxa"/>
            <w:vAlign w:val="bottom"/>
            <w:tcBorders>
              <w:top w:val="single" w:sz="8" w:color="0000EE"/>
            </w:tcBorders>
          </w:tcPr>
          <w:p>
            <w:pPr>
              <w:spacing w:after="0"/>
              <w:rPr>
                <w:sz w:val="13"/>
                <w:szCs w:val="13"/>
                <w:color w:val="auto"/>
              </w:rPr>
            </w:pPr>
          </w:p>
        </w:tc>
        <w:tc>
          <w:tcPr>
            <w:tcW w:w="7160" w:type="dxa"/>
            <w:vAlign w:val="bottom"/>
            <w:gridSpan w:val="10"/>
          </w:tcPr>
          <w:p>
            <w:pPr>
              <w:ind w:left="40"/>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Sheets as of June 30, 2022 (unaudited) and December 31, 2021</w:t>
              </w:r>
            </w:hyperlink>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Unaudited Condensed Consolidated Statements of Operations and Comprehensive Income (Loss)</w:t>
              </w:r>
            </w:hyperlink>
          </w:p>
        </w:tc>
        <w:tc>
          <w:tcPr>
            <w:tcW w:w="2540" w:type="dxa"/>
            <w:vAlign w:val="bottom"/>
            <w:tcBorders>
              <w:bottom w:val="single" w:sz="8" w:color="0000FF"/>
            </w:tcBorders>
            <w:gridSpan w:val="3"/>
          </w:tcPr>
          <w:p>
            <w:pPr>
              <w:ind w:left="20"/>
              <w:spacing w:after="0" w:line="15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for the three and six months ended</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0" w:type="dxa"/>
            <w:vAlign w:val="bottom"/>
            <w:gridSpan w:val="24"/>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June 30, 2022 and 2021</w:t>
              </w:r>
            </w:hyperlink>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20" w:type="dxa"/>
            <w:vAlign w:val="bottom"/>
            <w:tcBorders>
              <w:top w:val="single" w:sz="8" w:color="0000FF"/>
            </w:tcBorders>
            <w:gridSpan w:val="6"/>
          </w:tcPr>
          <w:p>
            <w:pPr>
              <w:spacing w:after="0" w:line="156" w:lineRule="exact"/>
              <w:rPr>
                <w:rFonts w:ascii="Arial" w:cs="Arial" w:eastAsia="Arial" w:hAnsi="Arial"/>
                <w:sz w:val="18"/>
                <w:szCs w:val="18"/>
                <w:color w:val="0000FF"/>
                <w:w w:val="94"/>
              </w:rPr>
            </w:pPr>
            <w:hyperlink w:anchor="page7">
              <w:r>
                <w:rPr>
                  <w:rFonts w:ascii="Arial" w:cs="Arial" w:eastAsia="Arial" w:hAnsi="Arial"/>
                  <w:sz w:val="18"/>
                  <w:szCs w:val="18"/>
                  <w:color w:val="0000FF"/>
                  <w:w w:val="94"/>
                </w:rPr>
                <w:t>Unaudited Condensed</w:t>
              </w:r>
            </w:hyperlink>
          </w:p>
        </w:tc>
        <w:tc>
          <w:tcPr>
            <w:tcW w:w="20" w:type="dxa"/>
            <w:vAlign w:val="bottom"/>
            <w:tcBorders>
              <w:top w:val="single" w:sz="8" w:color="0000EE"/>
            </w:tcBorders>
          </w:tcPr>
          <w:p>
            <w:pPr>
              <w:spacing w:after="0"/>
              <w:rPr>
                <w:sz w:val="13"/>
                <w:szCs w:val="13"/>
                <w:color w:val="auto"/>
              </w:rPr>
            </w:pPr>
          </w:p>
        </w:tc>
        <w:tc>
          <w:tcPr>
            <w:tcW w:w="7860" w:type="dxa"/>
            <w:vAlign w:val="bottom"/>
            <w:gridSpan w:val="17"/>
          </w:tcPr>
          <w:p>
            <w:pPr>
              <w:spacing w:after="0" w:line="156" w:lineRule="exact"/>
              <w:rPr>
                <w:rFonts w:ascii="Arial" w:cs="Arial" w:eastAsia="Arial" w:hAnsi="Arial"/>
                <w:sz w:val="18"/>
                <w:szCs w:val="18"/>
                <w:color w:val="0000FF"/>
                <w:w w:val="91"/>
              </w:rPr>
            </w:pPr>
            <w:hyperlink w:anchor="page7">
              <w:r>
                <w:rPr>
                  <w:rFonts w:ascii="Arial" w:cs="Arial" w:eastAsia="Arial" w:hAnsi="Arial"/>
                  <w:sz w:val="18"/>
                  <w:szCs w:val="18"/>
                  <w:color w:val="0000FF"/>
                  <w:w w:val="91"/>
                </w:rPr>
                <w:t>Consolidated Statements of Mezzanine Equity and Stockholders’ Equity for the three and six months ended</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June 30, 2022 and 2021</w:t>
              </w:r>
            </w:hyperlink>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20" w:type="dxa"/>
            <w:vAlign w:val="bottom"/>
            <w:tcBorders>
              <w:top w:val="single" w:sz="8" w:color="0000FF"/>
            </w:tcBorders>
            <w:gridSpan w:val="6"/>
          </w:tcPr>
          <w:p>
            <w:pPr>
              <w:spacing w:after="0" w:line="156" w:lineRule="exact"/>
              <w:rPr>
                <w:rFonts w:ascii="Arial" w:cs="Arial" w:eastAsia="Arial" w:hAnsi="Arial"/>
                <w:sz w:val="18"/>
                <w:szCs w:val="18"/>
                <w:color w:val="0000FF"/>
                <w:w w:val="94"/>
              </w:rPr>
            </w:pPr>
            <w:hyperlink w:anchor="page10">
              <w:r>
                <w:rPr>
                  <w:rFonts w:ascii="Arial" w:cs="Arial" w:eastAsia="Arial" w:hAnsi="Arial"/>
                  <w:sz w:val="18"/>
                  <w:szCs w:val="18"/>
                  <w:color w:val="0000FF"/>
                  <w:w w:val="94"/>
                </w:rPr>
                <w:t>Unaudited Condensed</w:t>
              </w:r>
            </w:hyperlink>
          </w:p>
        </w:tc>
        <w:tc>
          <w:tcPr>
            <w:tcW w:w="20" w:type="dxa"/>
            <w:vAlign w:val="bottom"/>
            <w:tcBorders>
              <w:top w:val="single" w:sz="8" w:color="0000EE"/>
            </w:tcBorders>
          </w:tcPr>
          <w:p>
            <w:pPr>
              <w:spacing w:after="0"/>
              <w:rPr>
                <w:sz w:val="13"/>
                <w:szCs w:val="13"/>
                <w:color w:val="auto"/>
              </w:rPr>
            </w:pPr>
          </w:p>
        </w:tc>
        <w:tc>
          <w:tcPr>
            <w:tcW w:w="7860" w:type="dxa"/>
            <w:vAlign w:val="bottom"/>
            <w:gridSpan w:val="17"/>
          </w:tcPr>
          <w:p>
            <w:pPr>
              <w:spacing w:after="0" w:line="156" w:lineRule="exact"/>
              <w:rPr>
                <w:rFonts w:ascii="Arial" w:cs="Arial" w:eastAsia="Arial" w:hAnsi="Arial"/>
                <w:sz w:val="18"/>
                <w:szCs w:val="18"/>
                <w:color w:val="0000FF"/>
              </w:rPr>
            </w:pPr>
            <w:hyperlink w:anchor="page10">
              <w:r>
                <w:rPr>
                  <w:rFonts w:ascii="Arial" w:cs="Arial" w:eastAsia="Arial" w:hAnsi="Arial"/>
                  <w:sz w:val="18"/>
                  <w:szCs w:val="18"/>
                  <w:color w:val="0000FF"/>
                </w:rPr>
                <w:t>Consolidated Statements of Cash Flows for the six months ended June 30, 2022 and 2021</w:t>
              </w:r>
            </w:hyperlink>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Condensed Consolidated Financial Statements</w:t>
              </w:r>
            </w:hyperlink>
          </w:p>
        </w:tc>
        <w:tc>
          <w:tcPr>
            <w:tcW w:w="20" w:type="dxa"/>
            <w:vAlign w:val="bottom"/>
            <w:tcBorders>
              <w:top w:val="single" w:sz="8" w:color="0000FF"/>
              <w:bottom w:val="single" w:sz="8" w:color="0000EE"/>
            </w:tcBorders>
          </w:tcPr>
          <w:p>
            <w:pPr>
              <w:spacing w:after="0"/>
              <w:rPr>
                <w:sz w:val="13"/>
                <w:szCs w:val="13"/>
                <w:color w:val="auto"/>
              </w:rPr>
            </w:pPr>
          </w:p>
        </w:tc>
        <w:tc>
          <w:tcPr>
            <w:tcW w:w="4080" w:type="dxa"/>
            <w:vAlign w:val="bottom"/>
            <w:tcBorders>
              <w:top w:val="single" w:sz="8" w:color="0000FF"/>
            </w:tcBorders>
            <w:gridSpan w:val="6"/>
          </w:tcPr>
          <w:p>
            <w:pPr>
              <w:spacing w:after="0"/>
              <w:rPr>
                <w:sz w:val="13"/>
                <w:szCs w:val="13"/>
                <w:color w:val="auto"/>
              </w:rPr>
            </w:pPr>
          </w:p>
        </w:tc>
        <w:tc>
          <w:tcPr>
            <w:tcW w:w="1500" w:type="dxa"/>
            <w:vAlign w:val="bottom"/>
            <w:gridSpan w:val="2"/>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55"/>
        </w:trPr>
        <w:tc>
          <w:tcPr>
            <w:tcW w:w="840" w:type="dxa"/>
            <w:vAlign w:val="bottom"/>
            <w:gridSpan w:val="2"/>
          </w:tcPr>
          <w:p>
            <w:pPr>
              <w:spacing w:after="0" w:line="156" w:lineRule="exact"/>
              <w:rPr>
                <w:sz w:val="20"/>
                <w:szCs w:val="20"/>
                <w:color w:val="auto"/>
              </w:rPr>
            </w:pPr>
            <w:r>
              <w:rPr>
                <w:rFonts w:ascii="Arial" w:cs="Arial" w:eastAsia="Arial" w:hAnsi="Arial"/>
                <w:sz w:val="18"/>
                <w:szCs w:val="18"/>
                <w:color w:val="auto"/>
              </w:rPr>
              <w:t>Item 2.</w:t>
            </w:r>
          </w:p>
        </w:tc>
        <w:tc>
          <w:tcPr>
            <w:tcW w:w="4020" w:type="dxa"/>
            <w:vAlign w:val="bottom"/>
            <w:gridSpan w:val="16"/>
          </w:tcPr>
          <w:p>
            <w:pPr>
              <w:spacing w:after="0" w:line="156" w:lineRule="exact"/>
              <w:rPr>
                <w:rFonts w:ascii="Arial" w:cs="Arial" w:eastAsia="Arial" w:hAnsi="Arial"/>
                <w:sz w:val="18"/>
                <w:szCs w:val="18"/>
                <w:color w:val="0000FF"/>
                <w:w w:val="96"/>
              </w:rPr>
            </w:pPr>
            <w:hyperlink w:anchor="page28">
              <w:r>
                <w:rPr>
                  <w:rFonts w:ascii="Arial" w:cs="Arial" w:eastAsia="Arial" w:hAnsi="Arial"/>
                  <w:sz w:val="18"/>
                  <w:szCs w:val="18"/>
                  <w:color w:val="0000FF"/>
                  <w:w w:val="96"/>
                </w:rPr>
                <w:t>Management’s Discussion and Analysis of Financial</w:t>
              </w:r>
            </w:hyperlink>
          </w:p>
        </w:tc>
        <w:tc>
          <w:tcPr>
            <w:tcW w:w="5580" w:type="dxa"/>
            <w:vAlign w:val="bottom"/>
            <w:gridSpan w:val="8"/>
          </w:tcPr>
          <w:p>
            <w:pPr>
              <w:spacing w:after="0" w:line="156" w:lineRule="exact"/>
              <w:rPr>
                <w:rFonts w:ascii="Arial" w:cs="Arial" w:eastAsia="Arial" w:hAnsi="Arial"/>
                <w:sz w:val="18"/>
                <w:szCs w:val="18"/>
                <w:color w:val="0000FF"/>
              </w:rPr>
            </w:pPr>
            <w:hyperlink w:anchor="page28">
              <w:r>
                <w:rPr>
                  <w:rFonts w:ascii="Arial" w:cs="Arial" w:eastAsia="Arial" w:hAnsi="Arial"/>
                  <w:sz w:val="18"/>
                  <w:szCs w:val="18"/>
                  <w:color w:val="0000FF"/>
                </w:rPr>
                <w:t>Condition and Results of Operations</w:t>
              </w:r>
            </w:hyperlink>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56"/>
        </w:trPr>
        <w:tc>
          <w:tcPr>
            <w:tcW w:w="840" w:type="dxa"/>
            <w:vAlign w:val="bottom"/>
            <w:gridSpan w:val="2"/>
          </w:tcPr>
          <w:p>
            <w:pPr>
              <w:spacing w:after="0" w:line="156" w:lineRule="exact"/>
              <w:rPr>
                <w:sz w:val="20"/>
                <w:szCs w:val="20"/>
                <w:color w:val="auto"/>
              </w:rPr>
            </w:pPr>
            <w:r>
              <w:rPr>
                <w:rFonts w:ascii="Arial" w:cs="Arial" w:eastAsia="Arial" w:hAnsi="Arial"/>
                <w:sz w:val="18"/>
                <w:szCs w:val="18"/>
                <w:color w:val="auto"/>
              </w:rPr>
              <w:t>Item 3.</w:t>
            </w:r>
          </w:p>
        </w:tc>
        <w:tc>
          <w:tcPr>
            <w:tcW w:w="6500" w:type="dxa"/>
            <w:vAlign w:val="bottom"/>
            <w:tcBorders>
              <w:top w:val="single" w:sz="8" w:color="0000EE"/>
            </w:tcBorders>
            <w:gridSpan w:val="20"/>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3100" w:type="dxa"/>
            <w:vAlign w:val="bottom"/>
            <w:gridSpan w:val="4"/>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5"/>
        </w:trPr>
        <w:tc>
          <w:tcPr>
            <w:tcW w:w="840" w:type="dxa"/>
            <w:vAlign w:val="bottom"/>
            <w:gridSpan w:val="2"/>
          </w:tcPr>
          <w:p>
            <w:pPr>
              <w:spacing w:after="0" w:line="15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FF"/>
            </w:tcBorders>
            <w:gridSpan w:val="8"/>
          </w:tcPr>
          <w:p>
            <w:pPr>
              <w:spacing w:after="0" w:line="156" w:lineRule="exact"/>
              <w:rPr>
                <w:rFonts w:ascii="Arial" w:cs="Arial" w:eastAsia="Arial" w:hAnsi="Arial"/>
                <w:sz w:val="18"/>
                <w:szCs w:val="18"/>
                <w:color w:val="0000FF"/>
                <w:w w:val="88"/>
              </w:rPr>
            </w:pPr>
            <w:hyperlink w:anchor="page42">
              <w:r>
                <w:rPr>
                  <w:rFonts w:ascii="Arial" w:cs="Arial" w:eastAsia="Arial" w:hAnsi="Arial"/>
                  <w:sz w:val="18"/>
                  <w:szCs w:val="18"/>
                  <w:color w:val="0000FF"/>
                  <w:w w:val="88"/>
                </w:rPr>
                <w:t>Controls and Procedures</w:t>
              </w:r>
            </w:hyperlink>
          </w:p>
        </w:tc>
        <w:tc>
          <w:tcPr>
            <w:tcW w:w="40" w:type="dxa"/>
            <w:vAlign w:val="bottom"/>
            <w:tcBorders>
              <w:top w:val="single" w:sz="8" w:color="0000EE"/>
              <w:bottom w:val="single" w:sz="8" w:color="0000EE"/>
            </w:tcBorders>
          </w:tcPr>
          <w:p>
            <w:pPr>
              <w:spacing w:after="0"/>
              <w:rPr>
                <w:sz w:val="13"/>
                <w:szCs w:val="13"/>
                <w:color w:val="auto"/>
              </w:rPr>
            </w:pPr>
          </w:p>
        </w:tc>
        <w:tc>
          <w:tcPr>
            <w:tcW w:w="2540" w:type="dxa"/>
            <w:vAlign w:val="bottom"/>
            <w:tcBorders>
              <w:top w:val="single" w:sz="8" w:color="0000EE"/>
            </w:tcBorders>
            <w:gridSpan w:val="8"/>
          </w:tcPr>
          <w:p>
            <w:pPr>
              <w:spacing w:after="0"/>
              <w:rPr>
                <w:sz w:val="13"/>
                <w:szCs w:val="13"/>
                <w:color w:val="auto"/>
              </w:rPr>
            </w:pPr>
          </w:p>
        </w:tc>
        <w:tc>
          <w:tcPr>
            <w:tcW w:w="1660" w:type="dxa"/>
            <w:vAlign w:val="bottom"/>
            <w:gridSpan w:val="2"/>
          </w:tcPr>
          <w:p>
            <w:pPr>
              <w:spacing w:after="0"/>
              <w:rPr>
                <w:sz w:val="13"/>
                <w:szCs w:val="13"/>
                <w:color w:val="auto"/>
              </w:rPr>
            </w:pPr>
          </w:p>
        </w:tc>
        <w:tc>
          <w:tcPr>
            <w:tcW w:w="3580" w:type="dxa"/>
            <w:vAlign w:val="bottom"/>
            <w:gridSpan w:val="5"/>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07"/>
        </w:trPr>
        <w:tc>
          <w:tcPr>
            <w:tcW w:w="10440" w:type="dxa"/>
            <w:vAlign w:val="bottom"/>
            <w:gridSpan w:val="26"/>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 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980" w:type="dxa"/>
            <w:vAlign w:val="bottom"/>
            <w:gridSpan w:val="8"/>
            <w:vMerge w:val="restart"/>
          </w:tcPr>
          <w:p>
            <w:pPr>
              <w:spacing w:after="0" w:line="20" w:lineRule="exact"/>
              <w:rPr>
                <w:sz w:val="1"/>
                <w:szCs w:val="1"/>
                <w:color w:val="auto"/>
              </w:rPr>
            </w:pPr>
          </w:p>
        </w:tc>
        <w:tc>
          <w:tcPr>
            <w:tcW w:w="35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56"/>
        </w:trPr>
        <w:tc>
          <w:tcPr>
            <w:tcW w:w="2760" w:type="dxa"/>
            <w:vAlign w:val="bottom"/>
            <w:gridSpan w:val="12"/>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Item 1. Legal Proceedings</w:t>
              </w:r>
            </w:hyperlink>
          </w:p>
        </w:tc>
        <w:tc>
          <w:tcPr>
            <w:tcW w:w="120" w:type="dxa"/>
            <w:vAlign w:val="bottom"/>
            <w:vMerge w:val="continue"/>
          </w:tcPr>
          <w:p>
            <w:pPr>
              <w:spacing w:after="0"/>
              <w:rPr>
                <w:sz w:val="13"/>
                <w:szCs w:val="13"/>
                <w:color w:val="auto"/>
              </w:rPr>
            </w:pPr>
          </w:p>
        </w:tc>
        <w:tc>
          <w:tcPr>
            <w:tcW w:w="3980" w:type="dxa"/>
            <w:vAlign w:val="bottom"/>
            <w:gridSpan w:val="8"/>
            <w:vMerge w:val="continue"/>
          </w:tcPr>
          <w:p>
            <w:pPr>
              <w:spacing w:after="0"/>
              <w:rPr>
                <w:sz w:val="13"/>
                <w:szCs w:val="13"/>
                <w:color w:val="auto"/>
              </w:rPr>
            </w:pPr>
          </w:p>
        </w:tc>
        <w:tc>
          <w:tcPr>
            <w:tcW w:w="3580" w:type="dxa"/>
            <w:vAlign w:val="bottom"/>
            <w:gridSpan w:val="5"/>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gridSpan w:val="6"/>
            <w:vMerge w:val="restart"/>
          </w:tcPr>
          <w:p>
            <w:pPr>
              <w:spacing w:after="0" w:line="20" w:lineRule="exact"/>
              <w:rPr>
                <w:sz w:val="1"/>
                <w:szCs w:val="1"/>
                <w:color w:val="auto"/>
              </w:rPr>
            </w:pPr>
          </w:p>
        </w:tc>
        <w:tc>
          <w:tcPr>
            <w:tcW w:w="3980" w:type="dxa"/>
            <w:vAlign w:val="bottom"/>
            <w:gridSpan w:val="8"/>
            <w:vMerge w:val="restart"/>
          </w:tcPr>
          <w:p>
            <w:pPr>
              <w:spacing w:after="0" w:line="20" w:lineRule="exact"/>
              <w:rPr>
                <w:sz w:val="1"/>
                <w:szCs w:val="1"/>
                <w:color w:val="auto"/>
              </w:rPr>
            </w:pPr>
          </w:p>
        </w:tc>
        <w:tc>
          <w:tcPr>
            <w:tcW w:w="35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55"/>
        </w:trPr>
        <w:tc>
          <w:tcPr>
            <w:tcW w:w="1880" w:type="dxa"/>
            <w:vAlign w:val="bottom"/>
            <w:gridSpan w:val="6"/>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Item 1A. Risk Factors</w:t>
              </w:r>
            </w:hyperlink>
          </w:p>
        </w:tc>
        <w:tc>
          <w:tcPr>
            <w:tcW w:w="440" w:type="dxa"/>
            <w:vAlign w:val="bottom"/>
            <w:vMerge w:val="continue"/>
          </w:tcPr>
          <w:p>
            <w:pPr>
              <w:spacing w:after="0"/>
              <w:rPr>
                <w:sz w:val="13"/>
                <w:szCs w:val="13"/>
                <w:color w:val="auto"/>
              </w:rPr>
            </w:pPr>
          </w:p>
        </w:tc>
        <w:tc>
          <w:tcPr>
            <w:tcW w:w="560" w:type="dxa"/>
            <w:vAlign w:val="bottom"/>
            <w:gridSpan w:val="6"/>
            <w:vMerge w:val="continue"/>
          </w:tcPr>
          <w:p>
            <w:pPr>
              <w:spacing w:after="0"/>
              <w:rPr>
                <w:sz w:val="13"/>
                <w:szCs w:val="13"/>
                <w:color w:val="auto"/>
              </w:rPr>
            </w:pPr>
          </w:p>
        </w:tc>
        <w:tc>
          <w:tcPr>
            <w:tcW w:w="3980" w:type="dxa"/>
            <w:vAlign w:val="bottom"/>
            <w:gridSpan w:val="8"/>
            <w:vMerge w:val="continue"/>
          </w:tcPr>
          <w:p>
            <w:pPr>
              <w:spacing w:after="0"/>
              <w:rPr>
                <w:sz w:val="13"/>
                <w:szCs w:val="13"/>
                <w:color w:val="auto"/>
              </w:rPr>
            </w:pPr>
          </w:p>
        </w:tc>
        <w:tc>
          <w:tcPr>
            <w:tcW w:w="3580" w:type="dxa"/>
            <w:vAlign w:val="bottom"/>
            <w:gridSpan w:val="5"/>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60" w:type="dxa"/>
            <w:vAlign w:val="bottom"/>
            <w:gridSpan w:val="22"/>
            <w:vMerge w:val="restart"/>
          </w:tcPr>
          <w:p>
            <w:pPr>
              <w:spacing w:after="0" w:line="176" w:lineRule="exact"/>
              <w:rPr>
                <w:rFonts w:ascii="Arial" w:cs="Arial" w:eastAsia="Arial" w:hAnsi="Arial"/>
                <w:sz w:val="18"/>
                <w:szCs w:val="18"/>
                <w:color w:val="0000FF"/>
              </w:rPr>
            </w:pPr>
            <w:hyperlink w:anchor="page43">
              <w:r>
                <w:rPr>
                  <w:rFonts w:ascii="Arial" w:cs="Arial" w:eastAsia="Arial" w:hAnsi="Arial"/>
                  <w:sz w:val="18"/>
                  <w:szCs w:val="18"/>
                  <w:color w:val="0000FF"/>
                </w:rPr>
                <w:t>Sales of Equity Securities and Use of Proceeds from Registered Securities</w:t>
              </w:r>
            </w:hyperlink>
          </w:p>
        </w:tc>
        <w:tc>
          <w:tcPr>
            <w:tcW w:w="6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56"/>
        </w:trPr>
        <w:tc>
          <w:tcPr>
            <w:tcW w:w="1580" w:type="dxa"/>
            <w:vAlign w:val="bottom"/>
            <w:gridSpan w:val="4"/>
          </w:tcPr>
          <w:p>
            <w:pPr>
              <w:spacing w:after="0" w:line="156" w:lineRule="exact"/>
              <w:rPr>
                <w:rFonts w:ascii="Arial" w:cs="Arial" w:eastAsia="Arial" w:hAnsi="Arial"/>
                <w:sz w:val="18"/>
                <w:szCs w:val="18"/>
                <w:color w:val="0000FF"/>
                <w:w w:val="95"/>
              </w:rPr>
            </w:pPr>
            <w:hyperlink w:anchor="page43">
              <w:r>
                <w:rPr>
                  <w:rFonts w:ascii="Arial" w:cs="Arial" w:eastAsia="Arial" w:hAnsi="Arial"/>
                  <w:sz w:val="18"/>
                  <w:szCs w:val="18"/>
                  <w:color w:val="0000FF"/>
                  <w:w w:val="95"/>
                </w:rPr>
                <w:t>Item 2. Unregistered</w:t>
              </w:r>
            </w:hyperlink>
          </w:p>
        </w:tc>
        <w:tc>
          <w:tcPr>
            <w:tcW w:w="8860" w:type="dxa"/>
            <w:vAlign w:val="bottom"/>
            <w:gridSpan w:val="2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3980" w:type="dxa"/>
            <w:vAlign w:val="bottom"/>
            <w:gridSpan w:val="8"/>
            <w:shd w:val="clear" w:color="auto" w:fill="0000FF"/>
          </w:tcPr>
          <w:p>
            <w:pPr>
              <w:spacing w:after="0" w:line="20" w:lineRule="exact"/>
              <w:rPr>
                <w:sz w:val="1"/>
                <w:szCs w:val="1"/>
                <w:color w:val="auto"/>
              </w:rPr>
            </w:pPr>
          </w:p>
        </w:tc>
        <w:tc>
          <w:tcPr>
            <w:tcW w:w="35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56"/>
        </w:trPr>
        <w:tc>
          <w:tcPr>
            <w:tcW w:w="6860" w:type="dxa"/>
            <w:vAlign w:val="bottom"/>
            <w:gridSpan w:val="21"/>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Item 3. Defaults Upon Senior Securities</w:t>
              </w:r>
            </w:hyperlink>
          </w:p>
        </w:tc>
        <w:tc>
          <w:tcPr>
            <w:tcW w:w="3580" w:type="dxa"/>
            <w:vAlign w:val="bottom"/>
            <w:gridSpan w:val="5"/>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7560" w:type="dxa"/>
            <w:vAlign w:val="bottom"/>
            <w:gridSpan w:val="13"/>
            <w:vMerge w:val="restart"/>
          </w:tcPr>
          <w:p>
            <w:pPr>
              <w:spacing w:after="0" w:line="20" w:lineRule="exact"/>
              <w:rPr>
                <w:sz w:val="1"/>
                <w:szCs w:val="1"/>
                <w:color w:val="auto"/>
              </w:rPr>
            </w:pPr>
          </w:p>
        </w:tc>
        <w:tc>
          <w:tcPr>
            <w:tcW w:w="6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55"/>
        </w:trPr>
        <w:tc>
          <w:tcPr>
            <w:tcW w:w="2880" w:type="dxa"/>
            <w:vAlign w:val="bottom"/>
            <w:gridSpan w:val="13"/>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Item 4. Mine Safety Disclosures</w:t>
              </w:r>
            </w:hyperlink>
          </w:p>
        </w:tc>
        <w:tc>
          <w:tcPr>
            <w:tcW w:w="7560" w:type="dxa"/>
            <w:vAlign w:val="bottom"/>
            <w:gridSpan w:val="1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120" w:type="dxa"/>
            <w:vAlign w:val="bottom"/>
            <w:gridSpan w:val="19"/>
            <w:vMerge w:val="restart"/>
          </w:tcPr>
          <w:p>
            <w:pPr>
              <w:spacing w:after="0" w:line="20" w:lineRule="exact"/>
              <w:rPr>
                <w:sz w:val="1"/>
                <w:szCs w:val="1"/>
                <w:color w:val="auto"/>
              </w:rPr>
            </w:pPr>
          </w:p>
        </w:tc>
        <w:tc>
          <w:tcPr>
            <w:tcW w:w="6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56"/>
        </w:trPr>
        <w:tc>
          <w:tcPr>
            <w:tcW w:w="2320" w:type="dxa"/>
            <w:vAlign w:val="bottom"/>
            <w:gridSpan w:val="7"/>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Item 5. Other Information</w:t>
              </w:r>
            </w:hyperlink>
          </w:p>
        </w:tc>
        <w:tc>
          <w:tcPr>
            <w:tcW w:w="8120" w:type="dxa"/>
            <w:vAlign w:val="bottom"/>
            <w:gridSpan w:val="19"/>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580" w:type="dxa"/>
            <w:vAlign w:val="bottom"/>
            <w:gridSpan w:val="21"/>
            <w:vMerge w:val="restart"/>
          </w:tcPr>
          <w:p>
            <w:pPr>
              <w:spacing w:after="0" w:line="20" w:lineRule="exact"/>
              <w:rPr>
                <w:sz w:val="1"/>
                <w:szCs w:val="1"/>
                <w:color w:val="auto"/>
              </w:rPr>
            </w:pPr>
          </w:p>
        </w:tc>
        <w:tc>
          <w:tcPr>
            <w:tcW w:w="6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55"/>
        </w:trPr>
        <w:tc>
          <w:tcPr>
            <w:tcW w:w="1860" w:type="dxa"/>
            <w:vAlign w:val="bottom"/>
            <w:gridSpan w:val="5"/>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Item 6. Exhibits</w:t>
              </w:r>
            </w:hyperlink>
          </w:p>
        </w:tc>
        <w:tc>
          <w:tcPr>
            <w:tcW w:w="8580" w:type="dxa"/>
            <w:vAlign w:val="bottom"/>
            <w:gridSpan w:val="21"/>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this Quarterly Report on Form 10-Q, the terms “we,” “us,” “our,” the “Company” and “CCC” mean CCC Intelligent Solutions Holdings Inc. (formerly Dragoneer Growth Opportunities Corp.) and our subsidiaries. On July 30, 2021, Dragoneer Growth Opportunities Corp., a Cayman Islands exempted company (“Dragoneer” ), consummated a business combination (the “Business Combination”) pursuant to the terms of the Business Combination Agreement, dated as of February 2, 2021 (the “Business Combination Agreement”), as amended, by and among Dragoneer and Cypress Holdings Inc., a Delaware corporation (“CCCIS”). Immediately upon the consummation of the Business Combination and the other transactions contemplated by the Business Combination Agreement (collectively, the “Transactions”, and such completion the “Closing”), CCCIS merged with and into Chariot Merger Sub, a wholly-owned direct subsidiary of Dragoneer, with CCCIS surviving the Business Combination as a wholly-owned direct subsidiary of Dragoneer (the “Merger”). In connection with the Transactions, Dragoneer changed its name to “CCC Intelligent Solutions Holdings Inc.”</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as well as other parts of this Quarterly Report on Form 10-Q and certain information incorporated herein by reference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Important factors that could cause actual results to differ materially from our expectations include:</w:t>
      </w:r>
    </w:p>
    <w:p>
      <w:pPr>
        <w:spacing w:after="0" w:line="10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revenues, the concentration of our customers and the ability to retain our current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with our customers on favorable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our brand and reputation cost-effectively;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execution of our growth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projected financial information, growth rate and market opportunity;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 of our industry, claim volumes, and market conditions;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insurance and automotive collision industries, including the adoption of new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conditions and geopolitical events;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our market and our ability to retain and grow market share;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introduce and market new enhanced versions of our solutions and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and implementation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research and development efforts to create significant new revenue streams;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international economic, political, social and governmental conditions and policies, including corruption risks in China and other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data, technology and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our data and information systems secure from data security breaches;</w:t>
      </w:r>
    </w:p>
    <w:p>
      <w:pPr>
        <w:spacing w:after="0" w:line="103"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 and improve our capital 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or maintain its existing customer base;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21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It is not possible to predict or identify all such risks. We do not undertake any obligation to update or revise any forward-looking statements, whether as a result of new information, future events or otherwise.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8" w:lineRule="exact"/>
        <w:rPr>
          <w:sz w:val="20"/>
          <w:szCs w:val="20"/>
          <w:color w:val="auto"/>
        </w:rPr>
      </w:pPr>
    </w:p>
    <w:p>
      <w:pPr>
        <w:ind w:left="3480" w:right="2620" w:hanging="843"/>
        <w:spacing w:after="0" w:line="246" w:lineRule="auto"/>
        <w:tabs>
          <w:tab w:leader="none" w:pos="307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BALANCE SHEETS</w:t>
      </w: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940" w:type="dxa"/>
            <w:vAlign w:val="bottom"/>
          </w:tcPr>
          <w:p>
            <w:pPr>
              <w:spacing w:after="0"/>
              <w:rPr>
                <w:sz w:val="15"/>
                <w:szCs w:val="15"/>
                <w:color w:val="auto"/>
              </w:rPr>
            </w:pPr>
          </w:p>
        </w:tc>
        <w:tc>
          <w:tcPr>
            <w:tcW w:w="15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227,640</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182,544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940" w:type="dxa"/>
            <w:vAlign w:val="bottom"/>
          </w:tcPr>
          <w:p>
            <w:pPr>
              <w:ind w:left="200"/>
              <w:spacing w:after="0" w:line="152" w:lineRule="exact"/>
              <w:rPr>
                <w:sz w:val="20"/>
                <w:szCs w:val="20"/>
                <w:color w:val="auto"/>
              </w:rPr>
            </w:pPr>
            <w:r>
              <w:rPr>
                <w:rFonts w:ascii="Arial" w:cs="Arial" w:eastAsia="Arial" w:hAnsi="Arial"/>
                <w:sz w:val="16"/>
                <w:szCs w:val="16"/>
                <w:color w:val="auto"/>
              </w:rPr>
              <w:t>Accounts receivable—Net of allowances of $4,296 and $3,791 for June 30, 2022 and</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82,816</w:t>
            </w:r>
          </w:p>
        </w:tc>
        <w:tc>
          <w:tcPr>
            <w:tcW w:w="24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78,793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940" w:type="dxa"/>
            <w:vAlign w:val="bottom"/>
          </w:tcPr>
          <w:p>
            <w:pPr>
              <w:ind w:left="320"/>
              <w:spacing w:after="0"/>
              <w:rPr>
                <w:sz w:val="20"/>
                <w:szCs w:val="20"/>
                <w:color w:val="auto"/>
              </w:rPr>
            </w:pPr>
            <w:r>
              <w:rPr>
                <w:rFonts w:ascii="Arial" w:cs="Arial" w:eastAsia="Arial" w:hAnsi="Arial"/>
                <w:sz w:val="16"/>
                <w:szCs w:val="16"/>
                <w:color w:val="auto"/>
              </w:rPr>
              <w:t>December 31, 2021, respectively</w:t>
            </w:r>
          </w:p>
        </w:tc>
        <w:tc>
          <w:tcPr>
            <w:tcW w:w="1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Deferred contract costs</w:t>
            </w:r>
          </w:p>
        </w:tc>
        <w:tc>
          <w:tcPr>
            <w:tcW w:w="1540" w:type="dxa"/>
            <w:vAlign w:val="bottom"/>
          </w:tcPr>
          <w:p>
            <w:pPr>
              <w:jc w:val="right"/>
              <w:spacing w:after="0"/>
              <w:rPr>
                <w:sz w:val="20"/>
                <w:szCs w:val="20"/>
                <w:color w:val="auto"/>
              </w:rPr>
            </w:pPr>
            <w:r>
              <w:rPr>
                <w:rFonts w:ascii="Arial" w:cs="Arial" w:eastAsia="Arial" w:hAnsi="Arial"/>
                <w:sz w:val="16"/>
                <w:szCs w:val="16"/>
                <w:color w:val="auto"/>
              </w:rPr>
              <w:t>16,021</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30,640</w:t>
            </w:r>
          </w:p>
        </w:tc>
        <w:tc>
          <w:tcPr>
            <w:tcW w:w="240" w:type="dxa"/>
            <w:vAlign w:val="bottom"/>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940" w:type="dxa"/>
            <w:vAlign w:val="bottom"/>
          </w:tcPr>
          <w:p>
            <w:pPr>
              <w:ind w:left="380"/>
              <w:spacing w:after="0" w:line="169" w:lineRule="exact"/>
              <w:rPr>
                <w:sz w:val="20"/>
                <w:szCs w:val="20"/>
                <w:color w:val="auto"/>
              </w:rPr>
            </w:pPr>
            <w:r>
              <w:rPr>
                <w:rFonts w:ascii="Arial" w:cs="Arial" w:eastAsia="Arial" w:hAnsi="Arial"/>
                <w:sz w:val="16"/>
                <w:szCs w:val="16"/>
                <w:color w:val="auto"/>
              </w:rPr>
              <w:t>Total current assets</w:t>
            </w:r>
          </w:p>
        </w:tc>
        <w:tc>
          <w:tcPr>
            <w:tcW w:w="1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357,188</w:t>
            </w:r>
          </w:p>
        </w:tc>
        <w:tc>
          <w:tcPr>
            <w:tcW w:w="240" w:type="dxa"/>
            <w:vAlign w:val="bottom"/>
          </w:tcPr>
          <w:p>
            <w:pPr>
              <w:spacing w:after="0"/>
              <w:rPr>
                <w:sz w:val="14"/>
                <w:szCs w:val="14"/>
                <w:color w:val="auto"/>
              </w:rPr>
            </w:pP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322,905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SOFTWARE, EQUIPMENT, AND PROPERTY—Net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143,629</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135,845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540" w:type="dxa"/>
            <w:vAlign w:val="bottom"/>
          </w:tcPr>
          <w:p>
            <w:pPr>
              <w:jc w:val="right"/>
              <w:spacing w:after="0"/>
              <w:rPr>
                <w:sz w:val="20"/>
                <w:szCs w:val="20"/>
                <w:color w:val="auto"/>
              </w:rPr>
            </w:pPr>
            <w:r>
              <w:rPr>
                <w:rFonts w:ascii="Arial" w:cs="Arial" w:eastAsia="Arial" w:hAnsi="Arial"/>
                <w:sz w:val="16"/>
                <w:szCs w:val="16"/>
                <w:color w:val="auto"/>
              </w:rPr>
              <w:t>33,615</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37,234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ASSETS—Net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1,168,449</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1,213,249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540" w:type="dxa"/>
            <w:vAlign w:val="bottom"/>
          </w:tcPr>
          <w:p>
            <w:pPr>
              <w:jc w:val="right"/>
              <w:spacing w:after="0"/>
              <w:rPr>
                <w:sz w:val="20"/>
                <w:szCs w:val="20"/>
                <w:color w:val="auto"/>
              </w:rPr>
            </w:pPr>
            <w:r>
              <w:rPr>
                <w:rFonts w:ascii="Arial" w:cs="Arial" w:eastAsia="Arial" w:hAnsi="Arial"/>
                <w:sz w:val="16"/>
                <w:szCs w:val="16"/>
                <w:color w:val="auto"/>
              </w:rPr>
              <w:t>1,494,267</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1,466,884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FINANCING FEES, REVOLVER—Net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2,593</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DEFERRED CONTRACT COSTS</w:t>
            </w:r>
          </w:p>
        </w:tc>
        <w:tc>
          <w:tcPr>
            <w:tcW w:w="1540" w:type="dxa"/>
            <w:vAlign w:val="bottom"/>
          </w:tcPr>
          <w:p>
            <w:pPr>
              <w:jc w:val="right"/>
              <w:spacing w:after="0"/>
              <w:rPr>
                <w:sz w:val="20"/>
                <w:szCs w:val="20"/>
                <w:color w:val="auto"/>
              </w:rPr>
            </w:pPr>
            <w:r>
              <w:rPr>
                <w:rFonts w:ascii="Arial" w:cs="Arial" w:eastAsia="Arial" w:hAnsi="Arial"/>
                <w:sz w:val="16"/>
                <w:szCs w:val="16"/>
                <w:color w:val="auto"/>
              </w:rPr>
              <w:t>19,869</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METHOD INVESTMENT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OTHER ASSETS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35,739</w:t>
            </w:r>
          </w:p>
        </w:tc>
        <w:tc>
          <w:tcPr>
            <w:tcW w:w="240" w:type="dxa"/>
            <w:vAlign w:val="bottom"/>
            <w:tcBorders>
              <w:bottom w:val="single" w:sz="8" w:color="CFF0FC"/>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26,165</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3,265,577</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3,237,526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9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LIABILITIES, MEZZANINE EQUITY AND STOCKHOLDERS’ EQUITY</w:t>
            </w: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540" w:type="dxa"/>
            <w:vAlign w:val="bottom"/>
          </w:tcPr>
          <w:p>
            <w:pPr>
              <w:jc w:val="right"/>
              <w:spacing w:after="0"/>
              <w:rPr>
                <w:sz w:val="20"/>
                <w:szCs w:val="20"/>
                <w:color w:val="auto"/>
              </w:rPr>
            </w:pPr>
            <w:r>
              <w:rPr>
                <w:rFonts w:ascii="Arial" w:cs="Arial" w:eastAsia="Arial" w:hAnsi="Arial"/>
                <w:sz w:val="16"/>
                <w:szCs w:val="16"/>
                <w:color w:val="auto"/>
              </w:rPr>
              <w:t>15,350</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12,918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60,641</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1540" w:type="dxa"/>
            <w:vAlign w:val="bottom"/>
          </w:tcPr>
          <w:p>
            <w:pPr>
              <w:jc w:val="right"/>
              <w:spacing w:after="0"/>
              <w:rPr>
                <w:sz w:val="20"/>
                <w:szCs w:val="20"/>
                <w:color w:val="auto"/>
              </w:rPr>
            </w:pPr>
            <w:r>
              <w:rPr>
                <w:rFonts w:ascii="Arial" w:cs="Arial" w:eastAsia="Arial" w:hAnsi="Arial"/>
                <w:sz w:val="16"/>
                <w:szCs w:val="16"/>
                <w:color w:val="auto"/>
              </w:rPr>
              <w:t>20,847</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long-term debt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Current portion of long-term licensing agreement—Net</w:t>
            </w:r>
          </w:p>
        </w:tc>
        <w:tc>
          <w:tcPr>
            <w:tcW w:w="1540" w:type="dxa"/>
            <w:vAlign w:val="bottom"/>
          </w:tcPr>
          <w:p>
            <w:pPr>
              <w:jc w:val="right"/>
              <w:spacing w:after="0"/>
              <w:rPr>
                <w:sz w:val="20"/>
                <w:szCs w:val="20"/>
                <w:color w:val="auto"/>
              </w:rPr>
            </w:pPr>
            <w:r>
              <w:rPr>
                <w:rFonts w:ascii="Arial" w:cs="Arial" w:eastAsia="Arial" w:hAnsi="Arial"/>
                <w:sz w:val="16"/>
                <w:szCs w:val="16"/>
                <w:color w:val="auto"/>
              </w:rPr>
              <w:t>2,788</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Deferred revenues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33,298</w:t>
            </w:r>
          </w:p>
        </w:tc>
        <w:tc>
          <w:tcPr>
            <w:tcW w:w="240" w:type="dxa"/>
            <w:vAlign w:val="bottom"/>
            <w:tcBorders>
              <w:bottom w:val="single" w:sz="8" w:color="CFF0FC"/>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31,042</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94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Total current liabilities</w:t>
            </w:r>
          </w:p>
        </w:tc>
        <w:tc>
          <w:tcPr>
            <w:tcW w:w="15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145,061</w:t>
            </w:r>
          </w:p>
        </w:tc>
        <w:tc>
          <w:tcPr>
            <w:tcW w:w="24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136,649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940" w:type="dxa"/>
            <w:vAlign w:val="bottom"/>
          </w:tcPr>
          <w:p>
            <w:pPr>
              <w:ind w:left="20"/>
              <w:spacing w:after="0" w:line="183" w:lineRule="exact"/>
              <w:rPr>
                <w:sz w:val="20"/>
                <w:szCs w:val="20"/>
                <w:color w:val="auto"/>
              </w:rPr>
            </w:pPr>
            <w:r>
              <w:rPr>
                <w:rFonts w:ascii="Arial" w:cs="Arial" w:eastAsia="Arial" w:hAnsi="Arial"/>
                <w:sz w:val="16"/>
                <w:szCs w:val="16"/>
                <w:color w:val="auto"/>
              </w:rPr>
              <w:t>LONG-TERM DEBT—Net</w:t>
            </w:r>
          </w:p>
        </w:tc>
        <w:tc>
          <w:tcPr>
            <w:tcW w:w="1540" w:type="dxa"/>
            <w:vAlign w:val="bottom"/>
          </w:tcPr>
          <w:p>
            <w:pPr>
              <w:jc w:val="right"/>
              <w:spacing w:after="0" w:line="183" w:lineRule="exact"/>
              <w:rPr>
                <w:sz w:val="20"/>
                <w:szCs w:val="20"/>
                <w:color w:val="auto"/>
              </w:rPr>
            </w:pPr>
            <w:r>
              <w:rPr>
                <w:rFonts w:ascii="Arial" w:cs="Arial" w:eastAsia="Arial" w:hAnsi="Arial"/>
                <w:sz w:val="16"/>
                <w:szCs w:val="16"/>
                <w:color w:val="auto"/>
              </w:rPr>
              <w:t>777,384</w:t>
            </w:r>
          </w:p>
        </w:tc>
        <w:tc>
          <w:tcPr>
            <w:tcW w:w="24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780,610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TAXES—Net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231,728</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LONG-TERM LICENSING AGREEMENT—Net</w:t>
            </w:r>
          </w:p>
        </w:tc>
        <w:tc>
          <w:tcPr>
            <w:tcW w:w="1540" w:type="dxa"/>
            <w:vAlign w:val="bottom"/>
          </w:tcPr>
          <w:p>
            <w:pPr>
              <w:jc w:val="right"/>
              <w:spacing w:after="0"/>
              <w:rPr>
                <w:sz w:val="20"/>
                <w:szCs w:val="20"/>
                <w:color w:val="auto"/>
              </w:rPr>
            </w:pPr>
            <w:r>
              <w:rPr>
                <w:rFonts w:ascii="Arial" w:cs="Arial" w:eastAsia="Arial" w:hAnsi="Arial"/>
                <w:sz w:val="16"/>
                <w:szCs w:val="16"/>
                <w:color w:val="auto"/>
              </w:rPr>
              <w:t>32,213</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33,629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55,849</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1540" w:type="dxa"/>
            <w:vAlign w:val="bottom"/>
          </w:tcPr>
          <w:p>
            <w:pPr>
              <w:jc w:val="right"/>
              <w:spacing w:after="0"/>
              <w:rPr>
                <w:sz w:val="20"/>
                <w:szCs w:val="20"/>
                <w:color w:val="auto"/>
              </w:rPr>
            </w:pPr>
            <w:r>
              <w:rPr>
                <w:rFonts w:ascii="Arial" w:cs="Arial" w:eastAsia="Arial" w:hAnsi="Arial"/>
                <w:sz w:val="16"/>
                <w:szCs w:val="16"/>
                <w:color w:val="auto"/>
              </w:rPr>
              <w:t>39,338</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62,478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2,859</w:t>
            </w:r>
          </w:p>
        </w:tc>
        <w:tc>
          <w:tcPr>
            <w:tcW w:w="240" w:type="dxa"/>
            <w:vAlign w:val="bottom"/>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940" w:type="dxa"/>
            <w:vAlign w:val="bottom"/>
          </w:tcPr>
          <w:p>
            <w:pPr>
              <w:ind w:left="380"/>
              <w:spacing w:after="0" w:line="169" w:lineRule="exact"/>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1,284,432</w:t>
            </w:r>
          </w:p>
        </w:tc>
        <w:tc>
          <w:tcPr>
            <w:tcW w:w="240" w:type="dxa"/>
            <w:vAlign w:val="bottom"/>
          </w:tcPr>
          <w:p>
            <w:pPr>
              <w:spacing w:after="0"/>
              <w:rPr>
                <w:sz w:val="14"/>
                <w:szCs w:val="14"/>
                <w:color w:val="auto"/>
              </w:rPr>
            </w:pP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1,351,029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COMMITMENTS AND CONTINGENCIES (Notes 19 and 20)</w:t>
            </w:r>
          </w:p>
        </w:tc>
        <w:tc>
          <w:tcPr>
            <w:tcW w:w="1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MEZZANINE EQUITY:</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Redeemable non-controlling interest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stock—$0.0001 par; 100,000,000 shares authorized; no shares issued or outstanding</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7940" w:type="dxa"/>
            <w:vAlign w:val="bottom"/>
          </w:tcPr>
          <w:p>
            <w:pPr>
              <w:ind w:left="200"/>
              <w:spacing w:after="0" w:line="152" w:lineRule="exact"/>
              <w:rPr>
                <w:sz w:val="20"/>
                <w:szCs w:val="20"/>
                <w:color w:val="auto"/>
              </w:rPr>
            </w:pPr>
            <w:r>
              <w:rPr>
                <w:rFonts w:ascii="Arial" w:cs="Arial" w:eastAsia="Arial" w:hAnsi="Arial"/>
                <w:sz w:val="16"/>
                <w:szCs w:val="16"/>
                <w:color w:val="auto"/>
              </w:rPr>
              <w:t>Common stock—$0.0001 par; 5,000,000,000 shares authorized; 615,501,951 and</w:t>
            </w: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320"/>
              <w:spacing w:after="0" w:line="162" w:lineRule="exact"/>
              <w:rPr>
                <w:sz w:val="20"/>
                <w:szCs w:val="20"/>
                <w:color w:val="auto"/>
              </w:rPr>
            </w:pPr>
            <w:r>
              <w:rPr>
                <w:rFonts w:ascii="Arial" w:cs="Arial" w:eastAsia="Arial" w:hAnsi="Arial"/>
                <w:sz w:val="16"/>
                <w:szCs w:val="16"/>
                <w:color w:val="auto"/>
              </w:rPr>
              <w:t>609,768,296 shares issued and outstanding at June 30, 2022 and December 31,</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940" w:type="dxa"/>
            <w:vAlign w:val="bottom"/>
          </w:tcPr>
          <w:p>
            <w:pPr>
              <w:ind w:left="320"/>
              <w:spacing w:after="0"/>
              <w:rPr>
                <w:sz w:val="20"/>
                <w:szCs w:val="20"/>
                <w:color w:val="auto"/>
              </w:rPr>
            </w:pPr>
            <w:r>
              <w:rPr>
                <w:rFonts w:ascii="Arial" w:cs="Arial" w:eastAsia="Arial" w:hAnsi="Arial"/>
                <w:sz w:val="16"/>
                <w:szCs w:val="16"/>
                <w:color w:val="auto"/>
              </w:rPr>
              <w:t>2021, respectively</w:t>
            </w:r>
          </w:p>
        </w:tc>
        <w:tc>
          <w:tcPr>
            <w:tcW w:w="1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2,686,326</w:t>
            </w: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2,618,924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(718,813 )</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(746,352 )</w:t>
            </w:r>
          </w:p>
        </w:tc>
        <w:tc>
          <w:tcPr>
            <w:tcW w:w="0" w:type="dxa"/>
            <w:vAlign w:val="bottom"/>
          </w:tcPr>
          <w:p>
            <w:pPr>
              <w:spacing w:after="0"/>
              <w:rPr>
                <w:sz w:val="1"/>
                <w:szCs w:val="1"/>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(609 )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(315 )</w:t>
            </w:r>
          </w:p>
        </w:tc>
        <w:tc>
          <w:tcPr>
            <w:tcW w:w="0" w:type="dxa"/>
            <w:vAlign w:val="bottom"/>
          </w:tcPr>
          <w:p>
            <w:pPr>
              <w:spacing w:after="0"/>
              <w:rPr>
                <w:sz w:val="1"/>
                <w:szCs w:val="1"/>
                <w:color w:val="auto"/>
              </w:rPr>
            </w:pPr>
          </w:p>
        </w:tc>
      </w:tr>
      <w:tr>
        <w:trPr>
          <w:trHeight w:val="169"/>
        </w:trPr>
        <w:tc>
          <w:tcPr>
            <w:tcW w:w="7940" w:type="dxa"/>
            <w:vAlign w:val="bottom"/>
          </w:tcPr>
          <w:p>
            <w:pPr>
              <w:ind w:left="380"/>
              <w:spacing w:after="0" w:line="169" w:lineRule="exact"/>
              <w:rPr>
                <w:sz w:val="20"/>
                <w:szCs w:val="20"/>
                <w:color w:val="auto"/>
              </w:rPr>
            </w:pPr>
            <w:r>
              <w:rPr>
                <w:rFonts w:ascii="Arial" w:cs="Arial" w:eastAsia="Arial" w:hAnsi="Arial"/>
                <w:sz w:val="16"/>
                <w:szCs w:val="16"/>
                <w:color w:val="auto"/>
              </w:rPr>
              <w:t>Total stockholders’ equity</w:t>
            </w:r>
          </w:p>
        </w:tc>
        <w:tc>
          <w:tcPr>
            <w:tcW w:w="1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1,966,966</w:t>
            </w:r>
          </w:p>
        </w:tc>
        <w:tc>
          <w:tcPr>
            <w:tcW w:w="24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1,872,318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3,265,577</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3,237,526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-4872355</wp:posOffset>
            </wp:positionV>
            <wp:extent cx="939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-4872355</wp:posOffset>
            </wp:positionV>
            <wp:extent cx="939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-3642995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-3625215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-3771265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-2549525</wp:posOffset>
            </wp:positionV>
            <wp:extent cx="939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-2549525</wp:posOffset>
            </wp:positionV>
            <wp:extent cx="939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-1700530</wp:posOffset>
            </wp:positionV>
            <wp:extent cx="939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-1700530</wp:posOffset>
            </wp:positionV>
            <wp:extent cx="939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-286385</wp:posOffset>
            </wp:positionV>
            <wp:extent cx="939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-286385</wp:posOffset>
            </wp:positionV>
            <wp:extent cx="939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w w:val="98"/>
              </w:rPr>
              <w:t>For the Three Months Ended</w:t>
            </w:r>
          </w:p>
        </w:tc>
        <w:tc>
          <w:tcPr>
            <w:tcW w:w="24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REVENUES</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192,786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166,789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379,609</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324,578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revenues, exclusive of amortization of acquired technologies</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46,095</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38,932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88,795</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0"/>
              <w:spacing w:after="0"/>
              <w:rPr>
                <w:sz w:val="20"/>
                <w:szCs w:val="20"/>
                <w:color w:val="auto"/>
              </w:rPr>
            </w:pPr>
            <w:r>
              <w:rPr>
                <w:rFonts w:ascii="Arial" w:cs="Arial" w:eastAsia="Arial" w:hAnsi="Arial"/>
                <w:sz w:val="16"/>
                <w:szCs w:val="16"/>
                <w:color w:val="auto"/>
              </w:rPr>
              <w:t>Amortization of acquired technologies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6,750</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13,445</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Borders>
              <w:bottom w:val="single" w:sz="8" w:color="CFF0FC"/>
            </w:tcBorders>
            <w:shd w:val="clear" w:color="auto" w:fill="CFF0FC"/>
          </w:tcPr>
          <w:p>
            <w:pPr>
              <w:ind w:left="560"/>
              <w:spacing w:after="0" w:line="183" w:lineRule="exact"/>
              <w:rPr>
                <w:sz w:val="20"/>
                <w:szCs w:val="20"/>
                <w:color w:val="auto"/>
              </w:rPr>
            </w:pPr>
            <w:r>
              <w:rPr>
                <w:rFonts w:ascii="Arial" w:cs="Arial" w:eastAsia="Arial" w:hAnsi="Arial"/>
                <w:sz w:val="16"/>
                <w:szCs w:val="16"/>
                <w:color w:val="auto"/>
              </w:rPr>
              <w:t>Total cost of revenues</w:t>
            </w:r>
          </w:p>
        </w:tc>
        <w:tc>
          <w:tcPr>
            <w:tcW w:w="2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52,845</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45,512</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102,240</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90,105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line="183" w:lineRule="exact"/>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139,941</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121,277</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277,369</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234,473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EXPENSES:</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38,758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31,253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74,438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61,877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and marketing</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31,091</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57,894</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39,509</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28,394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83,717</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18,066</w:t>
            </w:r>
          </w:p>
        </w:tc>
        <w:tc>
          <w:tcPr>
            <w:tcW w:w="2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18,078</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36,146</w:t>
            </w:r>
          </w:p>
        </w:tc>
        <w:tc>
          <w:tcPr>
            <w:tcW w:w="2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36,155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560"/>
              <w:spacing w:after="0" w:line="183"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127,424</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99,276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252,195</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205,233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12,517</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22,001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25,174</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29,240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(7,944 )</w:t>
            </w:r>
          </w:p>
        </w:tc>
        <w:tc>
          <w:tcPr>
            <w:tcW w:w="3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(18,903 )</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(15,285 )</w:t>
            </w:r>
          </w:p>
        </w:tc>
        <w:tc>
          <w:tcPr>
            <w:tcW w:w="3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(37,669 )</w:t>
            </w: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INTEREST RATE SWAPS</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GAIN ON SALE OF COST METHOD INVESTMENT</w:t>
            </w:r>
          </w:p>
        </w:tc>
        <w:tc>
          <w:tcPr>
            <w:tcW w:w="2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WARRANT LIABILITIES</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21,004</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23,140</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OTHER INCOME — Net</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PRETAX INCOME (LOSS)</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25,689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6,191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36,801</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(1,972</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(10,125 )</w:t>
            </w:r>
          </w:p>
        </w:tc>
        <w:tc>
          <w:tcPr>
            <w:tcW w:w="3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(2,375 )</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(9,262 )</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50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color w:val="auto"/>
              </w:rPr>
              <w:t>NET INCOME (LOSS) INCLUDING NON-CONTROLLING</w:t>
            </w:r>
          </w:p>
        </w:tc>
        <w:tc>
          <w:tcPr>
            <w:tcW w:w="2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15,564</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3,816</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27,539</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(1,268 )</w:t>
            </w:r>
          </w:p>
        </w:tc>
        <w:tc>
          <w:tcPr>
            <w:tcW w:w="0" w:type="dxa"/>
            <w:vAlign w:val="bottom"/>
          </w:tcPr>
          <w:p>
            <w:pPr>
              <w:spacing w:after="0"/>
              <w:rPr>
                <w:sz w:val="1"/>
                <w:szCs w:val="1"/>
                <w:color w:val="auto"/>
              </w:rPr>
            </w:pPr>
          </w:p>
        </w:tc>
      </w:tr>
      <w:tr>
        <w:trPr>
          <w:trHeight w:val="199"/>
        </w:trPr>
        <w:tc>
          <w:tcPr>
            <w:tcW w:w="5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0"/>
              <w:spacing w:after="0"/>
              <w:rPr>
                <w:sz w:val="20"/>
                <w:szCs w:val="20"/>
                <w:color w:val="auto"/>
              </w:rPr>
            </w:pPr>
            <w:r>
              <w:rPr>
                <w:rFonts w:ascii="Arial" w:cs="Arial" w:eastAsia="Arial" w:hAnsi="Arial"/>
                <w:sz w:val="16"/>
                <w:szCs w:val="16"/>
                <w:color w:val="auto"/>
              </w:rPr>
              <w:t>Less: net income (loss) attributable to non-controlling interest</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50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color w:val="auto"/>
              </w:rPr>
              <w:t>NET INCOME (LOSS) ATTRIBUTABLE TO CCC INTELLIGENT</w:t>
            </w: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15,564</w:t>
            </w:r>
          </w:p>
        </w:tc>
        <w:tc>
          <w:tcPr>
            <w:tcW w:w="26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3,816</w:t>
            </w:r>
          </w:p>
        </w:tc>
        <w:tc>
          <w:tcPr>
            <w:tcW w:w="24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27,539</w:t>
            </w:r>
          </w:p>
        </w:tc>
        <w:tc>
          <w:tcPr>
            <w:tcW w:w="22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(1,268 )</w:t>
            </w:r>
          </w:p>
        </w:tc>
        <w:tc>
          <w:tcPr>
            <w:tcW w:w="0" w:type="dxa"/>
            <w:vAlign w:val="bottom"/>
          </w:tcPr>
          <w:p>
            <w:pPr>
              <w:spacing w:after="0"/>
              <w:rPr>
                <w:sz w:val="1"/>
                <w:szCs w:val="1"/>
                <w:color w:val="auto"/>
              </w:rPr>
            </w:pPr>
          </w:p>
        </w:tc>
      </w:tr>
      <w:tr>
        <w:trPr>
          <w:trHeight w:val="199"/>
        </w:trPr>
        <w:tc>
          <w:tcPr>
            <w:tcW w:w="5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SOLUTIONS HOLDINGS INC.</w:t>
            </w:r>
          </w:p>
        </w:tc>
        <w:tc>
          <w:tcPr>
            <w:tcW w:w="22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193"/>
        </w:trPr>
        <w:tc>
          <w:tcPr>
            <w:tcW w:w="5500" w:type="dxa"/>
            <w:vAlign w:val="bottom"/>
          </w:tcPr>
          <w:p>
            <w:pPr>
              <w:ind w:left="38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-2785110</wp:posOffset>
            </wp:positionV>
            <wp:extent cx="768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-2785110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-2785110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-2047875</wp:posOffset>
            </wp:positionV>
            <wp:extent cx="768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-2047875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-2047875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ind w:left="140" w:right="120" w:hanging="121"/>
        <w:spacing w:after="0" w:line="228" w:lineRule="auto"/>
        <w:rPr>
          <w:sz w:val="20"/>
          <w:szCs w:val="20"/>
          <w:color w:val="auto"/>
        </w:rPr>
      </w:pPr>
      <w:r>
        <w:rPr>
          <w:rFonts w:ascii="Arial" w:cs="Arial" w:eastAsia="Arial" w:hAnsi="Arial"/>
          <w:sz w:val="16"/>
          <w:szCs w:val="16"/>
          <w:color w:val="auto"/>
        </w:rPr>
        <w:t>Weighted-average shares used in computing net income (loss) per share attributable to common stockholders: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INCOME (LOSS):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(loss) including non-controlling interest</w:t>
      </w:r>
    </w:p>
    <w:p>
      <w:pPr>
        <w:spacing w:after="0" w:line="5" w:lineRule="exact"/>
        <w:rPr>
          <w:sz w:val="20"/>
          <w:szCs w:val="20"/>
          <w:color w:val="auto"/>
        </w:rPr>
      </w:pPr>
    </w:p>
    <w:p>
      <w:pPr>
        <w:ind w:left="320" w:right="280" w:hanging="121"/>
        <w:spacing w:after="0" w:line="228" w:lineRule="auto"/>
        <w:rPr>
          <w:sz w:val="20"/>
          <w:szCs w:val="20"/>
          <w:color w:val="auto"/>
        </w:rPr>
      </w:pPr>
      <w:r>
        <w:rPr>
          <w:rFonts w:ascii="Arial" w:cs="Arial" w:eastAsia="Arial" w:hAnsi="Arial"/>
          <w:sz w:val="16"/>
          <w:szCs w:val="16"/>
          <w:color w:val="auto"/>
        </w:rPr>
        <w:t>Other comprehensive income (loss)—Foreign currency translation adjustment</w:t>
      </w:r>
    </w:p>
    <w:p>
      <w:pPr>
        <w:spacing w:after="0" w:line="1" w:lineRule="exact"/>
        <w:rPr>
          <w:sz w:val="20"/>
          <w:szCs w:val="20"/>
          <w:color w:val="auto"/>
        </w:rPr>
      </w:pPr>
    </w:p>
    <w:p>
      <w:pPr>
        <w:ind w:left="140" w:right="1240" w:hanging="121"/>
        <w:spacing w:after="0" w:line="228" w:lineRule="auto"/>
        <w:rPr>
          <w:sz w:val="20"/>
          <w:szCs w:val="20"/>
          <w:color w:val="auto"/>
        </w:rPr>
      </w:pPr>
      <w:r>
        <w:rPr>
          <w:rFonts w:ascii="Arial" w:cs="Arial" w:eastAsia="Arial" w:hAnsi="Arial"/>
          <w:sz w:val="16"/>
          <w:szCs w:val="16"/>
          <w:color w:val="auto"/>
        </w:rPr>
        <w:t>COMPREHENSIVE INCOME (LOSS) INCLUDING NON-CONTROLLING INTEREST</w:t>
      </w:r>
    </w:p>
    <w:p>
      <w:pPr>
        <w:spacing w:after="0" w:line="1" w:lineRule="exact"/>
        <w:rPr>
          <w:sz w:val="20"/>
          <w:szCs w:val="20"/>
          <w:color w:val="auto"/>
        </w:rPr>
      </w:pPr>
    </w:p>
    <w:p>
      <w:pPr>
        <w:ind w:left="320" w:right="300" w:hanging="121"/>
        <w:spacing w:after="0" w:line="228" w:lineRule="auto"/>
        <w:rPr>
          <w:sz w:val="20"/>
          <w:szCs w:val="20"/>
          <w:color w:val="auto"/>
        </w:rPr>
      </w:pPr>
      <w:r>
        <w:rPr>
          <w:rFonts w:ascii="Arial" w:cs="Arial" w:eastAsia="Arial" w:hAnsi="Arial"/>
          <w:sz w:val="16"/>
          <w:szCs w:val="16"/>
          <w:color w:val="auto"/>
        </w:rPr>
        <w:t>Less: comprehensive income (loss) attributable to non-controlling interest</w:t>
      </w:r>
    </w:p>
    <w:p>
      <w:pPr>
        <w:spacing w:after="0" w:line="1" w:lineRule="exact"/>
        <w:rPr>
          <w:sz w:val="20"/>
          <w:szCs w:val="20"/>
          <w:color w:val="auto"/>
        </w:rPr>
      </w:pPr>
    </w:p>
    <w:p>
      <w:pPr>
        <w:ind w:left="140" w:right="320" w:hanging="121"/>
        <w:spacing w:after="0" w:line="231" w:lineRule="auto"/>
        <w:rPr>
          <w:sz w:val="20"/>
          <w:szCs w:val="20"/>
          <w:color w:val="auto"/>
        </w:rPr>
      </w:pPr>
      <w:r>
        <w:rPr>
          <w:rFonts w:ascii="Arial" w:cs="Arial" w:eastAsia="Arial" w:hAnsi="Arial"/>
          <w:sz w:val="16"/>
          <w:szCs w:val="16"/>
          <w:color w:val="auto"/>
        </w:rPr>
        <w:t>COMPREHENSIVE INCOME (LOSS) ATTRIBUTABLE TO CCC INTELLIGENT SOLUTIONS HOLDINGS INC.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605,948,628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505,430,380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604,534,589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505,252,635</w:t>
            </w:r>
          </w:p>
        </w:tc>
        <w:tc>
          <w:tcPr>
            <w:tcW w:w="60" w:type="dxa"/>
            <w:vAlign w:val="bottom"/>
          </w:tcPr>
          <w:p>
            <w:pPr>
              <w:spacing w:after="0"/>
              <w:rPr>
                <w:sz w:val="16"/>
                <w:szCs w:val="16"/>
                <w:color w:val="auto"/>
              </w:rPr>
            </w:pPr>
          </w:p>
        </w:tc>
      </w:tr>
      <w:tr>
        <w:trPr>
          <w:trHeight w:val="206"/>
        </w:trPr>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639,964,696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523,687,498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640,650,297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505,252,635</w:t>
            </w:r>
          </w:p>
        </w:tc>
        <w:tc>
          <w:tcPr>
            <w:tcW w:w="60" w:type="dxa"/>
            <w:vAlign w:val="bottom"/>
          </w:tcPr>
          <w:p>
            <w:pPr>
              <w:spacing w:after="0"/>
              <w:rPr>
                <w:sz w:val="17"/>
                <w:szCs w:val="17"/>
                <w:color w:val="auto"/>
              </w:rPr>
            </w:pPr>
          </w:p>
        </w:tc>
      </w:tr>
      <w:tr>
        <w:trPr>
          <w:trHeight w:val="378"/>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15,564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27,539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(1,268 )</w:t>
            </w:r>
          </w:p>
        </w:tc>
      </w:tr>
      <w:tr>
        <w:trPr>
          <w:trHeight w:val="330"/>
        </w:trPr>
        <w:tc>
          <w:tcPr>
            <w:tcW w:w="2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(303 )</w:t>
            </w:r>
          </w:p>
        </w:tc>
        <w:tc>
          <w:tcPr>
            <w:tcW w:w="2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(36 )</w:t>
            </w:r>
          </w:p>
        </w:tc>
        <w:tc>
          <w:tcPr>
            <w:tcW w:w="2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(294 )</w:t>
            </w: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2"/>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15,261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27,245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(1,297 )</w:t>
            </w:r>
          </w:p>
        </w:tc>
      </w:tr>
      <w:tr>
        <w:trPr>
          <w:trHeight w:val="330"/>
        </w:trPr>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r>
        <w:trPr>
          <w:trHeight w:val="304"/>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15,261</w:t>
            </w:r>
          </w:p>
        </w:tc>
        <w:tc>
          <w:tcPr>
            <w:tcW w:w="260" w:type="dxa"/>
            <w:vAlign w:val="bottom"/>
          </w:tcPr>
          <w:p>
            <w:pPr>
              <w:spacing w:after="0"/>
              <w:rPr>
                <w:sz w:val="24"/>
                <w:szCs w:val="24"/>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3,780</w:t>
            </w:r>
          </w:p>
        </w:tc>
        <w:tc>
          <w:tcPr>
            <w:tcW w:w="240" w:type="dxa"/>
            <w:vAlign w:val="bottom"/>
          </w:tcPr>
          <w:p>
            <w:pPr>
              <w:spacing w:after="0"/>
              <w:rPr>
                <w:sz w:val="24"/>
                <w:szCs w:val="24"/>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27,245</w:t>
            </w:r>
          </w:p>
        </w:tc>
        <w:tc>
          <w:tcPr>
            <w:tcW w:w="2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(1,297 )</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-1250950</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-1010920</wp:posOffset>
            </wp:positionV>
            <wp:extent cx="713232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-668020</wp:posOffset>
            </wp:positionV>
            <wp:extent cx="71323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-222250</wp:posOffset>
            </wp:positionV>
            <wp:extent cx="71323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80" w:space="720"/>
            <w:col w:w="5740"/>
          </w:cols>
          <w:pgMar w:left="320" w:top="32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number of 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46"/>
              <w:spacing w:after="0"/>
              <w:rPr>
                <w:sz w:val="20"/>
                <w:szCs w:val="20"/>
                <w:color w:val="auto"/>
              </w:rPr>
            </w:pPr>
            <w:r>
              <w:rPr>
                <w:rFonts w:ascii="Arial" w:cs="Arial" w:eastAsia="Arial" w:hAnsi="Arial"/>
                <w:sz w:val="11"/>
                <w:szCs w:val="11"/>
                <w:b w:val="1"/>
                <w:bCs w:val="1"/>
                <w:color w:val="auto"/>
                <w:w w:val="86"/>
              </w:rPr>
              <w:t>Redeemable</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Non-Controlling</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w w:val="97"/>
              </w:rPr>
              <w:t>Preferred Stock—Issued and</w:t>
            </w:r>
          </w:p>
        </w:tc>
        <w:tc>
          <w:tcPr>
            <w:tcW w:w="220" w:type="dxa"/>
            <w:vAlign w:val="bottom"/>
          </w:tcPr>
          <w:p>
            <w:pPr>
              <w:spacing w:after="0"/>
              <w:rPr>
                <w:sz w:val="12"/>
                <w:szCs w:val="12"/>
                <w:color w:val="auto"/>
              </w:rPr>
            </w:pPr>
          </w:p>
        </w:tc>
        <w:tc>
          <w:tcPr>
            <w:tcW w:w="1600" w:type="dxa"/>
            <w:vAlign w:val="bottom"/>
            <w:gridSpan w:val="4"/>
            <w:vMerge w:val="restart"/>
          </w:tcPr>
          <w:p>
            <w:pPr>
              <w:jc w:val="right"/>
              <w:ind w:right="106"/>
              <w:spacing w:after="0"/>
              <w:rPr>
                <w:sz w:val="20"/>
                <w:szCs w:val="20"/>
                <w:color w:val="auto"/>
              </w:rPr>
            </w:pPr>
            <w:r>
              <w:rPr>
                <w:rFonts w:ascii="Arial" w:cs="Arial" w:eastAsia="Arial" w:hAnsi="Arial"/>
                <w:sz w:val="11"/>
                <w:szCs w:val="11"/>
                <w:b w:val="1"/>
                <w:bCs w:val="1"/>
                <w:color w:val="auto"/>
                <w:w w:val="95"/>
              </w:rPr>
              <w:t>Common Stock—Issued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0"/>
              </w:rPr>
              <w:t>Interest</w:t>
            </w: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2"/>
              </w:rPr>
              <w:t>Additional</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8"/>
                <w:szCs w:val="8"/>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1"/>
                <w:szCs w:val="11"/>
                <w:b w:val="1"/>
                <w:bCs w:val="1"/>
                <w:color w:val="auto"/>
                <w:w w:val="89"/>
              </w:rPr>
              <w:t>Outstanding</w:t>
            </w: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3"/>
            <w:vMerge w:val="restart"/>
          </w:tcPr>
          <w:p>
            <w:pPr>
              <w:jc w:val="right"/>
              <w:ind w:right="20"/>
              <w:spacing w:after="0"/>
              <w:rPr>
                <w:sz w:val="20"/>
                <w:szCs w:val="20"/>
                <w:color w:val="auto"/>
              </w:rPr>
            </w:pPr>
            <w:r>
              <w:rPr>
                <w:rFonts w:ascii="Arial" w:cs="Arial" w:eastAsia="Arial" w:hAnsi="Arial"/>
                <w:sz w:val="11"/>
                <w:szCs w:val="11"/>
                <w:b w:val="1"/>
                <w:bCs w:val="1"/>
                <w:color w:val="auto"/>
              </w:rPr>
              <w:t>Outstanding</w:t>
            </w: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3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auto"/>
            </w:tcBorders>
            <w:gridSpan w:val="3"/>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Paid-In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Value</w:t>
            </w:r>
          </w:p>
        </w:tc>
        <w:tc>
          <w:tcPr>
            <w:tcW w:w="22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w w:val="95"/>
              </w:rPr>
              <w:t>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Capital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5"/>
              </w:rPr>
              <w:t>Loss</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9"/>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BALANCE—December 31, 2021</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14,179</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609,768,296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2,618,924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(746,352 )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(315 )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1,872,318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Stock-based compensation expense</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23,644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23,644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Exercise of stock options—net of tax</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3,961,270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10,633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10,633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Exercise of warrants—net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1,246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2300" w:type="dxa"/>
            <w:vAlign w:val="bottom"/>
            <w:shd w:val="clear" w:color="auto" w:fill="CFF0FC"/>
          </w:tcPr>
          <w:p>
            <w:pPr>
              <w:ind w:left="140"/>
              <w:spacing w:after="0" w:line="99" w:lineRule="exact"/>
              <w:rPr>
                <w:sz w:val="20"/>
                <w:szCs w:val="20"/>
                <w:color w:val="auto"/>
              </w:rPr>
            </w:pPr>
            <w:r>
              <w:rPr>
                <w:rFonts w:ascii="Arial" w:cs="Arial" w:eastAsia="Arial" w:hAnsi="Arial"/>
                <w:sz w:val="11"/>
                <w:szCs w:val="11"/>
                <w:color w:val="auto"/>
              </w:rPr>
              <w:t>Issuance of common stock upon vesting of</w:t>
            </w:r>
          </w:p>
        </w:tc>
        <w:tc>
          <w:tcPr>
            <w:tcW w:w="10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27,314</w:t>
            </w: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3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RSUs—net of tax</w:t>
            </w: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Foreign currency translation adjustment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right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11,975</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00" w:type="dxa"/>
            <w:vAlign w:val="bottom"/>
          </w:tcPr>
          <w:p>
            <w:pPr>
              <w:ind w:left="20"/>
              <w:spacing w:after="0"/>
              <w:rPr>
                <w:sz w:val="20"/>
                <w:szCs w:val="20"/>
                <w:color w:val="auto"/>
              </w:rPr>
            </w:pPr>
            <w:r>
              <w:rPr>
                <w:rFonts w:ascii="Arial" w:cs="Arial" w:eastAsia="Arial" w:hAnsi="Arial"/>
                <w:sz w:val="11"/>
                <w:szCs w:val="11"/>
                <w:color w:val="auto"/>
              </w:rPr>
              <w:t>BALANCE—March 31, 2022</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14,179</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613,758,126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2,653,201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(734,377 )</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(306 )</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1,918,579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Stock-based compensation expense</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28,403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Exercise of stock options—net of tax</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1,713,991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4,722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shd w:val="clear" w:color="auto" w:fill="CFF0FC"/>
          </w:tcPr>
          <w:p>
            <w:pPr>
              <w:ind w:left="140"/>
              <w:spacing w:after="0" w:line="99" w:lineRule="exact"/>
              <w:rPr>
                <w:sz w:val="20"/>
                <w:szCs w:val="20"/>
                <w:color w:val="auto"/>
              </w:rPr>
            </w:pPr>
            <w:r>
              <w:rPr>
                <w:rFonts w:ascii="Arial" w:cs="Arial" w:eastAsia="Arial" w:hAnsi="Arial"/>
                <w:sz w:val="11"/>
                <w:szCs w:val="11"/>
                <w:color w:val="auto"/>
              </w:rPr>
              <w:t>Issuance of common stock upon vesting of</w:t>
            </w:r>
          </w:p>
        </w:tc>
        <w:tc>
          <w:tcPr>
            <w:tcW w:w="10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29,834</w:t>
            </w: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3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RSUs—net of tax</w:t>
            </w: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Foreign currency translation adjustment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(303 )</w:t>
            </w: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(303 )</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right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15,564</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15,564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00" w:type="dxa"/>
            <w:vAlign w:val="bottom"/>
          </w:tcPr>
          <w:p>
            <w:pPr>
              <w:ind w:left="20"/>
              <w:spacing w:after="0"/>
              <w:rPr>
                <w:sz w:val="20"/>
                <w:szCs w:val="20"/>
                <w:color w:val="auto"/>
              </w:rPr>
            </w:pPr>
            <w:r>
              <w:rPr>
                <w:rFonts w:ascii="Arial" w:cs="Arial" w:eastAsia="Arial" w:hAnsi="Arial"/>
                <w:sz w:val="11"/>
                <w:szCs w:val="11"/>
                <w:color w:val="auto"/>
              </w:rPr>
              <w:t>BALANCE—June 30, 2022</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14,179</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615,501,951</w:t>
            </w: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62</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2,686,326</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(718,813 )</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(609 )</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1,966,966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-708025</wp:posOffset>
            </wp:positionV>
            <wp:extent cx="768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-708025</wp:posOffset>
            </wp:positionV>
            <wp:extent cx="768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-708025</wp:posOffset>
            </wp:positionV>
            <wp:extent cx="774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-708025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-708025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-708025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-708025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-708025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-116205</wp:posOffset>
            </wp:positionV>
            <wp:extent cx="768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-116205</wp:posOffset>
            </wp:positionV>
            <wp:extent cx="768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-116205</wp:posOffset>
            </wp:positionV>
            <wp:extent cx="7747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-116205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-116205</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-116205</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-116205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-116205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number of 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46"/>
              <w:spacing w:after="0"/>
              <w:rPr>
                <w:sz w:val="20"/>
                <w:szCs w:val="20"/>
                <w:color w:val="auto"/>
              </w:rPr>
            </w:pPr>
            <w:r>
              <w:rPr>
                <w:rFonts w:ascii="Arial" w:cs="Arial" w:eastAsia="Arial" w:hAnsi="Arial"/>
                <w:sz w:val="11"/>
                <w:szCs w:val="11"/>
                <w:b w:val="1"/>
                <w:bCs w:val="1"/>
                <w:color w:val="auto"/>
                <w:w w:val="86"/>
              </w:rPr>
              <w:t>Redeemable</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Non-Controlling</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w w:val="97"/>
              </w:rPr>
              <w:t>Preferred Stock—Issued and</w:t>
            </w:r>
          </w:p>
        </w:tc>
        <w:tc>
          <w:tcPr>
            <w:tcW w:w="220" w:type="dxa"/>
            <w:vAlign w:val="bottom"/>
          </w:tcPr>
          <w:p>
            <w:pPr>
              <w:spacing w:after="0"/>
              <w:rPr>
                <w:sz w:val="12"/>
                <w:szCs w:val="12"/>
                <w:color w:val="auto"/>
              </w:rPr>
            </w:pPr>
          </w:p>
        </w:tc>
        <w:tc>
          <w:tcPr>
            <w:tcW w:w="1600" w:type="dxa"/>
            <w:vAlign w:val="bottom"/>
            <w:gridSpan w:val="4"/>
            <w:vMerge w:val="restart"/>
          </w:tcPr>
          <w:p>
            <w:pPr>
              <w:jc w:val="right"/>
              <w:ind w:right="106"/>
              <w:spacing w:after="0"/>
              <w:rPr>
                <w:sz w:val="20"/>
                <w:szCs w:val="20"/>
                <w:color w:val="auto"/>
              </w:rPr>
            </w:pPr>
            <w:r>
              <w:rPr>
                <w:rFonts w:ascii="Arial" w:cs="Arial" w:eastAsia="Arial" w:hAnsi="Arial"/>
                <w:sz w:val="11"/>
                <w:szCs w:val="11"/>
                <w:b w:val="1"/>
                <w:bCs w:val="1"/>
                <w:color w:val="auto"/>
                <w:w w:val="95"/>
              </w:rPr>
              <w:t>Common Stock—Issued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0"/>
              </w:rPr>
              <w:t>Interest</w:t>
            </w: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2"/>
              </w:rPr>
              <w:t>Additional</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8"/>
                <w:szCs w:val="8"/>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1"/>
                <w:szCs w:val="11"/>
                <w:b w:val="1"/>
                <w:bCs w:val="1"/>
                <w:color w:val="auto"/>
                <w:w w:val="89"/>
              </w:rPr>
              <w:t>Outstanding</w:t>
            </w: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3"/>
            <w:vMerge w:val="restart"/>
          </w:tcPr>
          <w:p>
            <w:pPr>
              <w:jc w:val="right"/>
              <w:ind w:right="20"/>
              <w:spacing w:after="0"/>
              <w:rPr>
                <w:sz w:val="20"/>
                <w:szCs w:val="20"/>
                <w:color w:val="auto"/>
              </w:rPr>
            </w:pPr>
            <w:r>
              <w:rPr>
                <w:rFonts w:ascii="Arial" w:cs="Arial" w:eastAsia="Arial" w:hAnsi="Arial"/>
                <w:sz w:val="11"/>
                <w:szCs w:val="11"/>
                <w:b w:val="1"/>
                <w:bCs w:val="1"/>
                <w:color w:val="auto"/>
              </w:rPr>
              <w:t>Outstanding</w:t>
            </w: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3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auto"/>
            </w:tcBorders>
            <w:gridSpan w:val="3"/>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Paid-In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Value</w:t>
            </w:r>
          </w:p>
        </w:tc>
        <w:tc>
          <w:tcPr>
            <w:tcW w:w="220" w:type="dxa"/>
            <w:vAlign w:val="bottom"/>
          </w:tcPr>
          <w:p>
            <w:pPr>
              <w:spacing w:after="0"/>
              <w:rPr>
                <w:sz w:val="12"/>
                <w:szCs w:val="12"/>
                <w:color w:val="auto"/>
              </w:rPr>
            </w:pP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26"/>
              <w:spacing w:after="0"/>
              <w:rPr>
                <w:sz w:val="20"/>
                <w:szCs w:val="20"/>
                <w:color w:val="auto"/>
              </w:rPr>
            </w:pPr>
            <w:r>
              <w:rPr>
                <w:rFonts w:ascii="Arial" w:cs="Arial" w:eastAsia="Arial" w:hAnsi="Arial"/>
                <w:sz w:val="11"/>
                <w:szCs w:val="11"/>
                <w:b w:val="1"/>
                <w:bCs w:val="1"/>
                <w:color w:val="auto"/>
                <w:w w:val="95"/>
              </w:rPr>
              <w:t>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Capital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5"/>
              </w:rPr>
              <w:t>Loss</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9"/>
        </w:trPr>
        <w:tc>
          <w:tcPr>
            <w:tcW w:w="2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BALANCE—December 31, 2020</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14,179</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504,274,890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1,501,206</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(129,370 )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(271 )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1,371,615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Issuance of common stock</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110,679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1,007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Stock-based compensation expense</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883,729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11,838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11,838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Exercise of stock options—net of tax</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161,080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Dividend to CCCIS stockholders</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(134,551 )</w:t>
            </w:r>
          </w:p>
        </w:tc>
        <w:tc>
          <w:tcPr>
            <w:tcW w:w="1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(134,551 )</w:t>
            </w: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Foreign currency translation adjustment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Net loss</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(5,084 )</w:t>
            </w:r>
          </w:p>
        </w:tc>
        <w:tc>
          <w:tcPr>
            <w:tcW w:w="1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(5,084 )</w:t>
            </w:r>
          </w:p>
        </w:tc>
        <w:tc>
          <w:tcPr>
            <w:tcW w:w="0" w:type="dxa"/>
            <w:vAlign w:val="bottom"/>
          </w:tcPr>
          <w:p>
            <w:pPr>
              <w:spacing w:after="0"/>
              <w:rPr>
                <w:sz w:val="1"/>
                <w:szCs w:val="1"/>
                <w:color w:val="auto"/>
              </w:rPr>
            </w:pPr>
          </w:p>
        </w:tc>
      </w:tr>
      <w:tr>
        <w:trPr>
          <w:trHeight w:val="20"/>
        </w:trPr>
        <w:tc>
          <w:tcPr>
            <w:tcW w:w="2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00" w:type="dxa"/>
            <w:vAlign w:val="bottom"/>
          </w:tcPr>
          <w:p>
            <w:pPr>
              <w:ind w:left="20"/>
              <w:spacing w:after="0"/>
              <w:rPr>
                <w:sz w:val="20"/>
                <w:szCs w:val="20"/>
                <w:color w:val="auto"/>
              </w:rPr>
            </w:pPr>
            <w:r>
              <w:rPr>
                <w:rFonts w:ascii="Arial" w:cs="Arial" w:eastAsia="Arial" w:hAnsi="Arial"/>
                <w:sz w:val="11"/>
                <w:szCs w:val="11"/>
                <w:color w:val="auto"/>
              </w:rPr>
              <w:t>BALANCE—March 31, 2021</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14,179</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505,430,378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1,514,495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(269,005 )</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(264 )</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1,245,276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Stock-based compensation expense</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40"/>
              <w:spacing w:after="0"/>
              <w:rPr>
                <w:sz w:val="20"/>
                <w:szCs w:val="20"/>
                <w:color w:val="auto"/>
              </w:rPr>
            </w:pPr>
            <w:r>
              <w:rPr>
                <w:rFonts w:ascii="Arial" w:cs="Arial" w:eastAsia="Arial" w:hAnsi="Arial"/>
                <w:sz w:val="11"/>
                <w:szCs w:val="11"/>
                <w:color w:val="auto"/>
              </w:rPr>
              <w:t>Foreign currency translation adjustment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(36 )</w:t>
            </w: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right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3,816</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3,816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00" w:type="dxa"/>
            <w:vAlign w:val="bottom"/>
          </w:tcPr>
          <w:p>
            <w:pPr>
              <w:ind w:left="20"/>
              <w:spacing w:after="0"/>
              <w:rPr>
                <w:sz w:val="20"/>
                <w:szCs w:val="20"/>
                <w:color w:val="auto"/>
              </w:rPr>
            </w:pPr>
            <w:r>
              <w:rPr>
                <w:rFonts w:ascii="Arial" w:cs="Arial" w:eastAsia="Arial" w:hAnsi="Arial"/>
                <w:sz w:val="11"/>
                <w:szCs w:val="11"/>
                <w:color w:val="auto"/>
              </w:rPr>
              <w:t>BALANCE—June 30, 2021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14,179</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tcPr>
          <w:p>
            <w:pPr>
              <w:ind w:left="3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505,430,378</w:t>
            </w: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1,517,074</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(265,189 )</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(300 )</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1,251,635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-467995</wp:posOffset>
            </wp:positionV>
            <wp:extent cx="768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-467995</wp:posOffset>
            </wp:positionV>
            <wp:extent cx="768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-467995</wp:posOffset>
            </wp:positionV>
            <wp:extent cx="7747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-467995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-467995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-467995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-467995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-467995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-116205</wp:posOffset>
            </wp:positionV>
            <wp:extent cx="768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-116205</wp:posOffset>
            </wp:positionV>
            <wp:extent cx="768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-116205</wp:posOffset>
            </wp:positionV>
            <wp:extent cx="7747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-116205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-116205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-116205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-116205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-116205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46" w:right="1440" w:bottom="1440" w:gutter="0" w:footer="0" w:header="0"/>
        </w:sectPr>
      </w:pPr>
    </w:p>
    <w:bookmarkStart w:id="9" w:name="page10"/>
    <w:bookmarkEnd w:id="9"/>
    <w:p>
      <w:pPr>
        <w:ind w:left="2920" w:right="2620" w:hanging="283"/>
        <w:spacing w:after="0" w:line="246" w:lineRule="auto"/>
        <w:tabs>
          <w:tab w:leader="none" w:pos="30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STATEMENTS OF CASH FLOWS</w:t>
      </w:r>
    </w:p>
    <w:p>
      <w:pPr>
        <w:jc w:val="center"/>
        <w:spacing w:after="0" w:line="235"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w w:val="94"/>
              </w:rPr>
              <w:t>For the Six Months Ended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8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7860" w:type="dxa"/>
            <w:vAlign w:val="bottom"/>
          </w:tcPr>
          <w:p>
            <w:pPr>
              <w:spacing w:after="0"/>
              <w:rPr>
                <w:sz w:val="11"/>
                <w:szCs w:val="11"/>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r>
      <w:tr>
        <w:trPr>
          <w:trHeight w:val="128"/>
        </w:trPr>
        <w:tc>
          <w:tcPr>
            <w:tcW w:w="78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FLOWS FROM OPERATING ACTIVITIES: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200"/>
              <w:spacing w:after="0"/>
              <w:rPr>
                <w:sz w:val="20"/>
                <w:szCs w:val="20"/>
                <w:color w:val="auto"/>
              </w:rPr>
            </w:pPr>
            <w:r>
              <w:rPr>
                <w:rFonts w:ascii="Arial" w:cs="Arial" w:eastAsia="Arial" w:hAnsi="Arial"/>
                <w:sz w:val="11"/>
                <w:szCs w:val="11"/>
                <w:color w:val="auto"/>
              </w:rPr>
              <w:t>Net income (loss)</w:t>
            </w: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27,539</w:t>
            </w:r>
          </w:p>
        </w:tc>
        <w:tc>
          <w:tcPr>
            <w:tcW w:w="280" w:type="dxa"/>
            <w:vAlign w:val="bottom"/>
          </w:tcPr>
          <w:p>
            <w:pPr>
              <w:spacing w:after="0"/>
              <w:rPr>
                <w:sz w:val="11"/>
                <w:szCs w:val="11"/>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(1,268 )</w:t>
            </w:r>
          </w:p>
        </w:tc>
      </w:tr>
      <w:tr>
        <w:trPr>
          <w:trHeight w:val="135"/>
        </w:trPr>
        <w:tc>
          <w:tcPr>
            <w:tcW w:w="78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380"/>
              <w:spacing w:after="0"/>
              <w:rPr>
                <w:sz w:val="20"/>
                <w:szCs w:val="20"/>
                <w:color w:val="auto"/>
              </w:rPr>
            </w:pPr>
            <w:r>
              <w:rPr>
                <w:rFonts w:ascii="Arial" w:cs="Arial" w:eastAsia="Arial" w:hAnsi="Arial"/>
                <w:sz w:val="11"/>
                <w:szCs w:val="11"/>
                <w:color w:val="auto"/>
              </w:rPr>
              <w:t>Depreciation and amortization of software, equipment, and property</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13,490</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10,472</w:t>
            </w: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380"/>
              <w:spacing w:after="0"/>
              <w:rPr>
                <w:sz w:val="20"/>
                <w:szCs w:val="20"/>
                <w:color w:val="auto"/>
              </w:rPr>
            </w:pPr>
            <w:r>
              <w:rPr>
                <w:rFonts w:ascii="Arial" w:cs="Arial" w:eastAsia="Arial" w:hAnsi="Arial"/>
                <w:sz w:val="11"/>
                <w:szCs w:val="11"/>
                <w:color w:val="auto"/>
              </w:rPr>
              <w:t>Amortization of intangible assets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49,591</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49,315</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380"/>
              <w:spacing w:after="0"/>
              <w:rPr>
                <w:sz w:val="20"/>
                <w:szCs w:val="20"/>
                <w:color w:val="auto"/>
              </w:rPr>
            </w:pPr>
            <w:r>
              <w:rPr>
                <w:rFonts w:ascii="Arial" w:cs="Arial" w:eastAsia="Arial" w:hAnsi="Arial"/>
                <w:sz w:val="11"/>
                <w:szCs w:val="11"/>
                <w:color w:val="auto"/>
              </w:rPr>
              <w:t>Deferred income taxes</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(43,703 )</w:t>
            </w: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(11,068 )</w:t>
            </w:r>
          </w:p>
        </w:tc>
      </w:tr>
      <w:tr>
        <w:trPr>
          <w:trHeight w:val="135"/>
        </w:trPr>
        <w:tc>
          <w:tcPr>
            <w:tcW w:w="7860" w:type="dxa"/>
            <w:vAlign w:val="bottom"/>
            <w:shd w:val="clear" w:color="auto" w:fill="CFF0FC"/>
          </w:tcPr>
          <w:p>
            <w:pPr>
              <w:ind w:left="380"/>
              <w:spacing w:after="0"/>
              <w:rPr>
                <w:sz w:val="20"/>
                <w:szCs w:val="20"/>
                <w:color w:val="auto"/>
              </w:rPr>
            </w:pPr>
            <w:r>
              <w:rPr>
                <w:rFonts w:ascii="Arial" w:cs="Arial" w:eastAsia="Arial" w:hAnsi="Arial"/>
                <w:sz w:val="11"/>
                <w:szCs w:val="11"/>
                <w:color w:val="auto"/>
              </w:rPr>
              <w:t>Stock-based compensation</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52,047</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15,537</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380"/>
              <w:spacing w:after="0"/>
              <w:rPr>
                <w:sz w:val="20"/>
                <w:szCs w:val="20"/>
                <w:color w:val="auto"/>
              </w:rPr>
            </w:pPr>
            <w:r>
              <w:rPr>
                <w:rFonts w:ascii="Arial" w:cs="Arial" w:eastAsia="Arial" w:hAnsi="Arial"/>
                <w:sz w:val="11"/>
                <w:szCs w:val="11"/>
                <w:color w:val="auto"/>
              </w:rPr>
              <w:t>Amortization of deferred financing fees</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949</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2,321</w:t>
            </w: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380"/>
              <w:spacing w:after="0"/>
              <w:rPr>
                <w:sz w:val="20"/>
                <w:szCs w:val="20"/>
                <w:color w:val="auto"/>
              </w:rPr>
            </w:pPr>
            <w:r>
              <w:rPr>
                <w:rFonts w:ascii="Arial" w:cs="Arial" w:eastAsia="Arial" w:hAnsi="Arial"/>
                <w:sz w:val="11"/>
                <w:szCs w:val="11"/>
                <w:color w:val="auto"/>
              </w:rPr>
              <w:t>Amortization of discount on debt</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131</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392</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380"/>
              <w:spacing w:after="0"/>
              <w:rPr>
                <w:sz w:val="20"/>
                <w:szCs w:val="20"/>
                <w:color w:val="auto"/>
              </w:rPr>
            </w:pPr>
            <w:r>
              <w:rPr>
                <w:rFonts w:ascii="Arial" w:cs="Arial" w:eastAsia="Arial" w:hAnsi="Arial"/>
                <w:sz w:val="11"/>
                <w:szCs w:val="11"/>
                <w:color w:val="auto"/>
              </w:rPr>
              <w:t>Change in fair value of interest rate swaps</w:t>
            </w:r>
          </w:p>
        </w:tc>
        <w:tc>
          <w:tcPr>
            <w:tcW w:w="940" w:type="dxa"/>
            <w:vAlign w:val="bottom"/>
          </w:tcPr>
          <w:p>
            <w:pPr>
              <w:spacing w:after="0"/>
              <w:rPr>
                <w:sz w:val="11"/>
                <w:szCs w:val="11"/>
                <w:color w:val="auto"/>
              </w:rPr>
            </w:pPr>
          </w:p>
        </w:tc>
        <w:tc>
          <w:tcPr>
            <w:tcW w:w="840" w:type="dxa"/>
            <w:vAlign w:val="bottom"/>
            <w:gridSpan w:val="2"/>
          </w:tcPr>
          <w:p>
            <w:pPr>
              <w:jc w:val="right"/>
              <w:ind w:right="22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(6,366 )</w:t>
            </w:r>
          </w:p>
        </w:tc>
      </w:tr>
      <w:tr>
        <w:trPr>
          <w:trHeight w:val="135"/>
        </w:trPr>
        <w:tc>
          <w:tcPr>
            <w:tcW w:w="7860" w:type="dxa"/>
            <w:vAlign w:val="bottom"/>
            <w:shd w:val="clear" w:color="auto" w:fill="CFF0FC"/>
          </w:tcPr>
          <w:p>
            <w:pPr>
              <w:ind w:left="380"/>
              <w:spacing w:after="0"/>
              <w:rPr>
                <w:sz w:val="20"/>
                <w:szCs w:val="20"/>
                <w:color w:val="auto"/>
              </w:rPr>
            </w:pPr>
            <w:r>
              <w:rPr>
                <w:rFonts w:ascii="Arial" w:cs="Arial" w:eastAsia="Arial" w:hAnsi="Arial"/>
                <w:sz w:val="11"/>
                <w:szCs w:val="11"/>
                <w:color w:val="auto"/>
              </w:rPr>
              <w:t>Change in fair value of warrant liabilities</w:t>
            </w:r>
          </w:p>
        </w:tc>
        <w:tc>
          <w:tcPr>
            <w:tcW w:w="9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(23,140 )</w:t>
            </w: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2"/>
              <w:spacing w:after="0"/>
              <w:rPr>
                <w:sz w:val="20"/>
                <w:szCs w:val="20"/>
                <w:color w:val="auto"/>
              </w:rPr>
            </w:pPr>
            <w:r>
              <w:rPr>
                <w:rFonts w:ascii="Arial" w:cs="Arial" w:eastAsia="Arial" w:hAnsi="Arial"/>
                <w:sz w:val="11"/>
                <w:szCs w:val="11"/>
                <w:color w:val="auto"/>
              </w:rPr>
              <w:t>—</w:t>
            </w:r>
          </w:p>
        </w:tc>
      </w:tr>
      <w:tr>
        <w:trPr>
          <w:trHeight w:val="135"/>
        </w:trPr>
        <w:tc>
          <w:tcPr>
            <w:tcW w:w="7860" w:type="dxa"/>
            <w:vAlign w:val="bottom"/>
          </w:tcPr>
          <w:p>
            <w:pPr>
              <w:ind w:left="380"/>
              <w:spacing w:after="0"/>
              <w:rPr>
                <w:sz w:val="20"/>
                <w:szCs w:val="20"/>
                <w:color w:val="auto"/>
              </w:rPr>
            </w:pPr>
            <w:r>
              <w:rPr>
                <w:rFonts w:ascii="Arial" w:cs="Arial" w:eastAsia="Arial" w:hAnsi="Arial"/>
                <w:sz w:val="11"/>
                <w:szCs w:val="11"/>
                <w:color w:val="auto"/>
              </w:rPr>
              <w:t>Non-cash lease expense</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2,152</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3,667</w:t>
            </w: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380"/>
              <w:spacing w:after="0"/>
              <w:rPr>
                <w:sz w:val="20"/>
                <w:szCs w:val="20"/>
                <w:color w:val="auto"/>
              </w:rPr>
            </w:pPr>
            <w:r>
              <w:rPr>
                <w:rFonts w:ascii="Arial" w:cs="Arial" w:eastAsia="Arial" w:hAnsi="Arial"/>
                <w:sz w:val="11"/>
                <w:szCs w:val="11"/>
                <w:color w:val="auto"/>
              </w:rPr>
              <w:t>Loss on disposal of software, equipment and property</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2"/>
              <w:spacing w:after="0"/>
              <w:rPr>
                <w:sz w:val="20"/>
                <w:szCs w:val="20"/>
                <w:color w:val="auto"/>
              </w:rPr>
            </w:pPr>
            <w:r>
              <w:rPr>
                <w:rFonts w:ascii="Arial" w:cs="Arial" w:eastAsia="Arial" w:hAnsi="Arial"/>
                <w:sz w:val="11"/>
                <w:szCs w:val="11"/>
                <w:color w:val="auto"/>
              </w:rPr>
              <w:t>—</w:t>
            </w:r>
          </w:p>
        </w:tc>
      </w:tr>
      <w:tr>
        <w:trPr>
          <w:trHeight w:val="135"/>
        </w:trPr>
        <w:tc>
          <w:tcPr>
            <w:tcW w:w="7860" w:type="dxa"/>
            <w:vAlign w:val="bottom"/>
          </w:tcPr>
          <w:p>
            <w:pPr>
              <w:ind w:left="380"/>
              <w:spacing w:after="0"/>
              <w:rPr>
                <w:sz w:val="20"/>
                <w:szCs w:val="20"/>
                <w:color w:val="auto"/>
              </w:rPr>
            </w:pPr>
            <w:r>
              <w:rPr>
                <w:rFonts w:ascii="Arial" w:cs="Arial" w:eastAsia="Arial" w:hAnsi="Arial"/>
                <w:sz w:val="11"/>
                <w:szCs w:val="11"/>
                <w:color w:val="auto"/>
              </w:rPr>
              <w:t>Gain on sale of cost method investment</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(3,578 )</w:t>
            </w:r>
          </w:p>
        </w:tc>
        <w:tc>
          <w:tcPr>
            <w:tcW w:w="560" w:type="dxa"/>
            <w:vAlign w:val="bottom"/>
          </w:tcPr>
          <w:p>
            <w:pPr>
              <w:spacing w:after="0"/>
              <w:rPr>
                <w:sz w:val="11"/>
                <w:szCs w:val="11"/>
                <w:color w:val="auto"/>
              </w:rPr>
            </w:pPr>
          </w:p>
        </w:tc>
        <w:tc>
          <w:tcPr>
            <w:tcW w:w="10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r>
      <w:tr>
        <w:trPr>
          <w:trHeight w:val="135"/>
        </w:trPr>
        <w:tc>
          <w:tcPr>
            <w:tcW w:w="7860" w:type="dxa"/>
            <w:vAlign w:val="bottom"/>
            <w:shd w:val="clear" w:color="auto" w:fill="CFF0FC"/>
          </w:tcPr>
          <w:p>
            <w:pPr>
              <w:ind w:left="380"/>
              <w:spacing w:after="0"/>
              <w:rPr>
                <w:sz w:val="20"/>
                <w:szCs w:val="20"/>
                <w:color w:val="auto"/>
              </w:rPr>
            </w:pPr>
            <w:r>
              <w:rPr>
                <w:rFonts w:ascii="Arial" w:cs="Arial" w:eastAsia="Arial" w:hAnsi="Arial"/>
                <w:sz w:val="11"/>
                <w:szCs w:val="11"/>
                <w:color w:val="auto"/>
              </w:rPr>
              <w:t>Other</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380"/>
              <w:spacing w:after="0"/>
              <w:rPr>
                <w:sz w:val="20"/>
                <w:szCs w:val="20"/>
                <w:color w:val="auto"/>
              </w:rPr>
            </w:pPr>
            <w:r>
              <w:rPr>
                <w:rFonts w:ascii="Arial" w:cs="Arial" w:eastAsia="Arial" w:hAnsi="Arial"/>
                <w:sz w:val="11"/>
                <w:szCs w:val="11"/>
                <w:color w:val="auto"/>
              </w:rPr>
              <w:t>Changes in:</w:t>
            </w: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560"/>
              <w:spacing w:after="0"/>
              <w:rPr>
                <w:sz w:val="20"/>
                <w:szCs w:val="20"/>
                <w:color w:val="auto"/>
              </w:rPr>
            </w:pPr>
            <w:r>
              <w:rPr>
                <w:rFonts w:ascii="Arial" w:cs="Arial" w:eastAsia="Arial" w:hAnsi="Arial"/>
                <w:sz w:val="11"/>
                <w:szCs w:val="11"/>
                <w:color w:val="auto"/>
              </w:rPr>
              <w:t>Accounts receivable—Net</w:t>
            </w:r>
          </w:p>
        </w:tc>
        <w:tc>
          <w:tcPr>
            <w:tcW w:w="9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(4,027 )</w:t>
            </w: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(7,749 )</w:t>
            </w:r>
          </w:p>
        </w:tc>
      </w:tr>
      <w:tr>
        <w:trPr>
          <w:trHeight w:val="135"/>
        </w:trPr>
        <w:tc>
          <w:tcPr>
            <w:tcW w:w="7860" w:type="dxa"/>
            <w:vAlign w:val="bottom"/>
          </w:tcPr>
          <w:p>
            <w:pPr>
              <w:ind w:left="560"/>
              <w:spacing w:after="0"/>
              <w:rPr>
                <w:sz w:val="20"/>
                <w:szCs w:val="20"/>
                <w:color w:val="auto"/>
              </w:rPr>
            </w:pPr>
            <w:r>
              <w:rPr>
                <w:rFonts w:ascii="Arial" w:cs="Arial" w:eastAsia="Arial" w:hAnsi="Arial"/>
                <w:sz w:val="11"/>
                <w:szCs w:val="11"/>
                <w:color w:val="auto"/>
              </w:rPr>
              <w:t>Deferred contract costs</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(952 )</w:t>
            </w: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(765 )</w:t>
            </w:r>
          </w:p>
        </w:tc>
      </w:tr>
      <w:tr>
        <w:trPr>
          <w:trHeight w:val="135"/>
        </w:trPr>
        <w:tc>
          <w:tcPr>
            <w:tcW w:w="7860" w:type="dxa"/>
            <w:vAlign w:val="bottom"/>
            <w:shd w:val="clear" w:color="auto" w:fill="CFF0FC"/>
          </w:tcPr>
          <w:p>
            <w:pPr>
              <w:ind w:left="560"/>
              <w:spacing w:after="0"/>
              <w:rPr>
                <w:sz w:val="20"/>
                <w:szCs w:val="20"/>
                <w:color w:val="auto"/>
              </w:rPr>
            </w:pPr>
            <w:r>
              <w:rPr>
                <w:rFonts w:ascii="Arial" w:cs="Arial" w:eastAsia="Arial" w:hAnsi="Arial"/>
                <w:sz w:val="11"/>
                <w:szCs w:val="11"/>
                <w:color w:val="auto"/>
              </w:rPr>
              <w:t>Other current assets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15,463</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(1,937 )</w:t>
            </w:r>
          </w:p>
        </w:tc>
      </w:tr>
      <w:tr>
        <w:trPr>
          <w:trHeight w:val="135"/>
        </w:trPr>
        <w:tc>
          <w:tcPr>
            <w:tcW w:w="7860" w:type="dxa"/>
            <w:vAlign w:val="bottom"/>
          </w:tcPr>
          <w:p>
            <w:pPr>
              <w:ind w:left="560"/>
              <w:spacing w:after="0"/>
              <w:rPr>
                <w:sz w:val="20"/>
                <w:szCs w:val="20"/>
                <w:color w:val="auto"/>
              </w:rPr>
            </w:pPr>
            <w:r>
              <w:rPr>
                <w:rFonts w:ascii="Arial" w:cs="Arial" w:eastAsia="Arial" w:hAnsi="Arial"/>
                <w:sz w:val="11"/>
                <w:szCs w:val="11"/>
                <w:color w:val="auto"/>
              </w:rPr>
              <w:t>Deferred contract costs—Non-current</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2,248</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(1,597 )</w:t>
            </w:r>
          </w:p>
        </w:tc>
      </w:tr>
      <w:tr>
        <w:trPr>
          <w:trHeight w:val="135"/>
        </w:trPr>
        <w:tc>
          <w:tcPr>
            <w:tcW w:w="7860" w:type="dxa"/>
            <w:vAlign w:val="bottom"/>
            <w:shd w:val="clear" w:color="auto" w:fill="CFF0FC"/>
          </w:tcPr>
          <w:p>
            <w:pPr>
              <w:ind w:left="560"/>
              <w:spacing w:after="0"/>
              <w:rPr>
                <w:sz w:val="20"/>
                <w:szCs w:val="20"/>
                <w:color w:val="auto"/>
              </w:rPr>
            </w:pPr>
            <w:r>
              <w:rPr>
                <w:rFonts w:ascii="Arial" w:cs="Arial" w:eastAsia="Arial" w:hAnsi="Arial"/>
                <w:sz w:val="11"/>
                <w:szCs w:val="11"/>
                <w:color w:val="auto"/>
              </w:rPr>
              <w:t>Other assets</w:t>
            </w:r>
          </w:p>
        </w:tc>
        <w:tc>
          <w:tcPr>
            <w:tcW w:w="9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(9,935 )</w:t>
            </w: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1,699</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560"/>
              <w:spacing w:after="0"/>
              <w:rPr>
                <w:sz w:val="20"/>
                <w:szCs w:val="20"/>
                <w:color w:val="auto"/>
              </w:rPr>
            </w:pPr>
            <w:r>
              <w:rPr>
                <w:rFonts w:ascii="Arial" w:cs="Arial" w:eastAsia="Arial" w:hAnsi="Arial"/>
                <w:sz w:val="11"/>
                <w:szCs w:val="11"/>
                <w:color w:val="auto"/>
              </w:rPr>
              <w:t>Operating lease assets</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1,576</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3,410</w:t>
            </w: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560"/>
              <w:spacing w:after="0"/>
              <w:rPr>
                <w:sz w:val="20"/>
                <w:szCs w:val="20"/>
                <w:color w:val="auto"/>
              </w:rPr>
            </w:pPr>
            <w:r>
              <w:rPr>
                <w:rFonts w:ascii="Arial" w:cs="Arial" w:eastAsia="Arial" w:hAnsi="Arial"/>
                <w:sz w:val="11"/>
                <w:szCs w:val="11"/>
                <w:color w:val="auto"/>
              </w:rPr>
              <w:t>Income taxes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13,851</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(43 )</w:t>
            </w:r>
          </w:p>
        </w:tc>
      </w:tr>
      <w:tr>
        <w:trPr>
          <w:trHeight w:val="135"/>
        </w:trPr>
        <w:tc>
          <w:tcPr>
            <w:tcW w:w="7860" w:type="dxa"/>
            <w:vAlign w:val="bottom"/>
          </w:tcPr>
          <w:p>
            <w:pPr>
              <w:ind w:left="560"/>
              <w:spacing w:after="0"/>
              <w:rPr>
                <w:sz w:val="20"/>
                <w:szCs w:val="20"/>
                <w:color w:val="auto"/>
              </w:rPr>
            </w:pPr>
            <w:r>
              <w:rPr>
                <w:rFonts w:ascii="Arial" w:cs="Arial" w:eastAsia="Arial" w:hAnsi="Arial"/>
                <w:sz w:val="11"/>
                <w:szCs w:val="11"/>
                <w:color w:val="auto"/>
              </w:rPr>
              <w:t>Accounts payable</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3,204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3,613</w:t>
            </w: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560"/>
              <w:spacing w:after="0"/>
              <w:rPr>
                <w:sz w:val="20"/>
                <w:szCs w:val="20"/>
                <w:color w:val="auto"/>
              </w:rPr>
            </w:pPr>
            <w:r>
              <w:rPr>
                <w:rFonts w:ascii="Arial" w:cs="Arial" w:eastAsia="Arial" w:hAnsi="Arial"/>
                <w:sz w:val="11"/>
                <w:szCs w:val="11"/>
                <w:color w:val="auto"/>
              </w:rPr>
              <w:t>Accrued expenses</w:t>
            </w:r>
          </w:p>
        </w:tc>
        <w:tc>
          <w:tcPr>
            <w:tcW w:w="9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(7,949 )</w:t>
            </w: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4,031</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560"/>
              <w:spacing w:after="0"/>
              <w:rPr>
                <w:sz w:val="20"/>
                <w:szCs w:val="20"/>
                <w:color w:val="auto"/>
              </w:rPr>
            </w:pPr>
            <w:r>
              <w:rPr>
                <w:rFonts w:ascii="Arial" w:cs="Arial" w:eastAsia="Arial" w:hAnsi="Arial"/>
                <w:sz w:val="11"/>
                <w:szCs w:val="11"/>
                <w:color w:val="auto"/>
              </w:rPr>
              <w:t>Operating lease liabilities</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(4,308 )</w:t>
            </w: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(3,900 )</w:t>
            </w:r>
          </w:p>
        </w:tc>
      </w:tr>
      <w:tr>
        <w:trPr>
          <w:trHeight w:val="135"/>
        </w:trPr>
        <w:tc>
          <w:tcPr>
            <w:tcW w:w="7860" w:type="dxa"/>
            <w:vAlign w:val="bottom"/>
            <w:shd w:val="clear" w:color="auto" w:fill="CFF0FC"/>
          </w:tcPr>
          <w:p>
            <w:pPr>
              <w:ind w:left="560"/>
              <w:spacing w:after="0"/>
              <w:rPr>
                <w:sz w:val="20"/>
                <w:szCs w:val="20"/>
                <w:color w:val="auto"/>
              </w:rPr>
            </w:pPr>
            <w:r>
              <w:rPr>
                <w:rFonts w:ascii="Arial" w:cs="Arial" w:eastAsia="Arial" w:hAnsi="Arial"/>
                <w:sz w:val="11"/>
                <w:szCs w:val="11"/>
                <w:color w:val="auto"/>
              </w:rPr>
              <w:t>Deferred revenues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2,256</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2,303</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560"/>
              <w:spacing w:after="0"/>
              <w:rPr>
                <w:sz w:val="20"/>
                <w:szCs w:val="20"/>
                <w:color w:val="auto"/>
              </w:rPr>
            </w:pPr>
            <w:r>
              <w:rPr>
                <w:rFonts w:ascii="Arial" w:cs="Arial" w:eastAsia="Arial" w:hAnsi="Arial"/>
                <w:sz w:val="11"/>
                <w:szCs w:val="11"/>
                <w:color w:val="auto"/>
              </w:rPr>
              <w:t>Other liabilities</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(62 )</w:t>
            </w: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(2,281 )</w:t>
            </w:r>
          </w:p>
        </w:tc>
      </w:tr>
      <w:tr>
        <w:trPr>
          <w:trHeight w:val="128"/>
        </w:trPr>
        <w:tc>
          <w:tcPr>
            <w:tcW w:w="78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1"/>
                <w:szCs w:val="11"/>
                <w:color w:val="auto"/>
              </w:rPr>
              <w:t>Net cash provided by operating activities</w:t>
            </w:r>
          </w:p>
        </w:tc>
        <w:tc>
          <w:tcPr>
            <w:tcW w:w="9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87,685</w:t>
            </w:r>
          </w:p>
        </w:tc>
        <w:tc>
          <w:tcPr>
            <w:tcW w:w="28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59,820</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86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Purchases of software, equipment, and property</w:t>
            </w:r>
          </w:p>
        </w:tc>
        <w:tc>
          <w:tcPr>
            <w:tcW w:w="9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66"/>
              <w:spacing w:after="0"/>
              <w:rPr>
                <w:sz w:val="20"/>
                <w:szCs w:val="20"/>
                <w:color w:val="auto"/>
              </w:rPr>
            </w:pPr>
            <w:r>
              <w:rPr>
                <w:rFonts w:ascii="Arial" w:cs="Arial" w:eastAsia="Arial" w:hAnsi="Arial"/>
                <w:sz w:val="11"/>
                <w:szCs w:val="11"/>
                <w:color w:val="auto"/>
              </w:rPr>
              <w:t>(25,469 )</w:t>
            </w: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(13,158 )</w:t>
            </w:r>
          </w:p>
        </w:tc>
      </w:tr>
      <w:tr>
        <w:trPr>
          <w:trHeight w:val="135"/>
        </w:trPr>
        <w:tc>
          <w:tcPr>
            <w:tcW w:w="7860" w:type="dxa"/>
            <w:vAlign w:val="bottom"/>
          </w:tcPr>
          <w:p>
            <w:pPr>
              <w:ind w:left="200"/>
              <w:spacing w:after="0"/>
              <w:rPr>
                <w:sz w:val="20"/>
                <w:szCs w:val="20"/>
                <w:color w:val="auto"/>
              </w:rPr>
            </w:pPr>
            <w:r>
              <w:rPr>
                <w:rFonts w:ascii="Arial" w:cs="Arial" w:eastAsia="Arial" w:hAnsi="Arial"/>
                <w:sz w:val="11"/>
                <w:szCs w:val="11"/>
                <w:color w:val="auto"/>
              </w:rPr>
              <w:t>Acquisition of Safekeep, Inc., net of cash acquired</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(32,242 )</w:t>
            </w:r>
          </w:p>
        </w:tc>
        <w:tc>
          <w:tcPr>
            <w:tcW w:w="560" w:type="dxa"/>
            <w:vAlign w:val="bottom"/>
          </w:tcPr>
          <w:p>
            <w:pPr>
              <w:spacing w:after="0"/>
              <w:rPr>
                <w:sz w:val="11"/>
                <w:szCs w:val="11"/>
                <w:color w:val="auto"/>
              </w:rPr>
            </w:pPr>
          </w:p>
        </w:tc>
        <w:tc>
          <w:tcPr>
            <w:tcW w:w="10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r>
      <w:tr>
        <w:trPr>
          <w:trHeight w:val="135"/>
        </w:trPr>
        <w:tc>
          <w:tcPr>
            <w:tcW w:w="78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Purchase of equity method investment</w:t>
            </w:r>
          </w:p>
        </w:tc>
        <w:tc>
          <w:tcPr>
            <w:tcW w:w="9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6"/>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(10,189 )</w:t>
            </w:r>
          </w:p>
        </w:tc>
      </w:tr>
      <w:tr>
        <w:trPr>
          <w:trHeight w:val="135"/>
        </w:trPr>
        <w:tc>
          <w:tcPr>
            <w:tcW w:w="7860" w:type="dxa"/>
            <w:vAlign w:val="bottom"/>
          </w:tcPr>
          <w:p>
            <w:pPr>
              <w:ind w:left="200"/>
              <w:spacing w:after="0"/>
              <w:rPr>
                <w:sz w:val="20"/>
                <w:szCs w:val="20"/>
                <w:color w:val="auto"/>
              </w:rPr>
            </w:pPr>
            <w:r>
              <w:rPr>
                <w:rFonts w:ascii="Arial" w:cs="Arial" w:eastAsia="Arial" w:hAnsi="Arial"/>
                <w:sz w:val="11"/>
                <w:szCs w:val="11"/>
                <w:color w:val="auto"/>
              </w:rPr>
              <w:t>Proceeds from sale of cost method investment</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3,892</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r>
      <w:tr>
        <w:trPr>
          <w:trHeight w:val="135"/>
        </w:trPr>
        <w:tc>
          <w:tcPr>
            <w:tcW w:w="78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Purchase of intangible asset</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(49 )</w:t>
            </w:r>
          </w:p>
        </w:tc>
      </w:tr>
      <w:tr>
        <w:trPr>
          <w:trHeight w:val="20"/>
        </w:trPr>
        <w:tc>
          <w:tcPr>
            <w:tcW w:w="78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7860" w:type="dxa"/>
            <w:vAlign w:val="bottom"/>
          </w:tcPr>
          <w:p>
            <w:pPr>
              <w:ind w:left="740"/>
              <w:spacing w:after="0"/>
              <w:rPr>
                <w:sz w:val="20"/>
                <w:szCs w:val="20"/>
                <w:color w:val="auto"/>
              </w:rPr>
            </w:pPr>
            <w:r>
              <w:rPr>
                <w:rFonts w:ascii="Arial" w:cs="Arial" w:eastAsia="Arial" w:hAnsi="Arial"/>
                <w:sz w:val="11"/>
                <w:szCs w:val="11"/>
                <w:color w:val="auto"/>
              </w:rPr>
              <w:t>Net cash used in investing activities</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(53,819 )</w:t>
            </w: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(23,396 )</w:t>
            </w:r>
          </w:p>
        </w:tc>
      </w:tr>
      <w:tr>
        <w:trPr>
          <w:trHeight w:val="128"/>
        </w:trPr>
        <w:tc>
          <w:tcPr>
            <w:tcW w:w="78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FLOWS FROM FINANCING ACTIVITIES:</w:t>
            </w:r>
          </w:p>
        </w:tc>
        <w:tc>
          <w:tcPr>
            <w:tcW w:w="9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200"/>
              <w:spacing w:after="0"/>
              <w:rPr>
                <w:sz w:val="20"/>
                <w:szCs w:val="20"/>
                <w:color w:val="auto"/>
              </w:rPr>
            </w:pPr>
            <w:r>
              <w:rPr>
                <w:rFonts w:ascii="Arial" w:cs="Arial" w:eastAsia="Arial" w:hAnsi="Arial"/>
                <w:sz w:val="11"/>
                <w:szCs w:val="11"/>
                <w:color w:val="auto"/>
              </w:rPr>
              <w:t>Principal payments on long-term debt</w:t>
            </w:r>
          </w:p>
        </w:tc>
        <w:tc>
          <w:tcPr>
            <w:tcW w:w="940" w:type="dxa"/>
            <w:vAlign w:val="bottom"/>
          </w:tcPr>
          <w:p>
            <w:pPr>
              <w:spacing w:after="0"/>
              <w:rPr>
                <w:sz w:val="11"/>
                <w:szCs w:val="11"/>
                <w:color w:val="auto"/>
              </w:rPr>
            </w:pPr>
          </w:p>
        </w:tc>
        <w:tc>
          <w:tcPr>
            <w:tcW w:w="840" w:type="dxa"/>
            <w:vAlign w:val="bottom"/>
            <w:gridSpan w:val="2"/>
          </w:tcPr>
          <w:p>
            <w:pPr>
              <w:jc w:val="right"/>
              <w:ind w:right="166"/>
              <w:spacing w:after="0"/>
              <w:rPr>
                <w:sz w:val="20"/>
                <w:szCs w:val="20"/>
                <w:color w:val="auto"/>
              </w:rPr>
            </w:pPr>
            <w:r>
              <w:rPr>
                <w:rFonts w:ascii="Arial" w:cs="Arial" w:eastAsia="Arial" w:hAnsi="Arial"/>
                <w:sz w:val="11"/>
                <w:szCs w:val="11"/>
                <w:color w:val="auto"/>
              </w:rPr>
              <w:t>(4,000 )</w:t>
            </w: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(6,923 )</w:t>
            </w:r>
          </w:p>
        </w:tc>
      </w:tr>
      <w:tr>
        <w:trPr>
          <w:trHeight w:val="135"/>
        </w:trPr>
        <w:tc>
          <w:tcPr>
            <w:tcW w:w="78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Proceeds from issuance of common stock</w:t>
            </w:r>
          </w:p>
        </w:tc>
        <w:tc>
          <w:tcPr>
            <w:tcW w:w="9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6"/>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1,007</w:t>
            </w: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200"/>
              <w:spacing w:after="0"/>
              <w:rPr>
                <w:sz w:val="20"/>
                <w:szCs w:val="20"/>
                <w:color w:val="auto"/>
              </w:rPr>
            </w:pPr>
            <w:r>
              <w:rPr>
                <w:rFonts w:ascii="Arial" w:cs="Arial" w:eastAsia="Arial" w:hAnsi="Arial"/>
                <w:sz w:val="11"/>
                <w:szCs w:val="11"/>
                <w:color w:val="auto"/>
              </w:rPr>
              <w:t>Proceeds from exercise of stock options</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15,511</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503</w:t>
            </w:r>
          </w:p>
        </w:tc>
        <w:tc>
          <w:tcPr>
            <w:tcW w:w="100" w:type="dxa"/>
            <w:vAlign w:val="bottom"/>
          </w:tcPr>
          <w:p>
            <w:pPr>
              <w:spacing w:after="0"/>
              <w:rPr>
                <w:sz w:val="11"/>
                <w:szCs w:val="11"/>
                <w:color w:val="auto"/>
              </w:rPr>
            </w:pPr>
          </w:p>
        </w:tc>
      </w:tr>
      <w:tr>
        <w:trPr>
          <w:trHeight w:val="135"/>
        </w:trPr>
        <w:tc>
          <w:tcPr>
            <w:tcW w:w="78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Dividends to CCCIS stockholders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(134,549 )</w:t>
            </w:r>
          </w:p>
        </w:tc>
      </w:tr>
      <w:tr>
        <w:trPr>
          <w:trHeight w:val="20"/>
        </w:trPr>
        <w:tc>
          <w:tcPr>
            <w:tcW w:w="78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7860" w:type="dxa"/>
            <w:vAlign w:val="bottom"/>
          </w:tcPr>
          <w:p>
            <w:pPr>
              <w:ind w:left="740"/>
              <w:spacing w:after="0"/>
              <w:rPr>
                <w:sz w:val="20"/>
                <w:szCs w:val="20"/>
                <w:color w:val="auto"/>
              </w:rPr>
            </w:pPr>
            <w:r>
              <w:rPr>
                <w:rFonts w:ascii="Arial" w:cs="Arial" w:eastAsia="Arial" w:hAnsi="Arial"/>
                <w:sz w:val="11"/>
                <w:szCs w:val="11"/>
                <w:color w:val="auto"/>
              </w:rPr>
              <w:t>Net cash provided by (used in) financing activities</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11,511</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(139,962 )</w:t>
            </w:r>
          </w:p>
        </w:tc>
      </w:tr>
      <w:tr>
        <w:trPr>
          <w:trHeight w:val="129"/>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EFFECT OF EXCHANGE RATE CHANGES ON CASH AND CASH EQUIVALENTS</w:t>
            </w:r>
          </w:p>
        </w:tc>
        <w:tc>
          <w:tcPr>
            <w:tcW w:w="9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28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8"/>
                <w:szCs w:val="8"/>
                <w:color w:val="auto"/>
                <w:w w:val="73"/>
              </w:rPr>
              <w:t>)</w:t>
            </w:r>
          </w:p>
        </w:tc>
      </w:tr>
      <w:tr>
        <w:trPr>
          <w:trHeight w:val="128"/>
        </w:trPr>
        <w:tc>
          <w:tcPr>
            <w:tcW w:w="7860" w:type="dxa"/>
            <w:vAlign w:val="bottom"/>
          </w:tcPr>
          <w:p>
            <w:pPr>
              <w:ind w:left="20"/>
              <w:spacing w:after="0"/>
              <w:rPr>
                <w:sz w:val="20"/>
                <w:szCs w:val="20"/>
                <w:color w:val="auto"/>
              </w:rPr>
            </w:pPr>
            <w:r>
              <w:rPr>
                <w:rFonts w:ascii="Arial" w:cs="Arial" w:eastAsia="Arial" w:hAnsi="Arial"/>
                <w:sz w:val="11"/>
                <w:szCs w:val="11"/>
                <w:color w:val="auto"/>
              </w:rPr>
              <w:t>NET CHANGE IN CASH AND CASH EQUIVALENTS</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45,096</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1"/>
                <w:szCs w:val="11"/>
                <w:color w:val="auto"/>
              </w:rPr>
              <w:t>(103,612 )</w:t>
            </w:r>
          </w:p>
        </w:tc>
      </w:tr>
      <w:tr>
        <w:trPr>
          <w:trHeight w:val="135"/>
        </w:trPr>
        <w:tc>
          <w:tcPr>
            <w:tcW w:w="78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AND CASH EQUIVALENTS:</w:t>
            </w:r>
          </w:p>
        </w:tc>
        <w:tc>
          <w:tcPr>
            <w:tcW w:w="9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860" w:type="dxa"/>
            <w:vAlign w:val="bottom"/>
          </w:tcPr>
          <w:p>
            <w:pPr>
              <w:ind w:left="200"/>
              <w:spacing w:after="0"/>
              <w:rPr>
                <w:sz w:val="20"/>
                <w:szCs w:val="20"/>
                <w:color w:val="auto"/>
              </w:rPr>
            </w:pPr>
            <w:r>
              <w:rPr>
                <w:rFonts w:ascii="Arial" w:cs="Arial" w:eastAsia="Arial" w:hAnsi="Arial"/>
                <w:sz w:val="11"/>
                <w:szCs w:val="11"/>
                <w:color w:val="auto"/>
              </w:rPr>
              <w:t>Beginning of period</w:t>
            </w:r>
          </w:p>
        </w:tc>
        <w:tc>
          <w:tcPr>
            <w:tcW w:w="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182,544</w:t>
            </w: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162,118</w:t>
            </w:r>
          </w:p>
        </w:tc>
        <w:tc>
          <w:tcPr>
            <w:tcW w:w="100" w:type="dxa"/>
            <w:vAlign w:val="bottom"/>
          </w:tcPr>
          <w:p>
            <w:pPr>
              <w:spacing w:after="0"/>
              <w:rPr>
                <w:sz w:val="11"/>
                <w:szCs w:val="11"/>
                <w:color w:val="auto"/>
              </w:rPr>
            </w:pPr>
          </w:p>
        </w:tc>
      </w:tr>
      <w:tr>
        <w:trPr>
          <w:trHeight w:val="168"/>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End of period</w:t>
            </w:r>
          </w:p>
        </w:tc>
        <w:tc>
          <w:tcPr>
            <w:tcW w:w="940" w:type="dxa"/>
            <w:vAlign w:val="bottom"/>
            <w:tcBorders>
              <w:bottom w:val="single" w:sz="8" w:color="auto"/>
            </w:tcBorders>
            <w:shd w:val="clear" w:color="auto" w:fill="CFF0FC"/>
          </w:tcPr>
          <w:p>
            <w:pPr>
              <w:jc w:val="right"/>
              <w:ind w:right="80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227,640</w:t>
            </w:r>
          </w:p>
        </w:tc>
        <w:tc>
          <w:tcPr>
            <w:tcW w:w="28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4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58,506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6"/>
        </w:trPr>
        <w:tc>
          <w:tcPr>
            <w:tcW w:w="7860" w:type="dxa"/>
            <w:vAlign w:val="bottom"/>
          </w:tcPr>
          <w:p>
            <w:pPr>
              <w:ind w:left="20"/>
              <w:spacing w:after="0" w:line="116" w:lineRule="exact"/>
              <w:rPr>
                <w:sz w:val="20"/>
                <w:szCs w:val="20"/>
                <w:color w:val="auto"/>
              </w:rPr>
            </w:pPr>
            <w:r>
              <w:rPr>
                <w:rFonts w:ascii="Arial" w:cs="Arial" w:eastAsia="Arial" w:hAnsi="Arial"/>
                <w:sz w:val="11"/>
                <w:szCs w:val="11"/>
                <w:color w:val="auto"/>
              </w:rPr>
              <w:t>NONCASH INVESTING AND FINANCING ACTIVITIES:</w:t>
            </w: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5"/>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Unpaid liability related to software, equipment, and property</w:t>
            </w:r>
          </w:p>
        </w:tc>
        <w:tc>
          <w:tcPr>
            <w:tcW w:w="940" w:type="dxa"/>
            <w:vAlign w:val="bottom"/>
            <w:tcBorders>
              <w:bottom w:val="single" w:sz="8" w:color="auto"/>
            </w:tcBorders>
            <w:shd w:val="clear" w:color="auto" w:fill="CFF0FC"/>
          </w:tcPr>
          <w:p>
            <w:pPr>
              <w:jc w:val="right"/>
              <w:ind w:right="80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5,752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15"/>
        </w:trPr>
        <w:tc>
          <w:tcPr>
            <w:tcW w:w="7860" w:type="dxa"/>
            <w:vAlign w:val="bottom"/>
          </w:tcPr>
          <w:p>
            <w:pPr>
              <w:ind w:left="200"/>
              <w:spacing w:after="0" w:line="116" w:lineRule="exact"/>
              <w:rPr>
                <w:sz w:val="20"/>
                <w:szCs w:val="20"/>
                <w:color w:val="auto"/>
              </w:rPr>
            </w:pPr>
            <w:r>
              <w:rPr>
                <w:rFonts w:ascii="Arial" w:cs="Arial" w:eastAsia="Arial" w:hAnsi="Arial"/>
                <w:sz w:val="11"/>
                <w:szCs w:val="11"/>
                <w:color w:val="auto"/>
              </w:rPr>
              <w:t>Contingent consideration related to business acquisition</w:t>
            </w:r>
          </w:p>
        </w:tc>
        <w:tc>
          <w:tcPr>
            <w:tcW w:w="940" w:type="dxa"/>
            <w:vAlign w:val="bottom"/>
          </w:tcPr>
          <w:p>
            <w:pPr>
              <w:jc w:val="right"/>
              <w:ind w:right="806"/>
              <w:spacing w:after="0" w:line="116" w:lineRule="exact"/>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line="116" w:lineRule="exact"/>
              <w:rPr>
                <w:sz w:val="20"/>
                <w:szCs w:val="20"/>
                <w:color w:val="auto"/>
              </w:rPr>
            </w:pPr>
            <w:r>
              <w:rPr>
                <w:rFonts w:ascii="Arial" w:cs="Arial" w:eastAsia="Arial" w:hAnsi="Arial"/>
                <w:sz w:val="11"/>
                <w:szCs w:val="11"/>
                <w:color w:val="auto"/>
              </w:rPr>
              <w:t>200</w:t>
            </w:r>
          </w:p>
        </w:tc>
        <w:tc>
          <w:tcPr>
            <w:tcW w:w="280" w:type="dxa"/>
            <w:vAlign w:val="bottom"/>
          </w:tcPr>
          <w:p>
            <w:pPr>
              <w:spacing w:after="0"/>
              <w:rPr>
                <w:sz w:val="10"/>
                <w:szCs w:val="10"/>
                <w:color w:val="auto"/>
              </w:rPr>
            </w:pPr>
          </w:p>
        </w:tc>
        <w:tc>
          <w:tcPr>
            <w:tcW w:w="560" w:type="dxa"/>
            <w:vAlign w:val="bottom"/>
          </w:tcPr>
          <w:p>
            <w:pPr>
              <w:jc w:val="right"/>
              <w:ind w:right="426"/>
              <w:spacing w:after="0" w:line="116" w:lineRule="exact"/>
              <w:rPr>
                <w:sz w:val="20"/>
                <w:szCs w:val="20"/>
                <w:color w:val="auto"/>
              </w:rPr>
            </w:pPr>
            <w:r>
              <w:rPr>
                <w:rFonts w:ascii="Arial" w:cs="Arial" w:eastAsia="Arial" w:hAnsi="Arial"/>
                <w:sz w:val="11"/>
                <w:szCs w:val="11"/>
                <w:color w:val="auto"/>
                <w:w w:val="97"/>
              </w:rPr>
              <w:t>$</w:t>
            </w:r>
          </w:p>
        </w:tc>
        <w:tc>
          <w:tcPr>
            <w:tcW w:w="1040" w:type="dxa"/>
            <w:vAlign w:val="bottom"/>
            <w:gridSpan w:val="2"/>
          </w:tcPr>
          <w:p>
            <w:pPr>
              <w:jc w:val="right"/>
              <w:ind w:right="82"/>
              <w:spacing w:after="0" w:line="116" w:lineRule="exact"/>
              <w:rPr>
                <w:sz w:val="20"/>
                <w:szCs w:val="20"/>
                <w:color w:val="auto"/>
              </w:rPr>
            </w:pPr>
            <w:r>
              <w:rPr>
                <w:rFonts w:ascii="Arial" w:cs="Arial" w:eastAsia="Arial" w:hAnsi="Arial"/>
                <w:sz w:val="11"/>
                <w:szCs w:val="11"/>
                <w:color w:val="auto"/>
              </w:rPr>
              <w:t>—</w:t>
            </w:r>
          </w:p>
        </w:tc>
      </w:tr>
      <w:tr>
        <w:trPr>
          <w:trHeight w:val="20"/>
        </w:trPr>
        <w:tc>
          <w:tcPr>
            <w:tcW w:w="7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786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rPr>
              <w:t>SUPPLEMENTAL DISCLOSURES OF CASH FLOW INFORMATION:</w:t>
            </w:r>
          </w:p>
        </w:tc>
        <w:tc>
          <w:tcPr>
            <w:tcW w:w="9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860" w:type="dxa"/>
            <w:vAlign w:val="bottom"/>
          </w:tcPr>
          <w:p>
            <w:pPr>
              <w:ind w:left="200"/>
              <w:spacing w:after="0"/>
              <w:rPr>
                <w:sz w:val="20"/>
                <w:szCs w:val="20"/>
                <w:color w:val="auto"/>
              </w:rPr>
            </w:pPr>
            <w:r>
              <w:rPr>
                <w:rFonts w:ascii="Arial" w:cs="Arial" w:eastAsia="Arial" w:hAnsi="Arial"/>
                <w:sz w:val="11"/>
                <w:szCs w:val="11"/>
                <w:color w:val="auto"/>
              </w:rPr>
              <w:t>Cash paid for interest</w:t>
            </w:r>
          </w:p>
        </w:tc>
        <w:tc>
          <w:tcPr>
            <w:tcW w:w="94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14,153</w:t>
            </w:r>
          </w:p>
        </w:tc>
        <w:tc>
          <w:tcPr>
            <w:tcW w:w="280" w:type="dxa"/>
            <w:vAlign w:val="bottom"/>
          </w:tcPr>
          <w:p>
            <w:pPr>
              <w:spacing w:after="0"/>
              <w:rPr>
                <w:sz w:val="11"/>
                <w:szCs w:val="11"/>
                <w:color w:val="auto"/>
              </w:rPr>
            </w:pP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35,020</w:t>
            </w:r>
          </w:p>
        </w:tc>
        <w:tc>
          <w:tcPr>
            <w:tcW w:w="100" w:type="dxa"/>
            <w:vAlign w:val="bottom"/>
          </w:tcPr>
          <w:p>
            <w:pPr>
              <w:spacing w:after="0"/>
              <w:rPr>
                <w:sz w:val="11"/>
                <w:szCs w:val="11"/>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860" w:type="dxa"/>
            <w:vAlign w:val="bottom"/>
            <w:tcBorders>
              <w:bottom w:val="single" w:sz="8" w:color="CFF0FC"/>
            </w:tcBorders>
            <w:shd w:val="clear" w:color="auto" w:fill="CFF0FC"/>
          </w:tcPr>
          <w:p>
            <w:pPr>
              <w:ind w:left="200"/>
              <w:spacing w:after="0" w:line="116" w:lineRule="exact"/>
              <w:rPr>
                <w:sz w:val="20"/>
                <w:szCs w:val="20"/>
                <w:color w:val="auto"/>
              </w:rPr>
            </w:pPr>
            <w:r>
              <w:rPr>
                <w:rFonts w:ascii="Arial" w:cs="Arial" w:eastAsia="Arial" w:hAnsi="Arial"/>
                <w:sz w:val="11"/>
                <w:szCs w:val="11"/>
                <w:color w:val="auto"/>
              </w:rPr>
              <w:t>Cash paid for income taxes—Net</w:t>
            </w:r>
          </w:p>
        </w:tc>
        <w:tc>
          <w:tcPr>
            <w:tcW w:w="940" w:type="dxa"/>
            <w:vAlign w:val="bottom"/>
            <w:tcBorders>
              <w:bottom w:val="single" w:sz="8" w:color="auto"/>
            </w:tcBorders>
            <w:shd w:val="clear" w:color="auto" w:fill="CFF0FC"/>
          </w:tcPr>
          <w:p>
            <w:pPr>
              <w:jc w:val="right"/>
              <w:ind w:right="806"/>
              <w:spacing w:after="0" w:line="116" w:lineRule="exact"/>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38,946</w:t>
            </w:r>
          </w:p>
        </w:tc>
        <w:tc>
          <w:tcPr>
            <w:tcW w:w="28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26"/>
              <w:spacing w:after="0" w:line="116" w:lineRule="exact"/>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FF0FC"/>
          </w:tcPr>
          <w:p>
            <w:pPr>
              <w:jc w:val="right"/>
              <w:spacing w:after="0" w:line="116" w:lineRule="exact"/>
              <w:rPr>
                <w:sz w:val="20"/>
                <w:szCs w:val="20"/>
                <w:color w:val="auto"/>
              </w:rPr>
            </w:pPr>
            <w:r>
              <w:rPr>
                <w:rFonts w:ascii="Arial" w:cs="Arial" w:eastAsia="Arial" w:hAnsi="Arial"/>
                <w:sz w:val="11"/>
                <w:szCs w:val="11"/>
                <w:color w:val="auto"/>
              </w:rPr>
              <w:t>10,409</w:t>
            </w:r>
          </w:p>
        </w:tc>
        <w:tc>
          <w:tcPr>
            <w:tcW w:w="10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-2242185</wp:posOffset>
            </wp:positionV>
            <wp:extent cx="768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-2242185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-1719580</wp:posOffset>
            </wp:positionV>
            <wp:extent cx="768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-1719580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-1188085</wp:posOffset>
            </wp:positionV>
            <wp:extent cx="768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-1188085</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-999490</wp:posOffset>
            </wp:positionV>
            <wp:extent cx="768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-999490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-642620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-624840</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08" w:lineRule="exact"/>
        <w:rPr>
          <w:sz w:val="20"/>
          <w:szCs w:val="20"/>
          <w:color w:val="auto"/>
        </w:rPr>
      </w:pPr>
    </w:p>
    <w:p>
      <w:pPr>
        <w:ind w:left="520" w:right="120" w:hanging="3"/>
        <w:spacing w:after="0" w:line="241" w:lineRule="auto"/>
        <w:tabs>
          <w:tab w:leader="none" w:pos="92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Intelligent Solutions Holdings Inc., a Delaware corporation,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("AI") enabled digital workflows. Our platform digitizes workflows and connects companies across the P&amp;C insurance economy, including insurance carriers, collision repairers, parts suppliers, automotive manufacturers, financial institutions, and others.</w:t>
      </w:r>
    </w:p>
    <w:p>
      <w:pPr>
        <w:spacing w:after="0" w:line="81" w:lineRule="exact"/>
        <w:rPr>
          <w:sz w:val="20"/>
          <w:szCs w:val="20"/>
          <w:color w:val="auto"/>
        </w:rPr>
      </w:pPr>
    </w:p>
    <w:p>
      <w:pPr>
        <w:ind w:left="520" w:right="60"/>
        <w:spacing w:after="0" w:line="261" w:lineRule="auto"/>
        <w:rPr>
          <w:sz w:val="20"/>
          <w:szCs w:val="20"/>
          <w:color w:val="auto"/>
        </w:rPr>
      </w:pPr>
      <w:r>
        <w:rPr>
          <w:rFonts w:ascii="Arial" w:cs="Arial" w:eastAsia="Arial" w:hAnsi="Arial"/>
          <w:sz w:val="18"/>
          <w:szCs w:val="18"/>
          <w:color w:val="auto"/>
        </w:rPr>
        <w:t>The Company is headquartered in Chicago, Illinois. The Company’s primary operations are in the United States (“US”) and it also has operations in China.</w:t>
      </w:r>
    </w:p>
    <w:p>
      <w:pPr>
        <w:spacing w:after="0" w:line="63" w:lineRule="exact"/>
        <w:rPr>
          <w:sz w:val="20"/>
          <w:szCs w:val="20"/>
          <w:color w:val="auto"/>
        </w:rPr>
      </w:pPr>
    </w:p>
    <w:p>
      <w:pPr>
        <w:ind w:left="520" w:right="80"/>
        <w:spacing w:after="0" w:line="259" w:lineRule="auto"/>
        <w:rPr>
          <w:sz w:val="20"/>
          <w:szCs w:val="20"/>
          <w:color w:val="auto"/>
        </w:rPr>
      </w:pPr>
      <w:r>
        <w:rPr>
          <w:rFonts w:ascii="Arial" w:cs="Arial" w:eastAsia="Arial" w:hAnsi="Arial"/>
          <w:sz w:val="17"/>
          <w:szCs w:val="17"/>
          <w:color w:val="auto"/>
        </w:rPr>
        <w:t>The Company was originally incorporated as a Cayman Islands exempted company on July 3, 2020 as a special purpose acquisition company under the name Dragoneer Growth Opportunities Corp. On February 2, 2021, CCCIS entered into the Business Combination Agreement with Dragoneer. In connection with the closing of the Business Combination (see Note 3),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spacing w:after="0" w:line="278"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8" w:lineRule="exact"/>
        <w:rPr>
          <w:rFonts w:ascii="Arial" w:cs="Arial" w:eastAsia="Arial" w:hAnsi="Arial"/>
          <w:sz w:val="18"/>
          <w:szCs w:val="18"/>
          <w:b w:val="1"/>
          <w:bCs w:val="1"/>
          <w:color w:val="auto"/>
        </w:rPr>
      </w:pPr>
    </w:p>
    <w:p>
      <w:pPr>
        <w:ind w:left="520" w:right="160"/>
        <w:spacing w:after="0" w:line="275" w:lineRule="auto"/>
        <w:rPr>
          <w:rFonts w:ascii="Arial" w:cs="Arial" w:eastAsia="Arial" w:hAnsi="Arial"/>
          <w:sz w:val="18"/>
          <w:szCs w:val="18"/>
          <w:b w:val="1"/>
          <w:bCs w:val="1"/>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condensed consolidated balance sheets as of June 30, 2022 and December 31, 2021, the condensed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of operations and comprehensive income (loss) for the three and six months ended June 30, 2022 and 2021, the condensed consolidated statements of mezzanine equity and stockholders’ equity for the three and six months ended June 30, 2022 and 2021, and the condensed consolidated statements of cash flows for the six months ended June 30, 2022 and 2021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p>
    <w:p>
      <w:pPr>
        <w:spacing w:after="0" w:line="53" w:lineRule="exact"/>
        <w:rPr>
          <w:rFonts w:ascii="Arial" w:cs="Arial" w:eastAsia="Arial" w:hAnsi="Arial"/>
          <w:sz w:val="18"/>
          <w:szCs w:val="18"/>
          <w:b w:val="1"/>
          <w:bCs w:val="1"/>
          <w:color w:val="auto"/>
        </w:rPr>
      </w:pPr>
    </w:p>
    <w:p>
      <w:pPr>
        <w:ind w:left="520" w:right="280"/>
        <w:spacing w:after="0" w:line="257" w:lineRule="auto"/>
        <w:rPr>
          <w:rFonts w:ascii="Arial" w:cs="Arial" w:eastAsia="Arial" w:hAnsi="Arial"/>
          <w:sz w:val="18"/>
          <w:szCs w:val="18"/>
          <w:b w:val="1"/>
          <w:bCs w:val="1"/>
          <w:color w:val="auto"/>
        </w:rPr>
      </w:pPr>
      <w:r>
        <w:rPr>
          <w:rFonts w:ascii="Arial" w:cs="Arial" w:eastAsia="Arial" w:hAnsi="Arial"/>
          <w:sz w:val="17"/>
          <w:szCs w:val="17"/>
          <w:color w:val="auto"/>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175" w:lineRule="exact"/>
        <w:rPr>
          <w:rFonts w:ascii="Arial" w:cs="Arial" w:eastAsia="Arial" w:hAnsi="Arial"/>
          <w:sz w:val="18"/>
          <w:szCs w:val="18"/>
          <w:b w:val="1"/>
          <w:bCs w:val="1"/>
          <w:color w:val="auto"/>
        </w:rPr>
      </w:pPr>
    </w:p>
    <w:p>
      <w:pPr>
        <w:ind w:left="520" w:right="40"/>
        <w:spacing w:after="0" w:line="279" w:lineRule="auto"/>
        <w:rPr>
          <w:rFonts w:ascii="Arial" w:cs="Arial" w:eastAsia="Arial" w:hAnsi="Arial"/>
          <w:sz w:val="18"/>
          <w:szCs w:val="18"/>
          <w:b w:val="1"/>
          <w:bCs w:val="1"/>
          <w:color w:val="auto"/>
        </w:rPr>
      </w:pPr>
      <w:r>
        <w:rPr>
          <w:rFonts w:ascii="Arial" w:cs="Arial" w:eastAsia="Arial" w:hAnsi="Arial"/>
          <w:sz w:val="16"/>
          <w:szCs w:val="16"/>
          <w:color w:val="auto"/>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2021.</w:t>
      </w:r>
    </w:p>
    <w:p>
      <w:pPr>
        <w:spacing w:after="0" w:line="159" w:lineRule="exact"/>
        <w:rPr>
          <w:rFonts w:ascii="Arial" w:cs="Arial" w:eastAsia="Arial" w:hAnsi="Arial"/>
          <w:sz w:val="18"/>
          <w:szCs w:val="18"/>
          <w:b w:val="1"/>
          <w:bCs w:val="1"/>
          <w:color w:val="auto"/>
        </w:rPr>
      </w:pPr>
    </w:p>
    <w:p>
      <w:pPr>
        <w:ind w:left="520" w:right="6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Summary of Significant Accounting Policies, to the consolidated financial statements included in the Company's Annual Report on Form 10-K for the year ended December 31, 2021. There have been no material changes to the significant accounting policies since December 31, 2021.</w:t>
      </w:r>
    </w:p>
    <w:p>
      <w:pPr>
        <w:spacing w:after="0" w:line="69" w:lineRule="exact"/>
        <w:rPr>
          <w:rFonts w:ascii="Arial" w:cs="Arial" w:eastAsia="Arial" w:hAnsi="Arial"/>
          <w:sz w:val="18"/>
          <w:szCs w:val="18"/>
          <w:b w:val="1"/>
          <w:bCs w:val="1"/>
          <w:color w:val="auto"/>
        </w:rPr>
      </w:pPr>
    </w:p>
    <w:p>
      <w:pPr>
        <w:ind w:left="520"/>
        <w:spacing w:after="0" w:line="264" w:lineRule="auto"/>
        <w:rPr>
          <w:rFonts w:ascii="Arial" w:cs="Arial" w:eastAsia="Arial" w:hAnsi="Arial"/>
          <w:sz w:val="18"/>
          <w:szCs w:val="18"/>
          <w:b w:val="1"/>
          <w:bCs w:val="1"/>
          <w:color w:val="auto"/>
        </w:rPr>
      </w:pPr>
      <w:r>
        <w:rPr>
          <w:rFonts w:ascii="Arial" w:cs="Arial" w:eastAsia="Arial" w:hAnsi="Arial"/>
          <w:sz w:val="17"/>
          <w:szCs w:val="17"/>
          <w:b w:val="1"/>
          <w:bCs w:val="1"/>
          <w:color w:val="auto"/>
        </w:rPr>
        <w:t>Basis of Accounting</w:t>
      </w:r>
      <w:r>
        <w:rPr>
          <w:rFonts w:ascii="Arial" w:cs="Arial" w:eastAsia="Arial" w:hAnsi="Arial"/>
          <w:sz w:val="17"/>
          <w:szCs w:val="17"/>
          <w:color w:val="auto"/>
        </w:rPr>
        <w:t>—The accompanying condensed consolidated financial statements are prepared in accordance with GAAP and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of the Company and its wholly-owned subsidiaries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w:t>
      </w:r>
    </w:p>
    <w:p>
      <w:pPr>
        <w:spacing w:after="0" w:line="57" w:lineRule="exact"/>
        <w:rPr>
          <w:rFonts w:ascii="Arial" w:cs="Arial" w:eastAsia="Arial" w:hAnsi="Arial"/>
          <w:sz w:val="18"/>
          <w:szCs w:val="18"/>
          <w:b w:val="1"/>
          <w:bCs w:val="1"/>
          <w:color w:val="auto"/>
        </w:rPr>
      </w:pPr>
    </w:p>
    <w:p>
      <w:pPr>
        <w:ind w:left="520" w:right="200"/>
        <w:spacing w:after="0" w:line="245" w:lineRule="auto"/>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the condensed consolidated financial statements requires management to make estimates and assumptions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reported amounts, and the disclosures of contingent amounts in the Company’s condensed consolidated financial statements and the accompanying notes. Although the Company regularly assesses these estimates, actual results could differ from those estimates. Changes in estimates are recorded in the period in which they become known.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ind w:left="512"/>
        <w:spacing w:after="0" w:line="279" w:lineRule="auto"/>
        <w:rPr>
          <w:sz w:val="20"/>
          <w:szCs w:val="20"/>
          <w:color w:val="auto"/>
        </w:rPr>
      </w:pPr>
      <w:r>
        <w:rPr>
          <w:rFonts w:ascii="Arial" w:cs="Arial" w:eastAsia="Arial" w:hAnsi="Arial"/>
          <w:sz w:val="16"/>
          <w:szCs w:val="16"/>
          <w:color w:val="auto"/>
        </w:rPr>
        <w:t>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the estimates and assumptions associated with stock incentive plans, and the measurement of expected contingent consideration in connection with business acquisitions.</w:t>
      </w:r>
    </w:p>
    <w:p>
      <w:pPr>
        <w:spacing w:after="0" w:line="47" w:lineRule="exact"/>
        <w:rPr>
          <w:sz w:val="20"/>
          <w:szCs w:val="20"/>
          <w:color w:val="auto"/>
        </w:rPr>
      </w:pPr>
    </w:p>
    <w:p>
      <w:pPr>
        <w:ind w:left="512" w:right="100"/>
        <w:spacing w:after="0" w:line="256" w:lineRule="auto"/>
        <w:rPr>
          <w:sz w:val="20"/>
          <w:szCs w:val="20"/>
          <w:color w:val="auto"/>
        </w:rPr>
      </w:pPr>
      <w:r>
        <w:rPr>
          <w:rFonts w:ascii="Arial" w:cs="Arial" w:eastAsia="Arial" w:hAnsi="Arial"/>
          <w:sz w:val="17"/>
          <w:szCs w:val="17"/>
          <w:b w:val="1"/>
          <w:bCs w:val="1"/>
          <w:color w:val="auto"/>
        </w:rPr>
        <w:t>Business Combinations</w:t>
      </w:r>
      <w:r>
        <w:rPr>
          <w:rFonts w:ascii="Arial" w:cs="Arial" w:eastAsia="Arial" w:hAnsi="Arial"/>
          <w:sz w:val="17"/>
          <w:szCs w:val="17"/>
          <w:color w:val="auto"/>
        </w:rPr>
        <w:t>—The Company allocates the purchase consideration of acquired companies to tangible and intangible assets acquired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assumed based on their estimated fair values at the acquisition date, with the excess recorded to goodwill. These estimates are inherently uncertain and subject to refinement.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Upon the conclusion of the measurement period or final determination of the fair value of assets acquired or liabilities assumed, whichever comes first, any subsequent adjustments are recorded to the condensed consolidated statements of operations and comprehensive income (loss).</w:t>
      </w:r>
    </w:p>
    <w:p>
      <w:pPr>
        <w:spacing w:after="0" w:line="70" w:lineRule="exact"/>
        <w:rPr>
          <w:sz w:val="20"/>
          <w:szCs w:val="20"/>
          <w:color w:val="auto"/>
        </w:rPr>
      </w:pPr>
    </w:p>
    <w:p>
      <w:pPr>
        <w:ind w:left="512" w:right="140"/>
        <w:spacing w:after="0" w:line="248" w:lineRule="auto"/>
        <w:rPr>
          <w:sz w:val="20"/>
          <w:szCs w:val="20"/>
          <w:color w:val="auto"/>
        </w:rPr>
      </w:pPr>
      <w:r>
        <w:rPr>
          <w:rFonts w:ascii="Arial" w:cs="Arial" w:eastAsia="Arial" w:hAnsi="Arial"/>
          <w:sz w:val="18"/>
          <w:szCs w:val="18"/>
          <w:color w:val="auto"/>
        </w:rPr>
        <w:t>The Company estimates the fair value of contingent consideration related to business combinations on the date of acquisition (see Note 4). The fair value of the contingent consideration is remeasured each reporting period, with any change in the fair value recorded within the condensed consolidated statements of operations and comprehensive income (loss).</w:t>
      </w:r>
    </w:p>
    <w:p>
      <w:pPr>
        <w:spacing w:after="0" w:line="272" w:lineRule="exact"/>
        <w:rPr>
          <w:sz w:val="20"/>
          <w:szCs w:val="20"/>
          <w:color w:val="auto"/>
        </w:rPr>
      </w:pPr>
    </w:p>
    <w:p>
      <w:pPr>
        <w:ind w:left="512" w:right="60"/>
        <w:spacing w:after="0" w:line="258" w:lineRule="auto"/>
        <w:rPr>
          <w:sz w:val="20"/>
          <w:szCs w:val="20"/>
          <w:color w:val="auto"/>
        </w:rPr>
      </w:pPr>
      <w:r>
        <w:rPr>
          <w:rFonts w:ascii="Arial" w:cs="Arial" w:eastAsia="Arial" w:hAnsi="Arial"/>
          <w:sz w:val="17"/>
          <w:szCs w:val="17"/>
          <w:b w:val="1"/>
          <w:bCs w:val="1"/>
          <w:color w:val="auto"/>
        </w:rPr>
        <w:t>Recently Adopted Accounting Pronouncements</w:t>
      </w:r>
      <w:r>
        <w:rPr>
          <w:rFonts w:ascii="Arial" w:cs="Arial" w:eastAsia="Arial" w:hAnsi="Arial"/>
          <w:sz w:val="17"/>
          <w:szCs w:val="17"/>
          <w:color w:val="auto"/>
        </w:rPr>
        <w:t xml:space="preserve">—Effective January 1, 2022, the Company adopted Accounting Standards Update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is intended to reduce the complexity of accounting for income taxes. Changes include treatment of hybrid tax regimes, tax basis step-up in goodwill obtained in a transaction that is not a business combination, separate financial statements of legal entities not subject to tax, intra period tax allocation, ownership changes in investments, interim-period accounting for enacted changes in tax law, and year-to-date loss limitation in interim-period tax accounting. The adoption of ASU 2019-12 did not have a material impact on the Company's condensed consolidated financial statements.</w:t>
      </w:r>
    </w:p>
    <w:p>
      <w:pPr>
        <w:spacing w:after="0" w:line="62" w:lineRule="exact"/>
        <w:rPr>
          <w:sz w:val="20"/>
          <w:szCs w:val="20"/>
          <w:color w:val="auto"/>
        </w:rPr>
      </w:pPr>
    </w:p>
    <w:p>
      <w:pPr>
        <w:ind w:left="512" w:right="20"/>
        <w:spacing w:after="0" w:line="256" w:lineRule="auto"/>
        <w:rPr>
          <w:sz w:val="20"/>
          <w:szCs w:val="20"/>
          <w:color w:val="auto"/>
        </w:rPr>
      </w:pPr>
      <w:r>
        <w:rPr>
          <w:rFonts w:ascii="Arial" w:cs="Arial" w:eastAsia="Arial" w:hAnsi="Arial"/>
          <w:sz w:val="17"/>
          <w:szCs w:val="17"/>
          <w:b w:val="1"/>
          <w:bCs w:val="1"/>
          <w:color w:val="auto"/>
        </w:rPr>
        <w:t>Recently Issued Accounting Pronouncements</w:t>
      </w:r>
      <w:r>
        <w:rPr>
          <w:rFonts w:ascii="Arial" w:cs="Arial" w:eastAsia="Arial" w:hAnsi="Arial"/>
          <w:sz w:val="17"/>
          <w:szCs w:val="17"/>
          <w:color w:val="auto"/>
        </w:rPr>
        <w:t>—In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 — Credit Losses (Topic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326), Measurement of Credit Losses on Financial Instruments</w:t>
      </w:r>
      <w:r>
        <w:rPr>
          <w:rFonts w:ascii="Arial" w:cs="Arial" w:eastAsia="Arial" w:hAnsi="Arial"/>
          <w:sz w:val="17"/>
          <w:szCs w:val="17"/>
          <w:color w:val="auto"/>
        </w:rPr>
        <w:t>, and subsequent amendments to the initial guidance: ASU 2018-19, ASU 2019-04,</w:t>
      </w:r>
      <w:r>
        <w:rPr>
          <w:rFonts w:ascii="Arial" w:cs="Arial" w:eastAsia="Arial" w:hAnsi="Arial"/>
          <w:sz w:val="17"/>
          <w:szCs w:val="17"/>
          <w:i w:val="1"/>
          <w:iCs w:val="1"/>
          <w:color w:val="auto"/>
        </w:rPr>
        <w:t xml:space="preserve"> </w:t>
      </w:r>
      <w:r>
        <w:rPr>
          <w:rFonts w:ascii="Arial" w:cs="Arial" w:eastAsia="Arial" w:hAnsi="Arial"/>
          <w:sz w:val="17"/>
          <w:szCs w:val="17"/>
          <w:color w:val="auto"/>
        </w:rPr>
        <w:t>ASU 2019-05, and ASU 2020-03. The guidance amends the current accounting guidance and requires the measurements of all expected losses based on historical experience, current conditions and reasonable and supportable forecasts. The new guidance replaces the existing incurred loss impairment model with an expected credit loss model and requires a financial asset measured at amortized cost to be presented at the net amount expected to be collected. The guidance is effective for the Company on January 1, 2023 and early adoption is permitted. The Company is currently assessing the impact of this update on its condensed consolidated financial statements.</w:t>
      </w:r>
    </w:p>
    <w:p>
      <w:pPr>
        <w:spacing w:after="0" w:line="70" w:lineRule="exact"/>
        <w:rPr>
          <w:sz w:val="20"/>
          <w:szCs w:val="20"/>
          <w:color w:val="auto"/>
        </w:rPr>
      </w:pPr>
    </w:p>
    <w:p>
      <w:pPr>
        <w:ind w:left="512" w:right="80"/>
        <w:spacing w:after="0" w:line="25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and in January 2021 subsequently issued ASU 2021-01, which refines the scope of Topic 848. These ASUs provide optional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expedients and exceptions for applying GAAP to contracts, hedging relationships, and other transactions affected by reference rate reform if certain criteria are met. Adoption of the expedients and exceptions is permitted upon issuance of ASU 2020-04 through December 31, 2022. The Company is currently assessing the impact of this update on its condensed consolidated financial statements.</w:t>
      </w:r>
    </w:p>
    <w:p>
      <w:pPr>
        <w:spacing w:after="0" w:line="278" w:lineRule="exact"/>
        <w:rPr>
          <w:sz w:val="20"/>
          <w:szCs w:val="20"/>
          <w:color w:val="auto"/>
        </w:rPr>
      </w:pPr>
    </w:p>
    <w:p>
      <w:pPr>
        <w:ind w:left="512" w:hanging="512"/>
        <w:spacing w:after="0"/>
        <w:tabs>
          <w:tab w:leader="none" w:pos="5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07" w:lineRule="exact"/>
        <w:rPr>
          <w:rFonts w:ascii="Arial" w:cs="Arial" w:eastAsia="Arial" w:hAnsi="Arial"/>
          <w:sz w:val="18"/>
          <w:szCs w:val="18"/>
          <w:b w:val="1"/>
          <w:bCs w:val="1"/>
          <w:color w:val="auto"/>
        </w:rPr>
      </w:pPr>
    </w:p>
    <w:p>
      <w:pPr>
        <w:jc w:val="both"/>
        <w:ind w:left="512" w:right="14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On July 30, 2021, the Company consummated the previously announced Business Combination pursuant to the terms of the Business Combination Agreement, dated as of February 2, 2021, as amended, by and among Dragoneer, Chariot Opportunity Merger Sub, Inc. (“Chariot Merger Sub”), a Delaware corporation, and CCCIS, a Delaware corporation.</w:t>
      </w:r>
    </w:p>
    <w:p>
      <w:pPr>
        <w:spacing w:after="0" w:line="73" w:lineRule="exact"/>
        <w:rPr>
          <w:rFonts w:ascii="Arial" w:cs="Arial" w:eastAsia="Arial" w:hAnsi="Arial"/>
          <w:sz w:val="18"/>
          <w:szCs w:val="18"/>
          <w:b w:val="1"/>
          <w:bCs w:val="1"/>
          <w:color w:val="auto"/>
        </w:rPr>
      </w:pPr>
    </w:p>
    <w:p>
      <w:pPr>
        <w:ind w:left="512" w:right="1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Immediately upon the consummation of the Business Combination and the Transactions, Chariot Merger Sub, a wholly-owned direct subsidiary of Dragoneer, merged with and into CCCIS, with CCCIS surviving the Business Combination as a wholly-owned direct subsidiary of Dragoneer (“Merger”). In connection with the Transactions, Dragoneer changed its name to “CCC Intelligent Solutions Holdings Inc.”</w:t>
      </w:r>
    </w:p>
    <w:p>
      <w:pPr>
        <w:spacing w:after="0" w:line="55" w:lineRule="exact"/>
        <w:rPr>
          <w:rFonts w:ascii="Arial" w:cs="Arial" w:eastAsia="Arial" w:hAnsi="Arial"/>
          <w:sz w:val="18"/>
          <w:szCs w:val="18"/>
          <w:b w:val="1"/>
          <w:bCs w:val="1"/>
          <w:color w:val="auto"/>
        </w:rPr>
      </w:pPr>
    </w:p>
    <w:p>
      <w:pPr>
        <w:ind w:left="512"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Merger was accounted for as a reverse recapitalization in accordance with GAAP. Under this method of accounting, Dragoneer was treated as the acquired company for accounting purposes and the Business Combination was treated as the equivalent of CCCIS issuing stock for the net assets of Dragoneer, accompanied by a recapitalization.</w:t>
      </w:r>
    </w:p>
    <w:p>
      <w:pPr>
        <w:spacing w:after="0" w:line="168" w:lineRule="exact"/>
        <w:rPr>
          <w:rFonts w:ascii="Arial" w:cs="Arial" w:eastAsia="Arial" w:hAnsi="Arial"/>
          <w:sz w:val="18"/>
          <w:szCs w:val="18"/>
          <w:b w:val="1"/>
          <w:bCs w:val="1"/>
          <w:color w:val="auto"/>
        </w:rPr>
      </w:pPr>
    </w:p>
    <w:p>
      <w:pPr>
        <w:ind w:left="512"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net assets of Dragoneer are stated at historical cost, with no goodwill or other intangible assets recorded. Reported shares and earnings per share available to holders of CCCIS’s capital stock and equity awards prior to the Business Combination have been retroactively restated reflecting the exchange ratio of 1:340.5507 ("Exchange Ratio").</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36" w:right="339" w:bottom="1440" w:gutter="0" w:footer="0" w:header="0"/>
        </w:sectPr>
      </w:pPr>
    </w:p>
    <w:bookmarkStart w:id="12" w:name="page13"/>
    <w:bookmarkEnd w:id="12"/>
    <w:p>
      <w:pPr>
        <w:ind w:left="512"/>
        <w:spacing w:after="0"/>
        <w:rPr>
          <w:sz w:val="20"/>
          <w:szCs w:val="20"/>
          <w:color w:val="auto"/>
        </w:rPr>
      </w:pPr>
      <w:r>
        <w:rPr>
          <w:rFonts w:ascii="Arial" w:cs="Arial" w:eastAsia="Arial" w:hAnsi="Arial"/>
          <w:sz w:val="18"/>
          <w:szCs w:val="18"/>
          <w:color w:val="auto"/>
        </w:rPr>
        <w:t>Pursuant to the Merger, at the Effective Time of the Merger (the “Effective Time”):</w:t>
      </w:r>
    </w:p>
    <w:p>
      <w:pPr>
        <w:spacing w:after="0" w:line="104" w:lineRule="exact"/>
        <w:rPr>
          <w:sz w:val="20"/>
          <w:szCs w:val="20"/>
          <w:color w:val="auto"/>
        </w:rPr>
      </w:pPr>
    </w:p>
    <w:p>
      <w:pPr>
        <w:jc w:val="both"/>
        <w:ind w:left="1252" w:right="40" w:hanging="369"/>
        <w:spacing w:after="0" w:line="248" w:lineRule="auto"/>
        <w:tabs>
          <w:tab w:leader="none" w:pos="12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 of CCCIS common stock that was issued and outstanding immediately prior to the Effective Time was automatically canceled and converted into the right to receive shares of the Company’s common stock based on the Exchange Ratio, rounded down to the nearest whole number of shares;</w:t>
      </w:r>
    </w:p>
    <w:p>
      <w:pPr>
        <w:spacing w:after="0" w:line="73" w:lineRule="exact"/>
        <w:rPr>
          <w:rFonts w:ascii="Arial" w:cs="Arial" w:eastAsia="Arial" w:hAnsi="Arial"/>
          <w:sz w:val="18"/>
          <w:szCs w:val="18"/>
          <w:color w:val="auto"/>
        </w:rPr>
      </w:pPr>
    </w:p>
    <w:p>
      <w:pPr>
        <w:ind w:left="1252" w:hanging="369"/>
        <w:spacing w:after="0"/>
        <w:tabs>
          <w:tab w:leader="none" w:pos="12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option to purchase shares of CCCIS common stock, whether vested or unvested, that was outstanding and unexercised as of immediately prior to the Effective Time was assumed by the Company and became an option (vested or unvested, as applicable) to purchase a number of shares of the Company’s common stock equal to the number of shares of CCCIS common stock subject to such option immediately prior to the Effective Time multiplied by the Exchange Ratio, rounded down to the nearest whole number of shares, at an exercise price equal to the exercise price per share of such option immediately prior to the Effective Time divided by the Exchange Ratio and rounded up to the nearest whole cent;</w:t>
      </w:r>
    </w:p>
    <w:p>
      <w:pPr>
        <w:spacing w:after="0" w:line="81" w:lineRule="exact"/>
        <w:rPr>
          <w:rFonts w:ascii="Arial" w:cs="Arial" w:eastAsia="Arial" w:hAnsi="Arial"/>
          <w:sz w:val="18"/>
          <w:szCs w:val="18"/>
          <w:color w:val="auto"/>
        </w:rPr>
      </w:pPr>
    </w:p>
    <w:p>
      <w:pPr>
        <w:ind w:left="1252" w:right="80" w:hanging="369"/>
        <w:spacing w:after="0" w:line="261" w:lineRule="auto"/>
        <w:tabs>
          <w:tab w:leader="none" w:pos="12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Dragoneer’s redeemable Class A ordinary shares and Class B ordinary shares that were issued and outstanding immediately prior to the Effective Time was exchanged for an equal number of shares of the Company’s common stock.</w:t>
      </w:r>
    </w:p>
    <w:p>
      <w:pPr>
        <w:spacing w:after="0" w:line="63" w:lineRule="exact"/>
        <w:rPr>
          <w:sz w:val="20"/>
          <w:szCs w:val="20"/>
          <w:color w:val="auto"/>
        </w:rPr>
      </w:pPr>
    </w:p>
    <w:p>
      <w:pPr>
        <w:ind w:left="512" w:right="340"/>
        <w:spacing w:after="0" w:line="248" w:lineRule="auto"/>
        <w:rPr>
          <w:sz w:val="20"/>
          <w:szCs w:val="20"/>
          <w:color w:val="auto"/>
        </w:rPr>
      </w:pPr>
      <w:r>
        <w:rPr>
          <w:rFonts w:ascii="Arial" w:cs="Arial" w:eastAsia="Arial" w:hAnsi="Arial"/>
          <w:sz w:val="18"/>
          <w:szCs w:val="18"/>
          <w:color w:val="auto"/>
        </w:rPr>
        <w:t>Concurrently with the execution of the Business Combination Agreement, the Company entered into subscription agreements with certain institutional investors (the “PIPE Investors”), pursuant to which the PIPE Investors purchased, immediately prior to the closing, an aggregate of 15,000,000 shares of the Company’s common stock at a purchase price of $10.00 per share.</w:t>
      </w:r>
    </w:p>
    <w:p>
      <w:pPr>
        <w:spacing w:after="0" w:line="74" w:lineRule="exact"/>
        <w:rPr>
          <w:sz w:val="20"/>
          <w:szCs w:val="20"/>
          <w:color w:val="auto"/>
        </w:rPr>
      </w:pPr>
    </w:p>
    <w:p>
      <w:pPr>
        <w:ind w:left="512" w:right="200"/>
        <w:spacing w:after="0" w:line="243" w:lineRule="auto"/>
        <w:rPr>
          <w:sz w:val="20"/>
          <w:szCs w:val="20"/>
          <w:color w:val="auto"/>
        </w:rPr>
      </w:pPr>
      <w:r>
        <w:rPr>
          <w:rFonts w:ascii="Arial" w:cs="Arial" w:eastAsia="Arial" w:hAnsi="Arial"/>
          <w:sz w:val="18"/>
          <w:szCs w:val="18"/>
          <w:color w:val="auto"/>
        </w:rPr>
        <w:t>Prior to the closing, the Company entered into forward purchase agreements with Dragoneer Funding LLC and Willett Advisors LLC, pursuant to which the Company issued an aggregate of 17,500,000 forward purchase units, each consisting of one common share and one-fifth of one Public Warrant to purchase one common share for $11.50 per share, for a purchase price of $10.00 per unit. The public warrants were redeemed in December 2021 (see Note 18).</w:t>
      </w:r>
    </w:p>
    <w:p>
      <w:pPr>
        <w:spacing w:after="0" w:line="80" w:lineRule="exact"/>
        <w:rPr>
          <w:sz w:val="20"/>
          <w:szCs w:val="20"/>
          <w:color w:val="auto"/>
        </w:rPr>
      </w:pPr>
    </w:p>
    <w:p>
      <w:pPr>
        <w:ind w:left="512" w:right="80"/>
        <w:spacing w:after="0" w:line="279" w:lineRule="auto"/>
        <w:rPr>
          <w:sz w:val="20"/>
          <w:szCs w:val="20"/>
          <w:color w:val="auto"/>
        </w:rPr>
      </w:pPr>
      <w:r>
        <w:rPr>
          <w:rFonts w:ascii="Arial" w:cs="Arial" w:eastAsia="Arial" w:hAnsi="Arial"/>
          <w:sz w:val="16"/>
          <w:szCs w:val="16"/>
          <w:color w:val="auto"/>
        </w:rPr>
        <w:t>Effective upon Closing, 8,625,000 shares issued and held by Dragoneer Growth Opportunities Holdings (the “Sponsor Vesting Shares”) became non-transferable and subject to forfeiture on the tenth anniversary of Closing if neither of the following triggering events has occurred: (a) the share price of the Company’s common stock has been greater than or equal to $13.00 per share for any twenty trading days within any thirty consecutive trading day period beginning after Closing, or (b) a change in control as defined in the Business Combination Agreement. The Sponsor Vesting Shares do not meet the criteria to be classified as a liability and are presented within stockholders’ equity.</w:t>
      </w:r>
    </w:p>
    <w:p>
      <w:pPr>
        <w:spacing w:after="0" w:line="51" w:lineRule="exact"/>
        <w:rPr>
          <w:sz w:val="20"/>
          <w:szCs w:val="20"/>
          <w:color w:val="auto"/>
        </w:rPr>
      </w:pPr>
    </w:p>
    <w:p>
      <w:pPr>
        <w:ind w:left="512" w:right="180"/>
        <w:spacing w:after="0" w:line="239" w:lineRule="auto"/>
        <w:rPr>
          <w:sz w:val="20"/>
          <w:szCs w:val="20"/>
          <w:color w:val="auto"/>
        </w:rPr>
      </w:pPr>
      <w:r>
        <w:rPr>
          <w:rFonts w:ascii="Arial" w:cs="Arial" w:eastAsia="Arial" w:hAnsi="Arial"/>
          <w:sz w:val="18"/>
          <w:szCs w:val="18"/>
          <w:color w:val="auto"/>
        </w:rPr>
        <w:t>As part of the Business Combination, 15.0 million shares of the Company’s common stock (the “Company Earnout Shares”) shall be issued to CCCIS shareholders existing as of immediately prior to Closing and holders of vested and unvested equity awards of CCCIS as of the date of the Business Combination Agreement (subject to continued employment), following a triggering event (“CCC Triggering Event”). A CCC Triggering Event is defined as the earlier of (a) the first date on which the shares of the Company’s common stock have traded for greater than or equal to $15.00 per share for any twenty trading days within any thirty consecutive trading day period commencing after the closing or (b) a change in control as defined in the Business Combination Agreement. If a CCC Triggering Event does not occur within ten years after Closing, the CCC Earnout Shares are forfeited.</w:t>
      </w:r>
    </w:p>
    <w:p>
      <w:pPr>
        <w:spacing w:after="0" w:line="83" w:lineRule="exact"/>
        <w:rPr>
          <w:sz w:val="20"/>
          <w:szCs w:val="20"/>
          <w:color w:val="auto"/>
        </w:rPr>
      </w:pPr>
    </w:p>
    <w:p>
      <w:pPr>
        <w:ind w:left="512" w:right="540"/>
        <w:spacing w:after="0" w:line="261" w:lineRule="auto"/>
        <w:rPr>
          <w:sz w:val="20"/>
          <w:szCs w:val="20"/>
          <w:color w:val="auto"/>
        </w:rPr>
      </w:pPr>
      <w:r>
        <w:rPr>
          <w:rFonts w:ascii="Arial" w:cs="Arial" w:eastAsia="Arial" w:hAnsi="Arial"/>
          <w:sz w:val="18"/>
          <w:szCs w:val="18"/>
          <w:color w:val="auto"/>
        </w:rPr>
        <w:t>The Company Earnout Shares are not issued shares and are excluded from the Company's issued and outstanding shares within its condensed consolidated statements of mezzanine equity and stockholders' equity.</w:t>
      </w:r>
    </w:p>
    <w:p>
      <w:pPr>
        <w:spacing w:after="0" w:line="63" w:lineRule="exact"/>
        <w:rPr>
          <w:sz w:val="20"/>
          <w:szCs w:val="20"/>
          <w:color w:val="auto"/>
        </w:rPr>
      </w:pPr>
    </w:p>
    <w:p>
      <w:pPr>
        <w:ind w:left="512"/>
        <w:spacing w:after="0"/>
        <w:rPr>
          <w:sz w:val="20"/>
          <w:szCs w:val="20"/>
          <w:color w:val="auto"/>
        </w:rPr>
      </w:pPr>
      <w:r>
        <w:rPr>
          <w:rFonts w:ascii="Arial" w:cs="Arial" w:eastAsia="Arial" w:hAnsi="Arial"/>
          <w:sz w:val="17"/>
          <w:szCs w:val="17"/>
          <w:color w:val="auto"/>
        </w:rPr>
        <w:t>Upon Closing, the Company received net cash contributions of $763.3 million and had 603,170,380 shares of common stock outstanding.</w:t>
      </w:r>
    </w:p>
    <w:p>
      <w:pPr>
        <w:spacing w:after="0" w:line="327" w:lineRule="exact"/>
        <w:rPr>
          <w:sz w:val="20"/>
          <w:szCs w:val="20"/>
          <w:color w:val="auto"/>
        </w:rPr>
      </w:pPr>
    </w:p>
    <w:p>
      <w:pPr>
        <w:ind w:left="512" w:hanging="512"/>
        <w:spacing w:after="0"/>
        <w:tabs>
          <w:tab w:leader="none" w:pos="5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07" w:lineRule="exact"/>
        <w:rPr>
          <w:rFonts w:ascii="Arial" w:cs="Arial" w:eastAsia="Arial" w:hAnsi="Arial"/>
          <w:sz w:val="18"/>
          <w:szCs w:val="18"/>
          <w:b w:val="1"/>
          <w:bCs w:val="1"/>
          <w:color w:val="auto"/>
        </w:rPr>
      </w:pPr>
    </w:p>
    <w:p>
      <w:pPr>
        <w:ind w:left="51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will broaden the Company’s portfolio of cloud-based solutions available to its insurance customers.</w:t>
      </w:r>
    </w:p>
    <w:p>
      <w:pPr>
        <w:spacing w:after="0" w:line="78" w:lineRule="exact"/>
        <w:rPr>
          <w:rFonts w:ascii="Arial" w:cs="Arial" w:eastAsia="Arial" w:hAnsi="Arial"/>
          <w:sz w:val="18"/>
          <w:szCs w:val="18"/>
          <w:b w:val="1"/>
          <w:bCs w:val="1"/>
          <w:color w:val="auto"/>
        </w:rPr>
      </w:pPr>
    </w:p>
    <w:p>
      <w:pPr>
        <w:ind w:left="512"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exchange for all the outstanding shares of Safekeep, the Company paid total cash consideration of $32.3 million upon closing. In accordance with the acquisition agreement, the Company placed $6.0 million in escrow for a general indemnity holdback to be paid to the sellers within 15 months of closing subject to reduction for certain indemnifications and other potential obligations of the selling shareholders.</w:t>
      </w:r>
    </w:p>
    <w:p>
      <w:pPr>
        <w:spacing w:after="0" w:line="57" w:lineRule="exact"/>
        <w:rPr>
          <w:rFonts w:ascii="Arial" w:cs="Arial" w:eastAsia="Arial" w:hAnsi="Arial"/>
          <w:sz w:val="18"/>
          <w:szCs w:val="18"/>
          <w:b w:val="1"/>
          <w:bCs w:val="1"/>
          <w:color w:val="auto"/>
        </w:rPr>
      </w:pPr>
    </w:p>
    <w:p>
      <w:pPr>
        <w:ind w:left="51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additional consideration for the shares, the acquisition agreement includes a contingent earnout for additional cash consideration. The potential amount of the earnout is calculated as a multiple of revenue, above a defined floor, during the</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36" w:right="359" w:bottom="1440" w:gutter="0" w:footer="0" w:header="0"/>
        </w:sectPr>
      </w:pPr>
    </w:p>
    <w:bookmarkStart w:id="13" w:name="page14"/>
    <w:bookmarkEnd w:id="13"/>
    <w:p>
      <w:pPr>
        <w:ind w:left="520" w:right="420"/>
        <w:spacing w:after="0" w:line="286" w:lineRule="auto"/>
        <w:rPr>
          <w:sz w:val="20"/>
          <w:szCs w:val="20"/>
          <w:color w:val="auto"/>
        </w:rPr>
      </w:pPr>
      <w:r>
        <w:rPr>
          <w:rFonts w:ascii="Arial" w:cs="Arial" w:eastAsia="Arial" w:hAnsi="Arial"/>
          <w:sz w:val="17"/>
          <w:szCs w:val="17"/>
          <w:color w:val="auto"/>
        </w:rPr>
        <w:t>12-month measurement period ending December 31, 2024 and is not to exceed $90.0 million. The preliminary fair value of the contingent consideration as of the acquisition date of $0.2 million was estimated using a Monte Carlo simulation model that relies on unobservable inputs, including management estimates and assumptions. Thus, the contingent earnout is a Level 3 measurement.</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acquisition date fair value of the consideration transferred was $32.5 million, which consisted of the following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Cash paid through closing</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32,300</w:t>
            </w:r>
          </w:p>
        </w:tc>
        <w:tc>
          <w:tcPr>
            <w:tcW w:w="100" w:type="dxa"/>
            <w:vAlign w:val="bottom"/>
            <w:shd w:val="clear" w:color="auto" w:fill="CFF0FC"/>
          </w:tcPr>
          <w:p>
            <w:pPr>
              <w:spacing w:after="0"/>
              <w:rPr>
                <w:sz w:val="17"/>
                <w:szCs w:val="17"/>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Fair value of contingent earnout consideration</w:t>
            </w: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r>
      <w:tr>
        <w:trPr>
          <w:trHeight w:val="236"/>
        </w:trPr>
        <w:tc>
          <w:tcPr>
            <w:tcW w:w="87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acquisition date fair value of the consideration transferred</w:t>
            </w:r>
          </w:p>
        </w:tc>
        <w:tc>
          <w:tcPr>
            <w:tcW w:w="740" w:type="dxa"/>
            <w:vAlign w:val="bottom"/>
            <w:tcBorders>
              <w:bottom w:val="single" w:sz="8" w:color="auto"/>
            </w:tcBorders>
            <w:shd w:val="clear" w:color="auto" w:fill="CFF0FC"/>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32,500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ind w:left="520" w:right="200"/>
        <w:spacing w:after="0" w:line="257" w:lineRule="auto"/>
        <w:rPr>
          <w:sz w:val="20"/>
          <w:szCs w:val="20"/>
          <w:color w:val="auto"/>
        </w:rPr>
      </w:pPr>
      <w:r>
        <w:rPr>
          <w:rFonts w:ascii="Arial" w:cs="Arial" w:eastAsia="Arial" w:hAnsi="Arial"/>
          <w:sz w:val="18"/>
          <w:szCs w:val="18"/>
          <w:color w:val="auto"/>
        </w:rPr>
        <w:t xml:space="preserve">The acquisition was accounted for as a business combination and reflects the application of acquisition accounting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total purchase consideration was allocated to the assets acquired and liabilities assumed based on their fair values as of the acquisition date with the excess purchase price assigned to goodwill. The goodwill was primarily attributable to the expected synergies from the combined service offerings and the value of the acquired workforce. The goodwill is not deductible for tax purposes.</w:t>
      </w:r>
    </w:p>
    <w:p>
      <w:pPr>
        <w:spacing w:after="0" w:line="80" w:lineRule="exact"/>
        <w:rPr>
          <w:sz w:val="20"/>
          <w:szCs w:val="20"/>
          <w:color w:val="auto"/>
        </w:rPr>
      </w:pPr>
    </w:p>
    <w:p>
      <w:pPr>
        <w:ind w:left="520" w:right="80"/>
        <w:spacing w:after="0" w:line="301" w:lineRule="auto"/>
        <w:rPr>
          <w:sz w:val="20"/>
          <w:szCs w:val="20"/>
          <w:color w:val="auto"/>
        </w:rPr>
      </w:pPr>
      <w:r>
        <w:rPr>
          <w:rFonts w:ascii="Arial" w:cs="Arial" w:eastAsia="Arial" w:hAnsi="Arial"/>
          <w:sz w:val="16"/>
          <w:szCs w:val="16"/>
          <w:color w:val="auto"/>
        </w:rPr>
        <w:t>The Company’s estimates of the fair values of the assets acquired, liabilities assumed and contingent consideration are based on information that was available at the date of the acquisition and the Company is continuing to evaluate the underlying inputs and assumptions used in its valuations. Accordingly, these preliminary estimates are subject to change during the measurement period, which is up to one year from the date of acquisition. There have been no material changes to the preliminary purchase price allocation during the three months ended June 30, 2022.</w:t>
      </w:r>
    </w:p>
    <w:p>
      <w:pPr>
        <w:spacing w:after="0" w:line="49"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The following table summarizes the allocation of the consideration to the fair values of the assets acquired and liabilities assumed at the acquisition date (in thousands):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720" w:type="dxa"/>
            <w:vAlign w:val="bottom"/>
          </w:tcPr>
          <w:p>
            <w:pPr>
              <w:ind w:left="180"/>
              <w:spacing w:after="0" w:line="202" w:lineRule="exact"/>
              <w:rPr>
                <w:sz w:val="20"/>
                <w:szCs w:val="20"/>
                <w:color w:val="auto"/>
              </w:rPr>
            </w:pPr>
            <w:r>
              <w:rPr>
                <w:rFonts w:ascii="Arial" w:cs="Arial" w:eastAsia="Arial" w:hAnsi="Arial"/>
                <w:sz w:val="18"/>
                <w:szCs w:val="18"/>
                <w:color w:val="auto"/>
              </w:rPr>
              <w:t>Current assets</w:t>
            </w:r>
          </w:p>
        </w:tc>
        <w:tc>
          <w:tcPr>
            <w:tcW w:w="72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tcPr>
          <w:p>
            <w:pPr>
              <w:spacing w:after="0"/>
              <w:rPr>
                <w:sz w:val="17"/>
                <w:szCs w:val="17"/>
                <w:color w:val="auto"/>
              </w:rPr>
            </w:pPr>
          </w:p>
        </w:tc>
      </w:tr>
      <w:tr>
        <w:trPr>
          <w:trHeight w:val="203"/>
        </w:trPr>
        <w:tc>
          <w:tcPr>
            <w:tcW w:w="8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 asset - acquired technology</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4,800</w:t>
            </w:r>
          </w:p>
        </w:tc>
        <w:tc>
          <w:tcPr>
            <w:tcW w:w="100" w:type="dxa"/>
            <w:vAlign w:val="bottom"/>
            <w:shd w:val="clear" w:color="auto" w:fill="CFF0FC"/>
          </w:tcPr>
          <w:p>
            <w:pPr>
              <w:spacing w:after="0"/>
              <w:rPr>
                <w:sz w:val="17"/>
                <w:szCs w:val="17"/>
                <w:color w:val="auto"/>
              </w:rPr>
            </w:pPr>
          </w:p>
        </w:tc>
      </w:tr>
      <w:tr>
        <w:trPr>
          <w:trHeight w:val="203"/>
        </w:trPr>
        <w:tc>
          <w:tcPr>
            <w:tcW w:w="8720" w:type="dxa"/>
            <w:vAlign w:val="bottom"/>
          </w:tcPr>
          <w:p>
            <w:pPr>
              <w:ind w:left="180"/>
              <w:spacing w:after="0" w:line="202" w:lineRule="exact"/>
              <w:rPr>
                <w:sz w:val="20"/>
                <w:szCs w:val="20"/>
                <w:color w:val="auto"/>
              </w:rPr>
            </w:pPr>
            <w:r>
              <w:rPr>
                <w:rFonts w:ascii="Arial" w:cs="Arial" w:eastAsia="Arial" w:hAnsi="Arial"/>
                <w:sz w:val="18"/>
                <w:szCs w:val="18"/>
                <w:color w:val="auto"/>
              </w:rPr>
              <w:t>Deferred tax assets</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r>
      <w:tr>
        <w:trPr>
          <w:trHeight w:val="196"/>
        </w:trPr>
        <w:tc>
          <w:tcPr>
            <w:tcW w:w="872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 acquired</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5,264</w:t>
            </w:r>
          </w:p>
        </w:tc>
        <w:tc>
          <w:tcPr>
            <w:tcW w:w="100" w:type="dxa"/>
            <w:vAlign w:val="bottom"/>
            <w:shd w:val="clear" w:color="auto" w:fill="CFF0FC"/>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Liabilities assumed:</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7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Current liabilities</w:t>
            </w:r>
          </w:p>
        </w:tc>
        <w:tc>
          <w:tcPr>
            <w:tcW w:w="7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72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assumed</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r>
      <w:tr>
        <w:trPr>
          <w:trHeight w:val="196"/>
        </w:trPr>
        <w:tc>
          <w:tcPr>
            <w:tcW w:w="8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assets acquired</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5,117</w:t>
            </w:r>
          </w:p>
        </w:tc>
        <w:tc>
          <w:tcPr>
            <w:tcW w:w="100" w:type="dxa"/>
            <w:vAlign w:val="bottom"/>
            <w:shd w:val="clear" w:color="auto" w:fill="CFF0FC"/>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27,383</w:t>
            </w:r>
          </w:p>
        </w:tc>
        <w:tc>
          <w:tcPr>
            <w:tcW w:w="100" w:type="dxa"/>
            <w:vAlign w:val="bottom"/>
          </w:tcPr>
          <w:p>
            <w:pPr>
              <w:spacing w:after="0"/>
              <w:rPr>
                <w:sz w:val="17"/>
                <w:szCs w:val="17"/>
                <w:color w:val="auto"/>
              </w:rPr>
            </w:pPr>
          </w:p>
        </w:tc>
      </w:tr>
      <w:tr>
        <w:trPr>
          <w:trHeight w:val="236"/>
        </w:trPr>
        <w:tc>
          <w:tcPr>
            <w:tcW w:w="8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purchase price</w:t>
            </w:r>
          </w:p>
        </w:tc>
        <w:tc>
          <w:tcPr>
            <w:tcW w:w="720" w:type="dxa"/>
            <w:vAlign w:val="bottom"/>
            <w:tcBorders>
              <w:bottom w:val="single" w:sz="8" w:color="auto"/>
            </w:tcBorders>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32,500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-561975</wp:posOffset>
            </wp:positionV>
            <wp:extent cx="5969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acquired technology intangible asset has an estimated useful life of seven years and is being amortized on a straight-line basis.</w:t>
      </w:r>
    </w:p>
    <w:p>
      <w:pPr>
        <w:spacing w:after="0" w:line="117"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color w:val="auto"/>
        </w:rPr>
        <w:t>The fair value of the acquired technology intangible asset was determined by valuation models based on estimates of future operating projections as well as judgments on the discount rates and other variables. This fair value measurement is based on significant unobservable inputs, including management estimates and assumptions and thus represents a Level 3 measurement.</w:t>
      </w:r>
    </w:p>
    <w:p>
      <w:pPr>
        <w:spacing w:after="0" w:line="76" w:lineRule="exact"/>
        <w:rPr>
          <w:sz w:val="20"/>
          <w:szCs w:val="20"/>
          <w:color w:val="auto"/>
        </w:rPr>
      </w:pPr>
    </w:p>
    <w:p>
      <w:pPr>
        <w:ind w:left="520" w:right="420"/>
        <w:spacing w:after="0" w:line="308" w:lineRule="auto"/>
        <w:rPr>
          <w:sz w:val="20"/>
          <w:szCs w:val="20"/>
          <w:color w:val="auto"/>
        </w:rPr>
      </w:pPr>
      <w:r>
        <w:rPr>
          <w:rFonts w:ascii="Arial" w:cs="Arial" w:eastAsia="Arial" w:hAnsi="Arial"/>
          <w:sz w:val="17"/>
          <w:szCs w:val="17"/>
          <w:color w:val="auto"/>
        </w:rPr>
        <w:t>The transaction costs associated with the acquisition were $1.2 million for the six months ended June 30, 2022, and are included in general and administrative expenses within the condensed consolidated statements of operations and comprehensive income (loss).</w:t>
      </w:r>
    </w:p>
    <w:p>
      <w:pPr>
        <w:spacing w:after="0" w:line="7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07" w:lineRule="exact"/>
        <w:rPr>
          <w:rFonts w:ascii="Arial" w:cs="Arial" w:eastAsia="Arial" w:hAnsi="Arial"/>
          <w:sz w:val="18"/>
          <w:szCs w:val="18"/>
          <w:b w:val="1"/>
          <w:bCs w:val="1"/>
          <w:color w:val="auto"/>
        </w:rPr>
      </w:pPr>
    </w:p>
    <w:p>
      <w:pPr>
        <w:ind w:left="520" w:right="220"/>
        <w:spacing w:after="0" w:line="261" w:lineRule="auto"/>
        <w:rPr>
          <w:rFonts w:ascii="Arial" w:cs="Arial" w:eastAsia="Arial" w:hAnsi="Arial"/>
          <w:sz w:val="18"/>
          <w:szCs w:val="18"/>
          <w:b w:val="1"/>
          <w:bCs w:val="1"/>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—The Company provides disaggregation of revenue based on type of service as it believes these categories best depict</w:t>
      </w:r>
      <w:r>
        <w:rPr>
          <w:rFonts w:ascii="Arial" w:cs="Arial" w:eastAsia="Arial" w:hAnsi="Arial"/>
          <w:sz w:val="18"/>
          <w:szCs w:val="18"/>
          <w:i w:val="1"/>
          <w:iCs w:val="1"/>
          <w:color w:val="auto"/>
        </w:rPr>
        <w:t xml:space="preserve"> </w:t>
      </w:r>
      <w:r>
        <w:rPr>
          <w:rFonts w:ascii="Arial" w:cs="Arial" w:eastAsia="Arial" w:hAnsi="Arial"/>
          <w:sz w:val="18"/>
          <w:szCs w:val="18"/>
          <w:color w:val="auto"/>
        </w:rPr>
        <w:t>how the nature, amount, timing and uncertainty of revenue and cash flows are affected by economic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summarizes revenue by type of service for the three and six months ended June 30, 2022 and 2021 (in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0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For the Six Months Ended</w:t>
            </w:r>
          </w:p>
        </w:tc>
        <w:tc>
          <w:tcPr>
            <w:tcW w:w="10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60" w:type="dxa"/>
            <w:vAlign w:val="bottom"/>
            <w:gridSpan w:val="3"/>
          </w:tcPr>
          <w:p>
            <w:pPr>
              <w:jc w:val="right"/>
              <w:ind w:right="810"/>
              <w:spacing w:after="0" w:line="202" w:lineRule="exact"/>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gridSpan w:val="3"/>
          </w:tcPr>
          <w:p>
            <w:pPr>
              <w:jc w:val="right"/>
              <w:ind w:right="150"/>
              <w:spacing w:after="0" w:line="202" w:lineRule="exact"/>
              <w:rPr>
                <w:sz w:val="20"/>
                <w:szCs w:val="20"/>
                <w:color w:val="auto"/>
              </w:rPr>
            </w:pPr>
            <w:r>
              <w:rPr>
                <w:rFonts w:ascii="Arial" w:cs="Arial" w:eastAsia="Arial" w:hAnsi="Arial"/>
                <w:sz w:val="18"/>
                <w:szCs w:val="18"/>
                <w:b w:val="1"/>
                <w:bCs w:val="1"/>
                <w:color w:val="auto"/>
              </w:rPr>
              <w:t>June 30,</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Software subscriptions</w:t>
            </w: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185,499</w:t>
            </w:r>
          </w:p>
        </w:tc>
        <w:tc>
          <w:tcPr>
            <w:tcW w:w="3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159,841</w:t>
            </w: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365,317</w:t>
            </w:r>
          </w:p>
        </w:tc>
        <w:tc>
          <w:tcPr>
            <w:tcW w:w="28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311,865</w:t>
            </w:r>
          </w:p>
        </w:tc>
        <w:tc>
          <w:tcPr>
            <w:tcW w:w="100" w:type="dxa"/>
            <w:vAlign w:val="bottom"/>
            <w:shd w:val="clear" w:color="auto" w:fill="CFF0FC"/>
          </w:tcPr>
          <w:p>
            <w:pPr>
              <w:spacing w:after="0"/>
              <w:rPr>
                <w:sz w:val="17"/>
                <w:szCs w:val="17"/>
                <w:color w:val="auto"/>
              </w:rPr>
            </w:pPr>
          </w:p>
        </w:tc>
      </w:tr>
      <w:tr>
        <w:trPr>
          <w:trHeight w:val="203"/>
        </w:trPr>
        <w:tc>
          <w:tcPr>
            <w:tcW w:w="2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7,287</w:t>
            </w:r>
          </w:p>
        </w:tc>
        <w:tc>
          <w:tcPr>
            <w:tcW w:w="3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6,948</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14,292</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12,713</w:t>
            </w:r>
          </w:p>
        </w:tc>
        <w:tc>
          <w:tcPr>
            <w:tcW w:w="100" w:type="dxa"/>
            <w:vAlign w:val="bottom"/>
          </w:tcPr>
          <w:p>
            <w:pPr>
              <w:spacing w:after="0"/>
              <w:rPr>
                <w:sz w:val="17"/>
                <w:szCs w:val="17"/>
                <w:color w:val="auto"/>
              </w:rPr>
            </w:pPr>
          </w:p>
        </w:tc>
      </w:tr>
      <w:tr>
        <w:trPr>
          <w:trHeight w:val="236"/>
        </w:trPr>
        <w:tc>
          <w:tcPr>
            <w:tcW w:w="28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shd w:val="clear" w:color="auto" w:fill="CFF0FC"/>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2"/>
              </w:rPr>
              <w:t>192,786</w:t>
            </w: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5"/>
              </w:rPr>
              <w:t>166,789</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379,609</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324,578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-25400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-25400</wp:posOffset>
            </wp:positionV>
            <wp:extent cx="59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-7620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i w:val="1"/>
          <w:iCs w:val="1"/>
          <w:color w:val="auto"/>
        </w:rPr>
        <w:t>Transaction Price Allocated to the Remaining Performance Obligations</w:t>
      </w:r>
      <w:r>
        <w:rPr>
          <w:rFonts w:ascii="Arial" w:cs="Arial" w:eastAsia="Arial" w:hAnsi="Arial"/>
          <w:sz w:val="17"/>
          <w:szCs w:val="17"/>
          <w:color w:val="auto"/>
        </w:rPr>
        <w:t>—Remaining performance obligations represent contracted revenue that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yet been recognized, which includes deferred revenue and amounts that will be invoiced and recognized as revenue in future periods. As of June 30, 2022, approximately $1,335 million of revenue is expected to be recognized from remaining performance obligations in the amount of approximately $524 million during the following twelve months, and approximately $811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67"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i w:val="1"/>
          <w:iCs w:val="1"/>
          <w:color w:val="auto"/>
        </w:rPr>
        <w:t>Deferred Revenue</w:t>
      </w:r>
      <w:r>
        <w:rPr>
          <w:rFonts w:ascii="Arial" w:cs="Arial" w:eastAsia="Arial" w:hAnsi="Arial"/>
          <w:sz w:val="16"/>
          <w:szCs w:val="16"/>
          <w:color w:val="auto"/>
        </w:rPr>
        <w:t>—Revenue recognized for the three months ended June 30, 2022 from amounts in deferred revenue as of March 31, 2022 was</w:t>
      </w:r>
      <w:r>
        <w:rPr>
          <w:rFonts w:ascii="Arial" w:cs="Arial" w:eastAsia="Arial" w:hAnsi="Arial"/>
          <w:sz w:val="16"/>
          <w:szCs w:val="16"/>
          <w:i w:val="1"/>
          <w:iCs w:val="1"/>
          <w:color w:val="auto"/>
        </w:rPr>
        <w:t xml:space="preserve"> </w:t>
      </w:r>
      <w:r>
        <w:rPr>
          <w:rFonts w:ascii="Arial" w:cs="Arial" w:eastAsia="Arial" w:hAnsi="Arial"/>
          <w:sz w:val="16"/>
          <w:szCs w:val="16"/>
          <w:color w:val="auto"/>
        </w:rPr>
        <w:t>$32.2 million. Revenue recognized for the three months ended June 30, 2021 from amounts in deferred revenue as of March 31, 2021 was $26.4</w:t>
      </w:r>
    </w:p>
    <w:p>
      <w:pPr>
        <w:spacing w:after="0"/>
        <w:rPr>
          <w:sz w:val="20"/>
          <w:szCs w:val="20"/>
          <w:color w:val="auto"/>
        </w:rPr>
      </w:pPr>
      <w:r>
        <w:rPr>
          <w:rFonts w:ascii="Arial" w:cs="Arial" w:eastAsia="Arial" w:hAnsi="Arial"/>
          <w:sz w:val="18"/>
          <w:szCs w:val="18"/>
          <w:color w:val="auto"/>
        </w:rPr>
        <w:t>million</w:t>
      </w:r>
      <w:r>
        <w:rPr>
          <w:rFonts w:ascii="Arial" w:cs="Arial" w:eastAsia="Arial" w:hAnsi="Arial"/>
          <w:sz w:val="21"/>
          <w:szCs w:val="2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recognized for the six months ended June 30, 2022 from amounts in deferred revenue as of December 31, 2021 was $30.2 million.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recognized for the six months ended June 30, 2021 from amounts in deferred revenue as of December 31, 2020 was $25.6 million.</w:t>
      </w:r>
    </w:p>
    <w:p>
      <w:pPr>
        <w:spacing w:after="0" w:line="9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Contract Assets and Liabilities</w:t>
      </w:r>
      <w:r>
        <w:rPr>
          <w:rFonts w:ascii="Arial" w:cs="Arial" w:eastAsia="Arial" w:hAnsi="Arial"/>
          <w:sz w:val="18"/>
          <w:szCs w:val="18"/>
          <w:color w:val="auto"/>
        </w:rPr>
        <w:t>—The opening and closing balances of the Company’s receivables, contract assets and contract liabilities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are as follows (in thousands):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r>
      <w:tr>
        <w:trPr>
          <w:trHeight w:val="221"/>
        </w:trPr>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receivables-net of allowances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82,816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78,793</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Deferred contract costs</w:t>
            </w: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16,021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15,069</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deferred contract costs</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19,869</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22,117</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Other assets (accounts receivable, non-current)</w:t>
            </w: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14,201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8,622</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revenues</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33,298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31,042</w:t>
            </w:r>
          </w:p>
        </w:tc>
        <w:tc>
          <w:tcPr>
            <w:tcW w:w="100" w:type="dxa"/>
            <w:vAlign w:val="bottom"/>
            <w:shd w:val="clear" w:color="auto" w:fill="CFF0FC"/>
          </w:tcPr>
          <w:p>
            <w:pPr>
              <w:spacing w:after="0"/>
              <w:rPr>
                <w:sz w:val="17"/>
                <w:szCs w:val="17"/>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Other liabilities (deferred revenues, non-current)</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A summary of the activity impacting deferred revenue balances during the three and six months ended June 30, 2022 and 2021, is presented below (in thousands):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4"/>
              </w:rPr>
              <w:t>For the Three Months Ended</w:t>
            </w:r>
          </w:p>
        </w:tc>
        <w:tc>
          <w:tcPr>
            <w:tcW w:w="220" w:type="dxa"/>
            <w:vAlign w:val="bottom"/>
          </w:tcPr>
          <w:p>
            <w:pPr>
              <w:spacing w:after="0"/>
              <w:rPr>
                <w:sz w:val="18"/>
                <w:szCs w:val="18"/>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For the Six Months Ended</w:t>
            </w:r>
          </w:p>
        </w:tc>
      </w:tr>
      <w:tr>
        <w:trPr>
          <w:trHeight w:val="221"/>
        </w:trPr>
        <w:tc>
          <w:tcPr>
            <w:tcW w:w="4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30,109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32,616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28,515</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7"/>
                <w:szCs w:val="17"/>
                <w:color w:val="auto"/>
              </w:rPr>
              <w:t>Revenue recognized</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(92,823 )</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(82,159 )</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(182,255 )</w:t>
            </w:r>
          </w:p>
        </w:tc>
        <w:tc>
          <w:tcPr>
            <w:tcW w:w="30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(163,121 )</w:t>
            </w:r>
          </w:p>
        </w:tc>
      </w:tr>
      <w:tr>
        <w:trPr>
          <w:trHeight w:val="203"/>
        </w:trPr>
        <w:tc>
          <w:tcPr>
            <w:tcW w:w="48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7"/>
                <w:szCs w:val="17"/>
                <w:color w:val="auto"/>
              </w:rPr>
              <w:t>Additional amounts deferred</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92,665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82,806</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184,381</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165,362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34,742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30,756</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34,742</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30,756</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Classified as:</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33,298</w:t>
            </w:r>
          </w:p>
        </w:tc>
        <w:tc>
          <w:tcPr>
            <w:tcW w:w="26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28,824</w:t>
            </w:r>
          </w:p>
        </w:tc>
        <w:tc>
          <w:tcPr>
            <w:tcW w:w="2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33,298</w:t>
            </w:r>
          </w:p>
        </w:tc>
        <w:tc>
          <w:tcPr>
            <w:tcW w:w="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28,824</w:t>
            </w:r>
          </w:p>
        </w:tc>
        <w:tc>
          <w:tcPr>
            <w:tcW w:w="100" w:type="dxa"/>
            <w:vAlign w:val="bottom"/>
          </w:tcPr>
          <w:p>
            <w:pPr>
              <w:spacing w:after="0"/>
              <w:rPr>
                <w:sz w:val="17"/>
                <w:szCs w:val="17"/>
                <w:color w:val="auto"/>
              </w:rPr>
            </w:pPr>
          </w:p>
        </w:tc>
      </w:tr>
      <w:tr>
        <w:trPr>
          <w:trHeight w:val="203"/>
        </w:trPr>
        <w:tc>
          <w:tcPr>
            <w:tcW w:w="48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1,932</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1,444</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Total deferred revenue</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34,742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30,756</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34,742</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30,756</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-836295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-836295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-836295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-836295</wp:posOffset>
            </wp:positionV>
            <wp:extent cx="596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-159385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-159385</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-159385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-159385</wp:posOffset>
            </wp:positionV>
            <wp:extent cx="5969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 Amounts include total revenue deferred and recognized during each respective period.</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36" w:right="339" w:bottom="1440" w:gutter="0" w:footer="0" w:header="0"/>
        </w:sectPr>
      </w:pPr>
    </w:p>
    <w:bookmarkStart w:id="15" w:name="page16"/>
    <w:bookmarkEnd w:id="15"/>
    <w:p>
      <w:pPr>
        <w:ind w:left="520" w:right="260"/>
        <w:spacing w:after="0" w:line="261" w:lineRule="auto"/>
        <w:rPr>
          <w:sz w:val="20"/>
          <w:szCs w:val="20"/>
          <w:color w:val="auto"/>
        </w:rPr>
      </w:pPr>
      <w:r>
        <w:rPr>
          <w:rFonts w:ascii="Arial" w:cs="Arial" w:eastAsia="Arial" w:hAnsi="Arial"/>
          <w:sz w:val="18"/>
          <w:szCs w:val="18"/>
          <w:color w:val="auto"/>
        </w:rPr>
        <w:t>A summary of the activity impacting the deferred contract costs during the three and six months ended June 30, 2022 and 2021 is presented below (in thousands):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3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tcPr>
          <w:p>
            <w:pPr>
              <w:spacing w:after="0"/>
              <w:rPr>
                <w:sz w:val="17"/>
                <w:szCs w:val="17"/>
                <w:color w:val="auto"/>
              </w:rPr>
            </w:pPr>
          </w:p>
        </w:tc>
        <w:tc>
          <w:tcPr>
            <w:tcW w:w="23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21"/>
        </w:trPr>
        <w:tc>
          <w:tcPr>
            <w:tcW w:w="48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84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920" w:type="dxa"/>
            <w:vAlign w:val="bottom"/>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36,948</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26,554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37,186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26,361</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Costs amortized</w:t>
            </w:r>
          </w:p>
        </w:tc>
        <w:tc>
          <w:tcPr>
            <w:tcW w:w="92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0"/>
              </w:rPr>
              <w:t>(4,407 )</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(3,612 )</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(8,628 )</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(7,317 )</w:t>
            </w:r>
          </w:p>
        </w:tc>
      </w:tr>
      <w:tr>
        <w:trPr>
          <w:trHeight w:val="203"/>
        </w:trPr>
        <w:tc>
          <w:tcPr>
            <w:tcW w:w="4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Additional amounts deferred</w:t>
            </w:r>
          </w:p>
        </w:tc>
        <w:tc>
          <w:tcPr>
            <w:tcW w:w="9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3,349</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5,725</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7,332</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40" w:type="dxa"/>
            <w:vAlign w:val="bottom"/>
          </w:tcPr>
          <w:p>
            <w:pPr>
              <w:spacing w:after="0" w:line="182" w:lineRule="exact"/>
              <w:rPr>
                <w:sz w:val="20"/>
                <w:szCs w:val="20"/>
                <w:color w:val="auto"/>
              </w:rPr>
            </w:pPr>
            <w:r>
              <w:rPr>
                <w:rFonts w:ascii="Arial" w:cs="Arial" w:eastAsia="Arial" w:hAnsi="Arial"/>
                <w:sz w:val="18"/>
                <w:szCs w:val="18"/>
                <w:color w:val="auto"/>
              </w:rPr>
              <w:t>Balance at end of period</w:t>
            </w:r>
          </w:p>
        </w:tc>
        <w:tc>
          <w:tcPr>
            <w:tcW w:w="92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35,890</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28,667</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35,890</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28,667</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Classified as:</w:t>
            </w: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Current</w:t>
            </w:r>
          </w:p>
        </w:tc>
        <w:tc>
          <w:tcPr>
            <w:tcW w:w="920" w:type="dxa"/>
            <w:vAlign w:val="bottom"/>
          </w:tcPr>
          <w:p>
            <w:pPr>
              <w:jc w:val="right"/>
              <w:ind w:right="73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87"/>
              </w:rPr>
              <w:t>16,021</w:t>
            </w:r>
          </w:p>
        </w:tc>
        <w:tc>
          <w:tcPr>
            <w:tcW w:w="22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12,681</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16,021</w:t>
            </w:r>
          </w:p>
        </w:tc>
        <w:tc>
          <w:tcPr>
            <w:tcW w:w="2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12,681</w:t>
            </w:r>
          </w:p>
        </w:tc>
        <w:tc>
          <w:tcPr>
            <w:tcW w:w="100" w:type="dxa"/>
            <w:vAlign w:val="bottom"/>
          </w:tcPr>
          <w:p>
            <w:pPr>
              <w:spacing w:after="0"/>
              <w:rPr>
                <w:sz w:val="17"/>
                <w:szCs w:val="17"/>
                <w:color w:val="auto"/>
              </w:rPr>
            </w:pPr>
          </w:p>
        </w:tc>
      </w:tr>
      <w:tr>
        <w:trPr>
          <w:trHeight w:val="203"/>
        </w:trPr>
        <w:tc>
          <w:tcPr>
            <w:tcW w:w="4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Non-current</w:t>
            </w:r>
          </w:p>
        </w:tc>
        <w:tc>
          <w:tcPr>
            <w:tcW w:w="9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19,869</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15,986</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19,869</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40" w:type="dxa"/>
            <w:vAlign w:val="bottom"/>
          </w:tcPr>
          <w:p>
            <w:pPr>
              <w:spacing w:after="0" w:line="182" w:lineRule="exact"/>
              <w:rPr>
                <w:sz w:val="20"/>
                <w:szCs w:val="20"/>
                <w:color w:val="auto"/>
              </w:rPr>
            </w:pPr>
            <w:r>
              <w:rPr>
                <w:rFonts w:ascii="Arial" w:cs="Arial" w:eastAsia="Arial" w:hAnsi="Arial"/>
                <w:sz w:val="18"/>
                <w:szCs w:val="18"/>
                <w:color w:val="auto"/>
              </w:rPr>
              <w:t>Total deferred contract costs</w:t>
            </w:r>
          </w:p>
        </w:tc>
        <w:tc>
          <w:tcPr>
            <w:tcW w:w="92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35,890</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28,667</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35,890</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28,667</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-836295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-836295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-836295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-836295</wp:posOffset>
            </wp:positionV>
            <wp:extent cx="59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-159385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3" w:lineRule="exact"/>
        <w:rPr>
          <w:rFonts w:ascii="Arial" w:cs="Arial" w:eastAsia="Arial" w:hAnsi="Arial"/>
          <w:sz w:val="18"/>
          <w:szCs w:val="18"/>
          <w:b w:val="1"/>
          <w:bCs w:val="1"/>
          <w:color w:val="auto"/>
        </w:rPr>
      </w:pPr>
    </w:p>
    <w:p>
      <w:pPr>
        <w:ind w:left="520" w:right="5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on a Recurring Basis</w:t>
      </w:r>
      <w:r>
        <w:rPr>
          <w:rFonts w:ascii="Arial" w:cs="Arial" w:eastAsia="Arial" w:hAnsi="Arial"/>
          <w:sz w:val="18"/>
          <w:szCs w:val="18"/>
          <w:color w:val="auto"/>
        </w:rPr>
        <w:t>—As of June 30, 2022, the Company's Private Warrants and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liability related to a business acquisition are measured at fair value on a recurring basis.</w:t>
      </w:r>
    </w:p>
    <w:p>
      <w:pPr>
        <w:spacing w:after="0" w:line="58" w:lineRule="exact"/>
        <w:rPr>
          <w:rFonts w:ascii="Arial" w:cs="Arial" w:eastAsia="Arial" w:hAnsi="Arial"/>
          <w:sz w:val="18"/>
          <w:szCs w:val="18"/>
          <w:b w:val="1"/>
          <w:bCs w:val="1"/>
          <w:color w:val="auto"/>
        </w:rPr>
      </w:pPr>
    </w:p>
    <w:p>
      <w:pPr>
        <w:ind w:left="520"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Private Warrants are valued using Level 1 and Level 2 inputs within the Black-Scholes option-pricing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39" w:lineRule="exact"/>
        <w:rPr>
          <w:rFonts w:ascii="Arial" w:cs="Arial" w:eastAsia="Arial" w:hAnsi="Arial"/>
          <w:sz w:val="18"/>
          <w:szCs w:val="18"/>
          <w:b w:val="1"/>
          <w:bCs w:val="1"/>
          <w:color w:val="auto"/>
        </w:rPr>
      </w:pPr>
    </w:p>
    <w:p>
      <w:pPr>
        <w:ind w:left="520" w:right="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valuation of the Private Warrants as of June 30, 2022 and December 31, 2021 was determined using the Black-Scholes option pricing model using the following assumptions: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112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5"/>
              </w:rPr>
              <w:t>December 31,</w:t>
            </w:r>
          </w:p>
        </w:tc>
      </w:tr>
      <w:tr>
        <w:trPr>
          <w:trHeight w:val="221"/>
        </w:trPr>
        <w:tc>
          <w:tcPr>
            <w:tcW w:w="7140" w:type="dxa"/>
            <w:vAlign w:val="bottom"/>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1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35 %</w:t>
            </w:r>
          </w:p>
        </w:tc>
        <w:tc>
          <w:tcPr>
            <w:tcW w:w="200" w:type="dxa"/>
            <w:vAlign w:val="bottom"/>
          </w:tcPr>
          <w:p>
            <w:pPr>
              <w:spacing w:after="0"/>
              <w:rPr>
                <w:sz w:val="17"/>
                <w:szCs w:val="17"/>
                <w:color w:val="auto"/>
              </w:rPr>
            </w:pP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0 %</w:t>
            </w:r>
          </w:p>
        </w:tc>
        <w:tc>
          <w:tcPr>
            <w:tcW w:w="200" w:type="dxa"/>
            <w:vAlign w:val="bottom"/>
          </w:tcPr>
          <w:p>
            <w:pPr>
              <w:spacing w:after="0"/>
              <w:rPr>
                <w:sz w:val="17"/>
                <w:szCs w:val="17"/>
                <w:color w:val="auto"/>
              </w:rPr>
            </w:pP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0 %</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6"/>
              </w:rPr>
              <w:t>3.00 %</w:t>
            </w:r>
          </w:p>
        </w:tc>
        <w:tc>
          <w:tcPr>
            <w:tcW w:w="200" w:type="dxa"/>
            <w:vAlign w:val="bottom"/>
          </w:tcPr>
          <w:p>
            <w:pPr>
              <w:spacing w:after="0"/>
              <w:rPr>
                <w:sz w:val="17"/>
                <w:szCs w:val="17"/>
                <w:color w:val="auto"/>
              </w:rPr>
            </w:pP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1.20 %</w:t>
            </w:r>
          </w:p>
        </w:tc>
      </w:tr>
      <w:tr>
        <w:trPr>
          <w:trHeight w:val="203"/>
        </w:trPr>
        <w:tc>
          <w:tcPr>
            <w:tcW w:w="7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at valuation date</w:t>
            </w:r>
          </w:p>
        </w:tc>
        <w:tc>
          <w:tcPr>
            <w:tcW w:w="1120" w:type="dxa"/>
            <w:vAlign w:val="bottom"/>
            <w:shd w:val="clear" w:color="auto" w:fill="CFF0FC"/>
          </w:tcPr>
          <w:p>
            <w:pPr>
              <w:jc w:val="right"/>
              <w:ind w:right="91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-385445</wp:posOffset>
            </wp:positionV>
            <wp:extent cx="677227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74" w:lineRule="exact"/>
        <w:rPr>
          <w:sz w:val="20"/>
          <w:szCs w:val="20"/>
          <w:color w:val="auto"/>
        </w:rPr>
      </w:pPr>
    </w:p>
    <w:p>
      <w:pPr>
        <w:jc w:val="both"/>
        <w:ind w:left="520" w:right="180"/>
        <w:spacing w:after="0" w:line="270" w:lineRule="auto"/>
        <w:rPr>
          <w:sz w:val="20"/>
          <w:szCs w:val="20"/>
          <w:color w:val="auto"/>
        </w:rPr>
      </w:pPr>
      <w:r>
        <w:rPr>
          <w:rFonts w:ascii="Arial" w:cs="Arial" w:eastAsia="Arial" w:hAnsi="Arial"/>
          <w:sz w:val="17"/>
          <w:szCs w:val="17"/>
          <w:color w:val="auto"/>
        </w:rPr>
        <w:t>The contingent consideration liability related to the acquisition of Safekeep (see Note 4) is recorded at our estimate of fair value on the acquisition date and is adjusted each reporting period for changes in fair value, which can result from changes in anticipated payments and changes in assumed discount rates. These inputs are unobservable in the market and therefore categorized as Level 3 inputs.</w:t>
      </w:r>
    </w:p>
    <w:p>
      <w:pPr>
        <w:spacing w:after="0" w:line="56" w:lineRule="exact"/>
        <w:rPr>
          <w:sz w:val="20"/>
          <w:szCs w:val="20"/>
          <w:color w:val="auto"/>
        </w:rPr>
      </w:pPr>
    </w:p>
    <w:p>
      <w:pPr>
        <w:ind w:left="520" w:right="300"/>
        <w:spacing w:after="0" w:line="261" w:lineRule="auto"/>
        <w:rPr>
          <w:sz w:val="20"/>
          <w:szCs w:val="20"/>
          <w:color w:val="auto"/>
        </w:rPr>
      </w:pPr>
      <w:r>
        <w:rPr>
          <w:rFonts w:ascii="Arial" w:cs="Arial" w:eastAsia="Arial" w:hAnsi="Arial"/>
          <w:sz w:val="18"/>
          <w:szCs w:val="18"/>
          <w:color w:val="auto"/>
        </w:rPr>
        <w:t>The estimated fair value of the contingent consideration at June 30, 2022 was determined using probability-weighted discounted cash flows and a Monte Carlo simulation model. The discount rate, based on the Company's estimated cost of debt, was 9.0%.</w:t>
      </w:r>
    </w:p>
    <w:p>
      <w:pPr>
        <w:spacing w:after="0" w:line="63" w:lineRule="exact"/>
        <w:rPr>
          <w:sz w:val="20"/>
          <w:szCs w:val="20"/>
          <w:color w:val="auto"/>
        </w:rPr>
      </w:pPr>
    </w:p>
    <w:p>
      <w:pPr>
        <w:ind w:left="520" w:right="540"/>
        <w:spacing w:after="0" w:line="248" w:lineRule="auto"/>
        <w:rPr>
          <w:sz w:val="20"/>
          <w:szCs w:val="20"/>
          <w:color w:val="auto"/>
        </w:rPr>
      </w:pPr>
      <w:r>
        <w:rPr>
          <w:rFonts w:ascii="Arial" w:cs="Arial" w:eastAsia="Arial" w:hAnsi="Arial"/>
          <w:sz w:val="18"/>
          <w:szCs w:val="18"/>
          <w:color w:val="auto"/>
        </w:rPr>
        <w:t>Since the date of the business acquisition of Safekeep, there has been no change in the estimated fair value of the Company's contingent consideration liability and the Company has not recognized any gain (loss) for a change in the estimated fair value of contingent consideration during the three and six months ended June 30, 2022.</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of the assets and liabilities measured at fair value on a recurring basis at June 30,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54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Contingent consideration related to business acquisition</w:t>
            </w: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Private warrants</w:t>
            </w:r>
          </w:p>
        </w:tc>
        <w:tc>
          <w:tcPr>
            <w:tcW w:w="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39,338</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39,338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5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39,538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39,338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5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-496570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-479425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-496570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-479425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-496570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-479425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16" w:name="page17"/>
    <w:bookmarkEnd w:id="16"/>
    <w:p>
      <w:pPr>
        <w:ind w:left="520" w:right="760"/>
        <w:spacing w:after="0" w:line="261" w:lineRule="auto"/>
        <w:rPr>
          <w:sz w:val="20"/>
          <w:szCs w:val="20"/>
          <w:color w:val="auto"/>
        </w:rPr>
      </w:pPr>
      <w:r>
        <w:rPr>
          <w:rFonts w:ascii="Arial" w:cs="Arial" w:eastAsia="Arial" w:hAnsi="Arial"/>
          <w:sz w:val="18"/>
          <w:szCs w:val="18"/>
          <w:color w:val="auto"/>
        </w:rPr>
        <w:t>The following table presents the fair value of the assets and liabilities measured at fair value on a recurring basis at December 31, 2021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2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Fair Value</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196"/>
        </w:trPr>
        <w:tc>
          <w:tcPr>
            <w:tcW w:w="528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Private warrants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62,478</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62,478</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ind w:left="78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62,478</w:t>
            </w:r>
          </w:p>
        </w:tc>
        <w:tc>
          <w:tcPr>
            <w:tcW w:w="1160" w:type="dxa"/>
            <w:vAlign w:val="bottom"/>
            <w:gridSpan w:val="2"/>
          </w:tcPr>
          <w:p>
            <w:pPr>
              <w:jc w:val="right"/>
              <w:ind w:right="730"/>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18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62,478</w:t>
            </w:r>
          </w:p>
        </w:tc>
        <w:tc>
          <w:tcPr>
            <w:tcW w:w="4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ind w:left="780"/>
              <w:spacing w:after="0" w:line="182"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-159385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2" w:lineRule="exact"/>
        <w:rPr>
          <w:sz w:val="20"/>
          <w:szCs w:val="20"/>
          <w:color w:val="auto"/>
        </w:rPr>
      </w:pPr>
    </w:p>
    <w:p>
      <w:pPr>
        <w:ind w:left="520" w:right="80"/>
        <w:spacing w:after="0" w:line="242" w:lineRule="auto"/>
        <w:rPr>
          <w:sz w:val="20"/>
          <w:szCs w:val="20"/>
          <w:color w:val="auto"/>
        </w:rPr>
      </w:pPr>
      <w:r>
        <w:rPr>
          <w:rFonts w:ascii="Arial" w:cs="Arial" w:eastAsia="Arial" w:hAnsi="Arial"/>
          <w:sz w:val="18"/>
          <w:szCs w:val="18"/>
          <w:b w:val="1"/>
          <w:bCs w:val="1"/>
          <w:color w:val="auto"/>
        </w:rPr>
        <w:t>Assets and Liabilities Measured at Fair Value on a Nonrecurring Basis</w:t>
      </w:r>
      <w:r>
        <w:rPr>
          <w:rFonts w:ascii="Arial" w:cs="Arial" w:eastAsia="Arial" w:hAnsi="Arial"/>
          <w:sz w:val="18"/>
          <w:szCs w:val="18"/>
          <w:color w:val="auto"/>
        </w:rPr>
        <w:t>—The Company has assets that under certain conditions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During the three and six months ended June 30, 2022 and 2021, the Company recognized no impairment related to these assets.</w:t>
      </w:r>
    </w:p>
    <w:p>
      <w:pPr>
        <w:spacing w:after="0" w:line="171" w:lineRule="exact"/>
        <w:rPr>
          <w:sz w:val="20"/>
          <w:szCs w:val="20"/>
          <w:color w:val="auto"/>
        </w:rPr>
      </w:pPr>
    </w:p>
    <w:p>
      <w:pPr>
        <w:ind w:left="520" w:right="80"/>
        <w:spacing w:after="0" w:line="329" w:lineRule="auto"/>
        <w:rPr>
          <w:sz w:val="20"/>
          <w:szCs w:val="20"/>
          <w:color w:val="auto"/>
        </w:rPr>
      </w:pPr>
      <w:r>
        <w:rPr>
          <w:rFonts w:ascii="Arial" w:cs="Arial" w:eastAsia="Arial" w:hAnsi="Arial"/>
          <w:sz w:val="16"/>
          <w:szCs w:val="16"/>
          <w:b w:val="1"/>
          <w:bCs w:val="1"/>
          <w:color w:val="auto"/>
        </w:rPr>
        <w:t>Fair Value of Other Financial Instruments</w:t>
      </w:r>
      <w:r>
        <w:rPr>
          <w:rFonts w:ascii="Arial" w:cs="Arial" w:eastAsia="Arial" w:hAnsi="Arial"/>
          <w:sz w:val="16"/>
          <w:szCs w:val="16"/>
          <w:color w:val="auto"/>
        </w:rPr>
        <w:t>—The following table presents the carrying amounts, net of debt discount, and estimated fair values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financial instruments that are not recorded at fair value on the condensed consolidated balance sheets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9"/>
                <w:szCs w:val="19"/>
                <w:color w:val="auto"/>
              </w:rPr>
            </w:pPr>
          </w:p>
        </w:tc>
      </w:tr>
      <w:tr>
        <w:trPr>
          <w:trHeight w:val="178"/>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ind w:left="40"/>
              <w:spacing w:after="0" w:line="177"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5"/>
                <w:szCs w:val="15"/>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Term B Loan, including current portion</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794,204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772,120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798,073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799,000</w:t>
            </w:r>
          </w:p>
        </w:tc>
        <w:tc>
          <w:tcPr>
            <w:tcW w:w="10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left="520" w:right="280"/>
        <w:spacing w:after="0" w:line="270" w:lineRule="auto"/>
        <w:rPr>
          <w:sz w:val="20"/>
          <w:szCs w:val="20"/>
          <w:color w:val="auto"/>
        </w:rPr>
      </w:pPr>
      <w:r>
        <w:rPr>
          <w:rFonts w:ascii="Arial" w:cs="Arial" w:eastAsia="Arial" w:hAnsi="Arial"/>
          <w:sz w:val="17"/>
          <w:szCs w:val="17"/>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268"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jc w:val="both"/>
        <w:ind w:left="520" w:right="100"/>
        <w:spacing w:after="0" w:line="324" w:lineRule="auto"/>
        <w:rPr>
          <w:rFonts w:ascii="Arial" w:cs="Arial" w:eastAsia="Arial" w:hAnsi="Arial"/>
          <w:sz w:val="18"/>
          <w:szCs w:val="18"/>
          <w:b w:val="1"/>
          <w:bCs w:val="1"/>
          <w:color w:val="auto"/>
        </w:rPr>
      </w:pPr>
      <w:r>
        <w:rPr>
          <w:rFonts w:ascii="Arial" w:cs="Arial" w:eastAsia="Arial" w:hAnsi="Arial"/>
          <w:sz w:val="16"/>
          <w:szCs w:val="16"/>
          <w:color w:val="auto"/>
        </w:rPr>
        <w:t>The Company’s effective tax rate for the three months ended June 30, 2022 and 2021 was 39.4% and 38.4%, respectively. The effective tax rate for the three months ended June 30, 2022 was higher than the June 30, 2021 effective tax rate primarily due to non-deductible executive compensation.</w:t>
      </w:r>
    </w:p>
    <w:p>
      <w:pPr>
        <w:spacing w:after="0" w:line="16" w:lineRule="exact"/>
        <w:rPr>
          <w:rFonts w:ascii="Arial" w:cs="Arial" w:eastAsia="Arial" w:hAnsi="Arial"/>
          <w:sz w:val="18"/>
          <w:szCs w:val="18"/>
          <w:b w:val="1"/>
          <w:bCs w:val="1"/>
          <w:color w:val="auto"/>
        </w:rPr>
      </w:pPr>
    </w:p>
    <w:p>
      <w:pPr>
        <w:ind w:left="520" w:right="2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2022 and 2021 was 25.2% and 35.6%, respectively. The effective tax rate for the six months ended June 30, 2022 was lower than the effective tax rate for the six months June 30, 2021 primarily due to the tax benefit received related to share-based compensation expense as well as the tax benefit associated with the re-measurement of the Company’s deferred tax liability for changes in state tax rates.</w:t>
      </w:r>
    </w:p>
    <w:p>
      <w:pPr>
        <w:spacing w:after="0" w:line="79" w:lineRule="exact"/>
        <w:rPr>
          <w:rFonts w:ascii="Arial" w:cs="Arial" w:eastAsia="Arial" w:hAnsi="Arial"/>
          <w:sz w:val="18"/>
          <w:szCs w:val="18"/>
          <w:b w:val="1"/>
          <w:bCs w:val="1"/>
          <w:color w:val="auto"/>
        </w:rPr>
      </w:pPr>
    </w:p>
    <w:p>
      <w:pPr>
        <w:ind w:left="520" w:right="200"/>
        <w:spacing w:after="0" w:line="324" w:lineRule="auto"/>
        <w:rPr>
          <w:rFonts w:ascii="Arial" w:cs="Arial" w:eastAsia="Arial" w:hAnsi="Arial"/>
          <w:sz w:val="18"/>
          <w:szCs w:val="18"/>
          <w:b w:val="1"/>
          <w:bCs w:val="1"/>
          <w:color w:val="auto"/>
        </w:rPr>
      </w:pPr>
      <w:r>
        <w:rPr>
          <w:rFonts w:ascii="Arial" w:cs="Arial" w:eastAsia="Arial" w:hAnsi="Arial"/>
          <w:sz w:val="16"/>
          <w:szCs w:val="16"/>
          <w:color w:val="auto"/>
        </w:rPr>
        <w:t>The Company made income tax payments of $38.9 million and $6.5 million for the three months ended June 30, 2022 and 2021, respectively. The Company received negligible refunds from the Internal Revenue Service and various states for the three months ended June 30, 2022 and 2021.</w:t>
      </w:r>
    </w:p>
    <w:p>
      <w:pPr>
        <w:spacing w:after="0" w:line="16" w:lineRule="exact"/>
        <w:rPr>
          <w:rFonts w:ascii="Arial" w:cs="Arial" w:eastAsia="Arial" w:hAnsi="Arial"/>
          <w:sz w:val="18"/>
          <w:szCs w:val="18"/>
          <w:b w:val="1"/>
          <w:bCs w:val="1"/>
          <w:color w:val="auto"/>
        </w:rPr>
      </w:pPr>
    </w:p>
    <w:p>
      <w:pPr>
        <w:ind w:left="520" w:right="2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Company made income tax payments of $39.0 million and $10.4 million for the six months ended June 30, 2022 and 2021, respectively. The Company received refunds from various states totaling $50 thousand and $16 thousand for the six months ended June 30, 2022 and 2021, respectively.</w:t>
      </w:r>
    </w:p>
    <w:p>
      <w:pPr>
        <w:spacing w:after="0" w:line="73" w:lineRule="exact"/>
        <w:rPr>
          <w:rFonts w:ascii="Arial" w:cs="Arial" w:eastAsia="Arial" w:hAnsi="Arial"/>
          <w:sz w:val="18"/>
          <w:szCs w:val="18"/>
          <w:b w:val="1"/>
          <w:bCs w:val="1"/>
          <w:color w:val="auto"/>
        </w:rPr>
      </w:pPr>
    </w:p>
    <w:p>
      <w:pPr>
        <w:ind w:left="520" w:right="4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As of June 30, 2022, unrecognized tax benefits were materially consistent with the amount at December 31, 2021. We anticipate this amount will decrease from $3.6 million to $3.4 million over the following twelve months, as the increase related to fiscal year 2022 is offset by decreases related to statute expirations.</w:t>
      </w:r>
    </w:p>
    <w:p>
      <w:pPr>
        <w:spacing w:after="0" w:line="285" w:lineRule="exact"/>
        <w:rPr>
          <w:rFonts w:ascii="Arial" w:cs="Arial" w:eastAsia="Arial" w:hAnsi="Arial"/>
          <w:sz w:val="18"/>
          <w:szCs w:val="18"/>
          <w:b w:val="1"/>
          <w:bCs w:val="1"/>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receivable–net as of June 30, 2022 and December 31, 2021,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21"/>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29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87,112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82,584</w:t>
            </w: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 and sales reserves</w:t>
            </w:r>
          </w:p>
        </w:tc>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(4,296 )</w:t>
            </w:r>
          </w:p>
        </w:tc>
        <w:tc>
          <w:tcPr>
            <w:tcW w:w="18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(3,791 )</w:t>
            </w:r>
          </w:p>
        </w:tc>
      </w:tr>
      <w:tr>
        <w:trPr>
          <w:trHeight w:val="236"/>
        </w:trPr>
        <w:tc>
          <w:tcPr>
            <w:tcW w:w="580" w:type="dxa"/>
            <w:vAlign w:val="bottom"/>
          </w:tcPr>
          <w:p>
            <w:pPr>
              <w:spacing w:after="0"/>
              <w:rPr>
                <w:sz w:val="20"/>
                <w:szCs w:val="20"/>
                <w:color w:val="auto"/>
              </w:rPr>
            </w:pPr>
          </w:p>
        </w:tc>
        <w:tc>
          <w:tcPr>
            <w:tcW w:w="43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Accounts receivable–net</w:t>
            </w:r>
          </w:p>
        </w:tc>
        <w:tc>
          <w:tcPr>
            <w:tcW w:w="29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82,816</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78,793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900" w:type="dxa"/>
            <w:vAlign w:val="bottom"/>
          </w:tcPr>
          <w:p>
            <w:pPr>
              <w:jc w:val="right"/>
              <w:ind w:right="199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32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-479425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left="520" w:right="360"/>
        <w:spacing w:after="0" w:line="261" w:lineRule="auto"/>
        <w:rPr>
          <w:sz w:val="20"/>
          <w:szCs w:val="20"/>
          <w:color w:val="auto"/>
        </w:rPr>
      </w:pPr>
      <w:r>
        <w:rPr>
          <w:rFonts w:ascii="Arial" w:cs="Arial" w:eastAsia="Arial" w:hAnsi="Arial"/>
          <w:sz w:val="18"/>
          <w:szCs w:val="18"/>
          <w:color w:val="auto"/>
        </w:rPr>
        <w:t>Changes to the allowance for doubtful accounts and sales reserves during the three and six months ended June 30, 2022 and 2021, consist of the following (in thousands):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6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21"/>
        </w:trPr>
        <w:tc>
          <w:tcPr>
            <w:tcW w:w="48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84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960" w:type="dxa"/>
            <w:vAlign w:val="bottom"/>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4,161</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3,931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3,791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4,224</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ind w:left="100"/>
              <w:spacing w:after="0" w:line="202" w:lineRule="exact"/>
              <w:rPr>
                <w:sz w:val="20"/>
                <w:szCs w:val="20"/>
                <w:color w:val="auto"/>
              </w:rPr>
            </w:pPr>
            <w:r>
              <w:rPr>
                <w:rFonts w:ascii="Arial" w:cs="Arial" w:eastAsia="Arial" w:hAnsi="Arial"/>
                <w:sz w:val="18"/>
                <w:szCs w:val="18"/>
                <w:color w:val="auto"/>
              </w:rPr>
              <w:t>Charges to bad debt and sales reserves</w:t>
            </w:r>
          </w:p>
        </w:tc>
        <w:tc>
          <w:tcPr>
            <w:tcW w:w="9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1,936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1,706</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Write-offs, net</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(569 )</w:t>
            </w: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7"/>
              </w:rPr>
              <w:t>(353 )</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(1,431 )</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(1,712 )</w:t>
            </w:r>
          </w:p>
        </w:tc>
      </w:tr>
      <w:tr>
        <w:trPr>
          <w:trHeight w:val="196"/>
        </w:trPr>
        <w:tc>
          <w:tcPr>
            <w:tcW w:w="48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Balance at end of period</w:t>
            </w:r>
          </w:p>
        </w:tc>
        <w:tc>
          <w:tcPr>
            <w:tcW w:w="960" w:type="dxa"/>
            <w:vAlign w:val="bottom"/>
            <w:tcBorders>
              <w:top w:val="single" w:sz="8" w:color="auto"/>
              <w:bottom w:val="single" w:sz="8" w:color="auto"/>
            </w:tcBorders>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4,296</w:t>
            </w:r>
          </w:p>
        </w:tc>
        <w:tc>
          <w:tcPr>
            <w:tcW w:w="22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4,218</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4,296</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4,218</w:t>
            </w:r>
          </w:p>
        </w:tc>
        <w:tc>
          <w:tcPr>
            <w:tcW w:w="100" w:type="dxa"/>
            <w:vAlign w:val="bottom"/>
            <w:tcBorders>
              <w:top w:val="single" w:sz="8" w:color="CFF0FC"/>
            </w:tcBorders>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-159385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99"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as of June 30, 2022 and December 31, 2021, consist of the following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service fees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7,107</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8,623</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Prepaid software and equipment maintenance</w:t>
            </w: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4,991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7,593</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SaaS costs</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5,909</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Non-trade receivables</w:t>
            </w: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8,321</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insurance</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4,416</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11,489</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11,319</w:t>
            </w:r>
          </w:p>
        </w:tc>
        <w:tc>
          <w:tcPr>
            <w:tcW w:w="100" w:type="dxa"/>
            <w:vAlign w:val="bottom"/>
          </w:tcPr>
          <w:p>
            <w:pPr>
              <w:spacing w:after="0"/>
              <w:rPr>
                <w:sz w:val="17"/>
                <w:szCs w:val="17"/>
                <w:color w:val="auto"/>
              </w:rPr>
            </w:pPr>
          </w:p>
        </w:tc>
      </w:tr>
      <w:tr>
        <w:trPr>
          <w:trHeight w:val="236"/>
        </w:trPr>
        <w:tc>
          <w:tcPr>
            <w:tcW w:w="7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30,640</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46,181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SOFTWARE, EQUIPMENT, AND PROPERTY</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Software, equipment, and property as of June 30, 2022 and December 31, 2021,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Software, licenses and database</w:t>
            </w:r>
          </w:p>
        </w:tc>
        <w:tc>
          <w:tcPr>
            <w:tcW w:w="28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157,077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140,692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33,215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34,880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equipment</w:t>
            </w:r>
          </w:p>
        </w:tc>
        <w:tc>
          <w:tcPr>
            <w:tcW w:w="2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32,544</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Building and land</w:t>
            </w: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4,910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Furniture and other equipment</w:t>
            </w:r>
          </w:p>
        </w:tc>
        <w:tc>
          <w:tcPr>
            <w:tcW w:w="28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3,241</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tcPr>
          <w:p>
            <w:pPr>
              <w:ind w:left="180"/>
              <w:spacing w:after="0" w:line="196" w:lineRule="exact"/>
              <w:rPr>
                <w:sz w:val="20"/>
                <w:szCs w:val="20"/>
                <w:color w:val="auto"/>
              </w:rPr>
            </w:pPr>
            <w:r>
              <w:rPr>
                <w:rFonts w:ascii="Arial" w:cs="Arial" w:eastAsia="Arial" w:hAnsi="Arial"/>
                <w:sz w:val="18"/>
                <w:szCs w:val="18"/>
                <w:color w:val="auto"/>
              </w:rPr>
              <w:t>Total software, equipment, and property</w:t>
            </w: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230,987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217,460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(87,358 )</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(81,615 )</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Net software, equipment, and property</w:t>
            </w:r>
          </w:p>
        </w:tc>
        <w:tc>
          <w:tcPr>
            <w:tcW w:w="28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143,629</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135,845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40" w:type="dxa"/>
            <w:vAlign w:val="bottom"/>
            <w:vMerge w:val="restart"/>
          </w:tcPr>
          <w:p>
            <w:pPr>
              <w:jc w:val="right"/>
              <w:ind w:right="183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-896620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-896620</wp:posOffset>
            </wp:positionV>
            <wp:extent cx="596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-630555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-630555</wp:posOffset>
            </wp:positionV>
            <wp:extent cx="59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jc w:val="both"/>
        <w:ind w:left="512" w:right="260"/>
        <w:spacing w:after="0" w:line="248" w:lineRule="auto"/>
        <w:rPr>
          <w:sz w:val="20"/>
          <w:szCs w:val="20"/>
          <w:color w:val="auto"/>
        </w:rPr>
      </w:pPr>
      <w:r>
        <w:rPr>
          <w:rFonts w:ascii="Arial" w:cs="Arial" w:eastAsia="Arial" w:hAnsi="Arial"/>
          <w:sz w:val="18"/>
          <w:szCs w:val="18"/>
          <w:color w:val="auto"/>
        </w:rPr>
        <w:t>Depreciation and amortization expense related to software, equipment and property was $6.7 million and $5.3 million for the three months ended June 30, 2022 and 2021, respectively. Depreciation and amortization expense related to software, equipment and property was $13.5 million and $10.5 million for the six months ended June 30, 2022 and 2021, respectively.</w:t>
      </w:r>
    </w:p>
    <w:p>
      <w:pPr>
        <w:spacing w:after="0" w:line="70" w:lineRule="exact"/>
        <w:rPr>
          <w:sz w:val="20"/>
          <w:szCs w:val="20"/>
          <w:color w:val="auto"/>
        </w:rPr>
      </w:pPr>
    </w:p>
    <w:p>
      <w:pPr>
        <w:ind w:left="1012" w:hanging="503"/>
        <w:spacing w:after="0"/>
        <w:tabs>
          <w:tab w:leader="none" w:pos="101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left="512" w:right="260"/>
        <w:spacing w:after="0" w:line="248" w:lineRule="auto"/>
        <w:rPr>
          <w:sz w:val="20"/>
          <w:szCs w:val="20"/>
          <w:color w:val="auto"/>
        </w:rPr>
      </w:pPr>
      <w:r>
        <w:rPr>
          <w:rFonts w:ascii="Arial" w:cs="Arial" w:eastAsia="Arial" w:hAnsi="Arial"/>
          <w:sz w:val="18"/>
          <w:szCs w:val="18"/>
          <w:color w:val="auto"/>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spacing w:after="0" w:line="74" w:lineRule="exact"/>
        <w:rPr>
          <w:sz w:val="20"/>
          <w:szCs w:val="20"/>
          <w:color w:val="auto"/>
        </w:rPr>
      </w:pPr>
    </w:p>
    <w:p>
      <w:pPr>
        <w:ind w:left="512"/>
        <w:spacing w:after="0"/>
        <w:rPr>
          <w:sz w:val="20"/>
          <w:szCs w:val="20"/>
          <w:color w:val="auto"/>
        </w:rPr>
      </w:pPr>
      <w:r>
        <w:rPr>
          <w:rFonts w:ascii="Arial" w:cs="Arial" w:eastAsia="Arial" w:hAnsi="Arial"/>
          <w:sz w:val="18"/>
          <w:szCs w:val="18"/>
          <w:color w:val="auto"/>
        </w:rPr>
        <w:t>The components of lease expense for the three and six months ended June 30, 2022 and 2021 were as follows (in thousands):</w:t>
      </w:r>
    </w:p>
    <w:p>
      <w:pPr>
        <w:spacing w:after="0" w:line="190" w:lineRule="exact"/>
        <w:rPr>
          <w:sz w:val="20"/>
          <w:szCs w:val="20"/>
          <w:color w:val="auto"/>
        </w:rPr>
      </w:pPr>
    </w:p>
    <w:tbl>
      <w:tblPr>
        <w:tblLayout w:type="fixed"/>
        <w:tblInd w:w="572"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7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For the Three Months Ended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2"/>
              </w:rPr>
              <w:t>For the Six Months Ended</w:t>
            </w:r>
          </w:p>
        </w:tc>
        <w:tc>
          <w:tcPr>
            <w:tcW w:w="100" w:type="dxa"/>
            <w:vAlign w:val="bottom"/>
          </w:tcPr>
          <w:p>
            <w:pPr>
              <w:spacing w:after="0"/>
              <w:rPr>
                <w:sz w:val="17"/>
                <w:szCs w:val="17"/>
                <w:color w:val="auto"/>
              </w:rPr>
            </w:pPr>
          </w:p>
        </w:tc>
      </w:tr>
      <w:tr>
        <w:trPr>
          <w:trHeight w:val="221"/>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1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costs</w:t>
            </w:r>
          </w:p>
        </w:tc>
        <w:tc>
          <w:tcPr>
            <w:tcW w:w="900" w:type="dxa"/>
            <w:vAlign w:val="bottom"/>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2,108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4,542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5,674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9,136</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574</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1,063</w:t>
            </w:r>
          </w:p>
        </w:tc>
        <w:tc>
          <w:tcPr>
            <w:tcW w:w="100" w:type="dxa"/>
            <w:vAlign w:val="bottom"/>
          </w:tcPr>
          <w:p>
            <w:pPr>
              <w:spacing w:after="0"/>
              <w:rPr>
                <w:sz w:val="17"/>
                <w:szCs w:val="17"/>
                <w:color w:val="auto"/>
              </w:rPr>
            </w:pPr>
          </w:p>
        </w:tc>
      </w:tr>
      <w:tr>
        <w:trPr>
          <w:trHeight w:val="236"/>
        </w:trPr>
        <w:tc>
          <w:tcPr>
            <w:tcW w:w="51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lease costs</w:t>
            </w:r>
          </w:p>
        </w:tc>
        <w:tc>
          <w:tcPr>
            <w:tcW w:w="900" w:type="dxa"/>
            <w:vAlign w:val="bottom"/>
            <w:tcBorders>
              <w:bottom w:val="single" w:sz="8" w:color="auto"/>
            </w:tcBorders>
            <w:shd w:val="clear" w:color="auto" w:fill="CFF0FC"/>
          </w:tcPr>
          <w:p>
            <w:pPr>
              <w:jc w:val="right"/>
              <w:ind w:right="71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2,682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5,003</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7,085</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10,199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-25400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-25400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-7620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-25400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-7620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left="512" w:right="480"/>
        <w:spacing w:after="0" w:line="261" w:lineRule="auto"/>
        <w:rPr>
          <w:sz w:val="20"/>
          <w:szCs w:val="20"/>
          <w:color w:val="auto"/>
        </w:rPr>
      </w:pPr>
      <w:r>
        <w:rPr>
          <w:rFonts w:ascii="Arial" w:cs="Arial" w:eastAsia="Arial" w:hAnsi="Arial"/>
          <w:sz w:val="18"/>
          <w:szCs w:val="18"/>
          <w:color w:val="auto"/>
        </w:rPr>
        <w:t>Supplemental cash flow and other information related to leases for the three and six months ended June 30, 2022 and 2021 were as follows (in thousands):</w:t>
      </w:r>
    </w:p>
    <w:p>
      <w:pPr>
        <w:spacing w:after="0" w:line="257" w:lineRule="exact"/>
        <w:rPr>
          <w:sz w:val="20"/>
          <w:szCs w:val="20"/>
          <w:color w:val="auto"/>
        </w:rPr>
      </w:pPr>
    </w:p>
    <w:tbl>
      <w:tblPr>
        <w:tblLayout w:type="fixed"/>
        <w:tblInd w:w="572"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For the Three Months Ended</w:t>
            </w:r>
          </w:p>
        </w:tc>
        <w:tc>
          <w:tcPr>
            <w:tcW w:w="260" w:type="dxa"/>
            <w:vAlign w:val="bottom"/>
          </w:tcPr>
          <w:p>
            <w:pPr>
              <w:spacing w:after="0"/>
              <w:rPr>
                <w:sz w:val="17"/>
                <w:szCs w:val="17"/>
                <w:color w:val="auto"/>
              </w:rPr>
            </w:pPr>
          </w:p>
        </w:tc>
        <w:tc>
          <w:tcPr>
            <w:tcW w:w="21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For the Six Months Ended</w:t>
            </w:r>
          </w:p>
        </w:tc>
        <w:tc>
          <w:tcPr>
            <w:tcW w:w="100" w:type="dxa"/>
            <w:vAlign w:val="bottom"/>
          </w:tcPr>
          <w:p>
            <w:pPr>
              <w:spacing w:after="0"/>
              <w:rPr>
                <w:sz w:val="17"/>
                <w:szCs w:val="17"/>
                <w:color w:val="auto"/>
              </w:rPr>
            </w:pPr>
          </w:p>
        </w:tc>
      </w:tr>
      <w:tr>
        <w:trPr>
          <w:trHeight w:val="221"/>
        </w:trPr>
        <w:tc>
          <w:tcPr>
            <w:tcW w:w="5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88"/>
              </w:rPr>
              <w:t>June 30,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7"/>
                <w:szCs w:val="17"/>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payments for operating leases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3,230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3,030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5,746</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5,998</w:t>
            </w:r>
          </w:p>
        </w:tc>
        <w:tc>
          <w:tcPr>
            <w:tcW w:w="100" w:type="dxa"/>
            <w:vAlign w:val="bottom"/>
            <w:shd w:val="clear" w:color="auto" w:fill="CFF0FC"/>
          </w:tcPr>
          <w:p>
            <w:pPr>
              <w:spacing w:after="0"/>
              <w:rPr>
                <w:sz w:val="17"/>
                <w:szCs w:val="17"/>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Operating lease assets obtained in exchange for lease liabilities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80" w:lineRule="exact"/>
        <w:rPr>
          <w:sz w:val="20"/>
          <w:szCs w:val="20"/>
          <w:color w:val="auto"/>
        </w:rPr>
      </w:pPr>
    </w:p>
    <w:p>
      <w:pPr>
        <w:ind w:left="512" w:hanging="512"/>
        <w:spacing w:after="0"/>
        <w:tabs>
          <w:tab w:leader="none" w:pos="51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07"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—Goodwill was recorded in connection with business acquisitions.</w:t>
      </w:r>
    </w:p>
    <w:p>
      <w:pPr>
        <w:spacing w:after="0" w:line="103"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No goodwill impairments were recorded during the six months ended June 30, 2022 and 2021.</w:t>
      </w:r>
    </w:p>
    <w:p>
      <w:pPr>
        <w:spacing w:after="0" w:line="103" w:lineRule="exact"/>
        <w:rPr>
          <w:rFonts w:ascii="Arial" w:cs="Arial" w:eastAsia="Arial" w:hAnsi="Arial"/>
          <w:sz w:val="18"/>
          <w:szCs w:val="18"/>
          <w:b w:val="1"/>
          <w:bCs w:val="1"/>
          <w:color w:val="auto"/>
        </w:rPr>
      </w:pPr>
    </w:p>
    <w:p>
      <w:pPr>
        <w:ind w:left="512"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31, 2021, the Company performed its annual impairment assessment as of September 30, 2021, which indicated no impairment and there was no change to the carrying amount of goodwill.</w:t>
      </w:r>
    </w:p>
    <w:p>
      <w:pPr>
        <w:spacing w:after="0" w:line="62"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Changes in the net carrying amount of goodwill during the six months ended June 30, 2022 were as of follows:</w:t>
      </w:r>
    </w:p>
    <w:p>
      <w:pPr>
        <w:spacing w:after="0" w:line="100"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Net</w:t>
      </w:r>
    </w:p>
    <w:p>
      <w:pPr>
        <w:spacing w:after="0" w:line="11"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Carrying</w:t>
      </w:r>
    </w:p>
    <w:p>
      <w:pPr>
        <w:jc w:val="center"/>
        <w:ind w:left="904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-3175</wp:posOffset>
            </wp:positionV>
            <wp:extent cx="12687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185" w:lineRule="exact"/>
        <w:rPr>
          <w:sz w:val="20"/>
          <w:szCs w:val="20"/>
          <w:color w:val="auto"/>
        </w:rPr>
      </w:pPr>
    </w:p>
    <w:tbl>
      <w:tblPr>
        <w:tblLayout w:type="fixed"/>
        <w:tblInd w:w="572" w:type="dxa"/>
        <w:tblCellMar>
          <w:top w:w="0" w:type="dxa"/>
          <w:left w:w="0" w:type="dxa"/>
          <w:bottom w:w="0" w:type="dxa"/>
          <w:right w:w="0" w:type="dxa"/>
        </w:tblCellMar>
      </w:tblPr>
      <w:tr>
        <w:trPr>
          <w:trHeight w:val="207"/>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1,466,884</w:t>
            </w:r>
          </w:p>
        </w:tc>
        <w:tc>
          <w:tcPr>
            <w:tcW w:w="100" w:type="dxa"/>
            <w:vAlign w:val="bottom"/>
            <w:shd w:val="clear" w:color="auto" w:fill="CFF0FC"/>
          </w:tcPr>
          <w:p>
            <w:pPr>
              <w:spacing w:after="0"/>
              <w:rPr>
                <w:sz w:val="18"/>
                <w:szCs w:val="18"/>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Acquisition of Safekeep, Inc.</w:t>
            </w: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27,383</w:t>
            </w:r>
          </w:p>
        </w:tc>
        <w:tc>
          <w:tcPr>
            <w:tcW w:w="100" w:type="dxa"/>
            <w:vAlign w:val="bottom"/>
          </w:tcPr>
          <w:p>
            <w:pPr>
              <w:spacing w:after="0"/>
              <w:rPr>
                <w:sz w:val="17"/>
                <w:szCs w:val="17"/>
                <w:color w:val="auto"/>
              </w:rPr>
            </w:pPr>
          </w:p>
        </w:tc>
      </w:tr>
      <w:tr>
        <w:trPr>
          <w:trHeight w:val="196"/>
        </w:trPr>
        <w:tc>
          <w:tcPr>
            <w:tcW w:w="8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June 30, 2022</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1,494,267</w:t>
            </w:r>
          </w:p>
        </w:tc>
        <w:tc>
          <w:tcPr>
            <w:tcW w:w="10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—The Company’s intangible assets are primarily the result of business acquisitions.</w:t>
      </w:r>
    </w:p>
    <w:p>
      <w:pPr>
        <w:spacing w:after="0" w:line="104" w:lineRule="exact"/>
        <w:rPr>
          <w:sz w:val="20"/>
          <w:szCs w:val="20"/>
          <w:color w:val="auto"/>
        </w:rPr>
      </w:pPr>
    </w:p>
    <w:p>
      <w:pPr>
        <w:ind w:left="512"/>
        <w:spacing w:after="0"/>
        <w:rPr>
          <w:sz w:val="20"/>
          <w:szCs w:val="20"/>
          <w:color w:val="auto"/>
        </w:rPr>
      </w:pPr>
      <w:r>
        <w:rPr>
          <w:rFonts w:ascii="Arial" w:cs="Arial" w:eastAsia="Arial" w:hAnsi="Arial"/>
          <w:sz w:val="18"/>
          <w:szCs w:val="18"/>
          <w:color w:val="auto"/>
        </w:rPr>
        <w:t>During the three and six months ended June 30, 2022 and 2021, the Company did not record an impairment charge.</w:t>
      </w:r>
    </w:p>
    <w:p>
      <w:pPr>
        <w:spacing w:after="0" w:line="212"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71" w:right="339" w:bottom="1440" w:gutter="0" w:footer="0" w:header="0"/>
        </w:sectPr>
      </w:pPr>
    </w:p>
    <w:bookmarkStart w:id="19" w:name="page20"/>
    <w:bookmarkEnd w:id="19"/>
    <w:p>
      <w:pPr>
        <w:ind w:left="520" w:right="240"/>
        <w:spacing w:after="0" w:line="261" w:lineRule="auto"/>
        <w:rPr>
          <w:sz w:val="20"/>
          <w:szCs w:val="20"/>
          <w:color w:val="auto"/>
        </w:rPr>
      </w:pPr>
      <w:r>
        <w:rPr>
          <w:rFonts w:ascii="Arial" w:cs="Arial" w:eastAsia="Arial" w:hAnsi="Arial"/>
          <w:sz w:val="18"/>
          <w:szCs w:val="18"/>
          <w:color w:val="auto"/>
        </w:rPr>
        <w:t>During February 2022, the Company recorded $4.8 million of acquired technology intangible assets as a result of the acquisition of Safekeep (see Note 4).</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340" w:type="dxa"/>
            <w:vAlign w:val="bottom"/>
            <w:gridSpan w:val="5"/>
          </w:tcPr>
          <w:p>
            <w:pPr>
              <w:jc w:val="right"/>
              <w:ind w:right="230"/>
              <w:spacing w:after="0"/>
              <w:rPr>
                <w:sz w:val="20"/>
                <w:szCs w:val="20"/>
                <w:color w:val="auto"/>
              </w:rPr>
            </w:pPr>
            <w:r>
              <w:rPr>
                <w:rFonts w:ascii="Arial" w:cs="Arial" w:eastAsia="Arial" w:hAnsi="Arial"/>
                <w:sz w:val="18"/>
                <w:szCs w:val="18"/>
                <w:color w:val="auto"/>
                <w:w w:val="88"/>
              </w:rPr>
              <w:t>The intangible assets balance as of June 30, 2022, is reflected below (in thousands):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Useful Life</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w w:val="93"/>
              </w:rPr>
              <w:t>Accumulated</w:t>
            </w:r>
          </w:p>
        </w:tc>
        <w:tc>
          <w:tcPr>
            <w:tcW w:w="140" w:type="dxa"/>
            <w:vAlign w:val="bottom"/>
          </w:tcPr>
          <w:p>
            <w:pPr>
              <w:spacing w:after="0"/>
              <w:rPr>
                <w:sz w:val="17"/>
                <w:szCs w:val="17"/>
                <w:color w:val="auto"/>
              </w:rPr>
            </w:pPr>
          </w:p>
        </w:tc>
        <w:tc>
          <w:tcPr>
            <w:tcW w:w="9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7"/>
                <w:szCs w:val="17"/>
                <w:color w:val="auto"/>
              </w:rPr>
            </w:pPr>
          </w:p>
        </w:tc>
      </w:tr>
      <w:tr>
        <w:trPr>
          <w:trHeight w:val="221"/>
        </w:trPr>
        <w:tc>
          <w:tcPr>
            <w:tcW w:w="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19"/>
                <w:szCs w:val="19"/>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r>
      <w:tr>
        <w:trPr>
          <w:trHeight w:val="196"/>
        </w:trPr>
        <w:tc>
          <w:tcPr>
            <w:tcW w:w="60" w:type="dxa"/>
            <w:vAlign w:val="bottom"/>
          </w:tcPr>
          <w:p>
            <w:pPr>
              <w:spacing w:after="0"/>
              <w:rPr>
                <w:sz w:val="17"/>
                <w:szCs w:val="17"/>
                <w:color w:val="auto"/>
              </w:rPr>
            </w:pPr>
          </w:p>
        </w:tc>
        <w:tc>
          <w:tcPr>
            <w:tcW w:w="38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Customer relationships</w:t>
            </w:r>
          </w:p>
        </w:tc>
        <w:tc>
          <w:tcPr>
            <w:tcW w:w="114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16–18</w:t>
            </w:r>
          </w:p>
        </w:tc>
        <w:tc>
          <w:tcPr>
            <w:tcW w:w="1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1,299,750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(373,963</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925,787</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color w:val="auto"/>
              </w:rPr>
              <w:t>Acquired technologies</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3"/>
              </w:rPr>
              <w:t>3–7</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187,955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(135,763 )</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52,192</w:t>
            </w:r>
          </w:p>
        </w:tc>
        <w:tc>
          <w:tcPr>
            <w:tcW w:w="1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0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Subtotal</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1,487,705</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(509,726</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977,979</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color w:val="auto"/>
              </w:rPr>
              <w:t>Trademarks—indefinite life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190,470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190,470</w:t>
            </w:r>
          </w:p>
        </w:tc>
        <w:tc>
          <w:tcPr>
            <w:tcW w:w="100" w:type="dxa"/>
            <w:vAlign w:val="bottom"/>
          </w:tcPr>
          <w:p>
            <w:pPr>
              <w:spacing w:after="0"/>
              <w:rPr>
                <w:sz w:val="17"/>
                <w:szCs w:val="17"/>
                <w:color w:val="auto"/>
              </w:rPr>
            </w:pPr>
          </w:p>
        </w:tc>
      </w:tr>
      <w:tr>
        <w:trPr>
          <w:trHeight w:val="236"/>
        </w:trPr>
        <w:tc>
          <w:tcPr>
            <w:tcW w:w="60" w:type="dxa"/>
            <w:vAlign w:val="bottom"/>
          </w:tcPr>
          <w:p>
            <w:pPr>
              <w:spacing w:after="0"/>
              <w:rPr>
                <w:sz w:val="20"/>
                <w:szCs w:val="20"/>
                <w:color w:val="auto"/>
              </w:rPr>
            </w:pPr>
          </w:p>
        </w:tc>
        <w:tc>
          <w:tcPr>
            <w:tcW w:w="3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1,678,175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(509,726</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1,168,449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intangible assets balance as of December 31, 2021, is reflected below (in thousands):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4"/>
              </w:rPr>
              <w:t>Carrying</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30"/>
              <w:spacing w:after="0" w:line="202" w:lineRule="exact"/>
              <w:rPr>
                <w:sz w:val="20"/>
                <w:szCs w:val="20"/>
                <w:color w:val="auto"/>
              </w:rPr>
            </w:pPr>
            <w:r>
              <w:rPr>
                <w:rFonts w:ascii="Arial" w:cs="Arial" w:eastAsia="Arial" w:hAnsi="Arial"/>
                <w:sz w:val="18"/>
                <w:szCs w:val="18"/>
                <w:b w:val="1"/>
                <w:bCs w:val="1"/>
                <w:color w:val="auto"/>
                <w:w w:val="93"/>
              </w:rPr>
              <w:t>Accumulated</w:t>
            </w:r>
          </w:p>
        </w:tc>
        <w:tc>
          <w:tcPr>
            <w:tcW w:w="140" w:type="dxa"/>
            <w:vAlign w:val="bottom"/>
          </w:tcPr>
          <w:p>
            <w:pPr>
              <w:spacing w:after="0"/>
              <w:rPr>
                <w:sz w:val="17"/>
                <w:szCs w:val="17"/>
                <w:color w:val="auto"/>
              </w:rPr>
            </w:pPr>
          </w:p>
        </w:tc>
        <w:tc>
          <w:tcPr>
            <w:tcW w:w="9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7"/>
                <w:szCs w:val="17"/>
                <w:color w:val="auto"/>
              </w:rPr>
            </w:pPr>
          </w:p>
        </w:tc>
      </w:tr>
      <w:tr>
        <w:trPr>
          <w:trHeight w:val="221"/>
        </w:trPr>
        <w:tc>
          <w:tcPr>
            <w:tcW w:w="37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19"/>
                <w:szCs w:val="19"/>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r>
      <w:tr>
        <w:trPr>
          <w:trHeight w:val="196"/>
        </w:trPr>
        <w:tc>
          <w:tcPr>
            <w:tcW w:w="37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Customer relationships</w:t>
            </w:r>
          </w:p>
        </w:tc>
        <w:tc>
          <w:tcPr>
            <w:tcW w:w="11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16–18</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1,299,750</w:t>
            </w:r>
          </w:p>
        </w:tc>
        <w:tc>
          <w:tcPr>
            <w:tcW w:w="3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(337,831</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961,919</w:t>
            </w: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Acquired technologies</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86"/>
              </w:rPr>
              <w:t>3–7</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183,164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(122,318 )</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60,846</w:t>
            </w:r>
          </w:p>
        </w:tc>
        <w:tc>
          <w:tcPr>
            <w:tcW w:w="100" w:type="dxa"/>
            <w:vAlign w:val="bottom"/>
          </w:tcPr>
          <w:p>
            <w:pPr>
              <w:spacing w:after="0"/>
              <w:rPr>
                <w:sz w:val="17"/>
                <w:szCs w:val="17"/>
                <w:color w:val="auto"/>
              </w:rPr>
            </w:pPr>
          </w:p>
        </w:tc>
      </w:tr>
      <w:tr>
        <w:trPr>
          <w:trHeight w:val="203"/>
        </w:trPr>
        <w:tc>
          <w:tcPr>
            <w:tcW w:w="37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Favorable lease terms</w:t>
            </w:r>
          </w:p>
        </w:tc>
        <w:tc>
          <w:tcPr>
            <w:tcW w:w="1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6</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(266 )</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700" w:type="dxa"/>
            <w:vAlign w:val="bottom"/>
          </w:tcPr>
          <w:p>
            <w:pPr>
              <w:ind w:left="360"/>
              <w:spacing w:after="0" w:line="196" w:lineRule="exact"/>
              <w:rPr>
                <w:sz w:val="20"/>
                <w:szCs w:val="20"/>
                <w:color w:val="auto"/>
              </w:rPr>
            </w:pPr>
            <w:r>
              <w:rPr>
                <w:rFonts w:ascii="Arial" w:cs="Arial" w:eastAsia="Arial" w:hAnsi="Arial"/>
                <w:sz w:val="18"/>
                <w:szCs w:val="18"/>
                <w:color w:val="auto"/>
              </w:rPr>
              <w:t>Subtotal</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1,483,194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(460,415 )</w:t>
            </w: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1,022,779</w:t>
            </w:r>
          </w:p>
        </w:tc>
        <w:tc>
          <w:tcPr>
            <w:tcW w:w="100" w:type="dxa"/>
            <w:vAlign w:val="bottom"/>
          </w:tcPr>
          <w:p>
            <w:pPr>
              <w:spacing w:after="0"/>
              <w:rPr>
                <w:sz w:val="17"/>
                <w:szCs w:val="17"/>
                <w:color w:val="auto"/>
              </w:rPr>
            </w:pPr>
          </w:p>
        </w:tc>
      </w:tr>
      <w:tr>
        <w:trPr>
          <w:trHeight w:val="203"/>
        </w:trPr>
        <w:tc>
          <w:tcPr>
            <w:tcW w:w="37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Trademarks—indefinite life</w:t>
            </w:r>
          </w:p>
        </w:tc>
        <w:tc>
          <w:tcPr>
            <w:tcW w:w="1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190,470</w:t>
            </w:r>
          </w:p>
        </w:tc>
        <w:tc>
          <w:tcPr>
            <w:tcW w:w="3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190,470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rPr>
              <w:t>Total intangible assets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1,673,664</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(460,415 )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1,213,249</w:t>
            </w:r>
          </w:p>
        </w:tc>
        <w:tc>
          <w:tcPr>
            <w:tcW w:w="10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-424815</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-424815</wp:posOffset>
            </wp:positionV>
            <wp:extent cx="596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-159385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5969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for intangible assets was $24.8 million and $24.7 million for the three months ended June 30, 2022 and 2021, respectively.</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intangible assets was $49.6 million and $49.3 million for the six months ended June 30, 2022 and 2021, respectively.</w:t>
      </w:r>
    </w:p>
    <w:p>
      <w:pPr>
        <w:spacing w:after="0" w:line="99"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color w:val="auto"/>
        </w:rPr>
        <w:t>Future amortization expense for the remainder of the year ended December 31, 2022 and the following four years ended December 31 and thereafter for intangible assets as of June 30, 2022, is as follows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87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680" w:type="dxa"/>
            <w:vAlign w:val="bottom"/>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49,637</w:t>
            </w:r>
          </w:p>
        </w:tc>
        <w:tc>
          <w:tcPr>
            <w:tcW w:w="100" w:type="dxa"/>
            <w:vAlign w:val="bottom"/>
            <w:shd w:val="clear" w:color="auto" w:fill="CFF0FC"/>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99,003</w:t>
            </w:r>
          </w:p>
        </w:tc>
        <w:tc>
          <w:tcPr>
            <w:tcW w:w="100" w:type="dxa"/>
            <w:vAlign w:val="bottom"/>
          </w:tcPr>
          <w:p>
            <w:pPr>
              <w:spacing w:after="0"/>
              <w:rPr>
                <w:sz w:val="17"/>
                <w:szCs w:val="17"/>
                <w:color w:val="auto"/>
              </w:rPr>
            </w:pPr>
          </w:p>
        </w:tc>
      </w:tr>
      <w:tr>
        <w:trPr>
          <w:trHeight w:val="203"/>
        </w:trPr>
        <w:tc>
          <w:tcPr>
            <w:tcW w:w="8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6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81,417</w:t>
            </w:r>
          </w:p>
        </w:tc>
        <w:tc>
          <w:tcPr>
            <w:tcW w:w="100" w:type="dxa"/>
            <w:vAlign w:val="bottom"/>
            <w:shd w:val="clear" w:color="auto" w:fill="CFF0FC"/>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72,949</w:t>
            </w:r>
          </w:p>
        </w:tc>
        <w:tc>
          <w:tcPr>
            <w:tcW w:w="100" w:type="dxa"/>
            <w:vAlign w:val="bottom"/>
          </w:tcPr>
          <w:p>
            <w:pPr>
              <w:spacing w:after="0"/>
              <w:rPr>
                <w:sz w:val="17"/>
                <w:szCs w:val="17"/>
                <w:color w:val="auto"/>
              </w:rPr>
            </w:pPr>
          </w:p>
        </w:tc>
      </w:tr>
      <w:tr>
        <w:trPr>
          <w:trHeight w:val="203"/>
        </w:trPr>
        <w:tc>
          <w:tcPr>
            <w:tcW w:w="8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6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72,949</w:t>
            </w:r>
          </w:p>
        </w:tc>
        <w:tc>
          <w:tcPr>
            <w:tcW w:w="100" w:type="dxa"/>
            <w:vAlign w:val="bottom"/>
            <w:shd w:val="clear" w:color="auto" w:fill="CFF0FC"/>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602,024</w:t>
            </w:r>
          </w:p>
        </w:tc>
        <w:tc>
          <w:tcPr>
            <w:tcW w:w="100" w:type="dxa"/>
            <w:vAlign w:val="bottom"/>
          </w:tcPr>
          <w:p>
            <w:pPr>
              <w:spacing w:after="0"/>
              <w:rPr>
                <w:sz w:val="17"/>
                <w:szCs w:val="17"/>
                <w:color w:val="auto"/>
              </w:rPr>
            </w:pPr>
          </w:p>
        </w:tc>
      </w:tr>
      <w:tr>
        <w:trPr>
          <w:trHeight w:val="236"/>
        </w:trPr>
        <w:tc>
          <w:tcPr>
            <w:tcW w:w="8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977,979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as of June 30, 2022 and December 31, 2021,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Compensation</w:t>
            </w:r>
          </w:p>
        </w:tc>
        <w:tc>
          <w:tcPr>
            <w:tcW w:w="36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38,589</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5,335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Software license agreement</w:t>
            </w:r>
          </w:p>
        </w:tc>
        <w:tc>
          <w:tcPr>
            <w:tcW w:w="3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Royalties and licenses</w:t>
            </w: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3,731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 insurance benefits</w:t>
            </w:r>
          </w:p>
        </w:tc>
        <w:tc>
          <w:tcPr>
            <w:tcW w:w="3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Sales tax</w:t>
            </w: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2,646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6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2,472</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5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396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60,641</w:t>
            </w:r>
          </w:p>
        </w:tc>
        <w:tc>
          <w:tcPr>
            <w:tcW w:w="4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66,691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80" w:type="dxa"/>
            <w:vAlign w:val="bottom"/>
            <w:vMerge w:val="restart"/>
          </w:tcPr>
          <w:p>
            <w:pPr>
              <w:jc w:val="right"/>
              <w:ind w:right="1970"/>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80" w:type="dxa"/>
            <w:vAlign w:val="bottom"/>
            <w:tcBorders>
              <w:bottom w:val="single" w:sz="8" w:color="9A9A9A"/>
            </w:tcBorders>
          </w:tcPr>
          <w:p>
            <w:pPr>
              <w:spacing w:after="0"/>
              <w:rPr>
                <w:sz w:val="6"/>
                <w:szCs w:val="6"/>
                <w:color w:val="auto"/>
              </w:rPr>
            </w:pPr>
          </w:p>
        </w:tc>
        <w:tc>
          <w:tcPr>
            <w:tcW w:w="3520" w:type="dxa"/>
            <w:vAlign w:val="bottom"/>
            <w:tcBorders>
              <w:bottom w:val="single" w:sz="8" w:color="9A9A9A"/>
            </w:tcBorders>
          </w:tcPr>
          <w:p>
            <w:pPr>
              <w:spacing w:after="0"/>
              <w:rPr>
                <w:sz w:val="6"/>
                <w:szCs w:val="6"/>
                <w:color w:val="auto"/>
              </w:rPr>
            </w:pPr>
          </w:p>
        </w:tc>
        <w:tc>
          <w:tcPr>
            <w:tcW w:w="36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-622300</wp:posOffset>
            </wp:positionV>
            <wp:extent cx="685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-622300</wp:posOffset>
            </wp:positionV>
            <wp:extent cx="596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liabilities as of June 30, 2022 and December 31, 2021, consist of the following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7"/>
                <w:szCs w:val="17"/>
                <w:color w:val="auto"/>
              </w:rPr>
            </w:pPr>
          </w:p>
        </w:tc>
      </w:tr>
      <w:tr>
        <w:trPr>
          <w:trHeight w:val="221"/>
        </w:trPr>
        <w:tc>
          <w:tcPr>
            <w:tcW w:w="718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revenue-non-current</w:t>
            </w:r>
          </w:p>
        </w:tc>
        <w:tc>
          <w:tcPr>
            <w:tcW w:w="1080" w:type="dxa"/>
            <w:vAlign w:val="bottom"/>
            <w:shd w:val="clear" w:color="auto" w:fill="CFF0FC"/>
          </w:tcPr>
          <w:p>
            <w:pPr>
              <w:jc w:val="right"/>
              <w:ind w:right="890"/>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1,444</w:t>
            </w:r>
          </w:p>
        </w:tc>
        <w:tc>
          <w:tcPr>
            <w:tcW w:w="5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1,574</w:t>
            </w:r>
          </w:p>
        </w:tc>
        <w:tc>
          <w:tcPr>
            <w:tcW w:w="100" w:type="dxa"/>
            <w:vAlign w:val="bottom"/>
            <w:shd w:val="clear" w:color="auto" w:fill="CFF0FC"/>
          </w:tcPr>
          <w:p>
            <w:pPr>
              <w:spacing w:after="0"/>
              <w:rPr>
                <w:sz w:val="17"/>
                <w:szCs w:val="17"/>
                <w:color w:val="auto"/>
              </w:rPr>
            </w:pPr>
          </w:p>
        </w:tc>
      </w:tr>
      <w:tr>
        <w:trPr>
          <w:trHeight w:val="202"/>
        </w:trPr>
        <w:tc>
          <w:tcPr>
            <w:tcW w:w="7180" w:type="dxa"/>
            <w:vAlign w:val="bottom"/>
          </w:tcPr>
          <w:p>
            <w:pPr>
              <w:spacing w:after="0" w:line="202" w:lineRule="exact"/>
              <w:rPr>
                <w:sz w:val="20"/>
                <w:szCs w:val="20"/>
                <w:color w:val="auto"/>
              </w:rPr>
            </w:pPr>
            <w:r>
              <w:rPr>
                <w:rFonts w:ascii="Arial" w:cs="Arial" w:eastAsia="Arial" w:hAnsi="Arial"/>
                <w:sz w:val="18"/>
                <w:szCs w:val="18"/>
                <w:color w:val="auto"/>
              </w:rPr>
              <w:t>Software license agreement</w:t>
            </w:r>
          </w:p>
        </w:tc>
        <w:tc>
          <w:tcPr>
            <w:tcW w:w="10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1,215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4,211</w:t>
            </w:r>
          </w:p>
        </w:tc>
        <w:tc>
          <w:tcPr>
            <w:tcW w:w="100" w:type="dxa"/>
            <w:vAlign w:val="bottom"/>
          </w:tcPr>
          <w:p>
            <w:pPr>
              <w:spacing w:after="0"/>
              <w:rPr>
                <w:sz w:val="17"/>
                <w:szCs w:val="17"/>
                <w:color w:val="auto"/>
              </w:rPr>
            </w:pPr>
          </w:p>
        </w:tc>
      </w:tr>
      <w:tr>
        <w:trPr>
          <w:trHeight w:val="203"/>
        </w:trPr>
        <w:tc>
          <w:tcPr>
            <w:tcW w:w="7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Contingent consideration</w:t>
            </w:r>
          </w:p>
        </w:tc>
        <w:tc>
          <w:tcPr>
            <w:tcW w:w="10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80" w:type="dxa"/>
            <w:vAlign w:val="bottom"/>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88"/>
              </w:rPr>
              <w:t>2,859</w:t>
            </w: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5,785</w:t>
            </w:r>
          </w:p>
        </w:tc>
        <w:tc>
          <w:tcPr>
            <w:tcW w:w="100" w:type="dxa"/>
            <w:vAlign w:val="bottom"/>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07" w:lineRule="exact"/>
        <w:rPr>
          <w:rFonts w:ascii="Arial" w:cs="Arial" w:eastAsia="Arial" w:hAnsi="Arial"/>
          <w:sz w:val="18"/>
          <w:szCs w:val="18"/>
          <w:b w:val="1"/>
          <w:bCs w:val="1"/>
          <w:color w:val="auto"/>
        </w:rPr>
      </w:pPr>
    </w:p>
    <w:p>
      <w:pPr>
        <w:ind w:left="520" w:right="780" w:firstLine="1"/>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On September 21, 2021, CCC Intelligent Solutions Inc., an indirect wholly-owned subsidiary of the Company, together with certain of the Company’s subsidiaries acting as guarantors entered into a credit agreement (the “2021 Credit Agreement”).</w:t>
      </w:r>
    </w:p>
    <w:p>
      <w:pPr>
        <w:spacing w:after="0" w:line="62" w:lineRule="exact"/>
        <w:rPr>
          <w:rFonts w:ascii="Arial" w:cs="Arial" w:eastAsia="Arial" w:hAnsi="Arial"/>
          <w:sz w:val="18"/>
          <w:szCs w:val="18"/>
          <w:b w:val="1"/>
          <w:bCs w:val="1"/>
          <w:color w:val="auto"/>
        </w:rPr>
      </w:pPr>
    </w:p>
    <w:p>
      <w:pPr>
        <w:ind w:left="520" w:right="220" w:firstLine="1"/>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2021 Credit Agreement replaced the Company’s 2017 First Lien Credit Agreement (the “First Lien Credit Agreement”), dated as of April 27, 2017, as amended as of February 14, 2020.</w:t>
      </w:r>
    </w:p>
    <w:p>
      <w:pPr>
        <w:spacing w:after="0" w:line="6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proceeds of the 2021 Credit Agreement were used to repay all outstanding borrowings under the First Lien Credit Agreement.</w:t>
      </w:r>
    </w:p>
    <w:p>
      <w:pPr>
        <w:spacing w:after="0" w:line="103" w:lineRule="exact"/>
        <w:rPr>
          <w:rFonts w:ascii="Arial" w:cs="Arial" w:eastAsia="Arial" w:hAnsi="Arial"/>
          <w:sz w:val="18"/>
          <w:szCs w:val="18"/>
          <w:b w:val="1"/>
          <w:bCs w:val="1"/>
          <w:color w:val="auto"/>
        </w:rPr>
      </w:pPr>
    </w:p>
    <w:p>
      <w:pPr>
        <w:ind w:left="520" w:right="60"/>
        <w:spacing w:after="0" w:line="262" w:lineRule="auto"/>
        <w:rPr>
          <w:rFonts w:ascii="Arial" w:cs="Arial" w:eastAsia="Arial" w:hAnsi="Arial"/>
          <w:sz w:val="18"/>
          <w:szCs w:val="18"/>
          <w:b w:val="1"/>
          <w:bCs w:val="1"/>
          <w:color w:val="auto"/>
        </w:rPr>
      </w:pPr>
      <w:r>
        <w:rPr>
          <w:rFonts w:ascii="Arial" w:cs="Arial" w:eastAsia="Arial" w:hAnsi="Arial"/>
          <w:sz w:val="17"/>
          <w:szCs w:val="17"/>
          <w:i w:val="1"/>
          <w:iCs w:val="1"/>
          <w:color w:val="auto"/>
        </w:rPr>
        <w:t>2021 Credit Agreement</w:t>
      </w:r>
      <w:r>
        <w:rPr>
          <w:rFonts w:ascii="Arial" w:cs="Arial" w:eastAsia="Arial" w:hAnsi="Arial"/>
          <w:sz w:val="17"/>
          <w:szCs w:val="17"/>
          <w:color w:val="auto"/>
        </w:rPr>
        <w:t>—The 2021 Credit Agreement consists of an $800.0 million term loan (“Term B Loan”) and a revolving credit facility for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of $250.0 million (the “2021 Revolving Credit Facility”). The 2021 Revolving Credit Facility has a sublimit of $75.0 million for letters of credit. The Company received proceeds of $798.0 million, net of debt discount of $2.0 million, related to the Term B Loan. At June 30, 2022 and December 31, 2021, the unamortized debt discount was $1.8 million and $1.9 million respectively.</w:t>
      </w:r>
    </w:p>
    <w:p>
      <w:pPr>
        <w:spacing w:after="0" w:line="64" w:lineRule="exact"/>
        <w:rPr>
          <w:rFonts w:ascii="Arial" w:cs="Arial" w:eastAsia="Arial" w:hAnsi="Arial"/>
          <w:sz w:val="18"/>
          <w:szCs w:val="18"/>
          <w:b w:val="1"/>
          <w:bCs w:val="1"/>
          <w:color w:val="auto"/>
        </w:rPr>
      </w:pPr>
    </w:p>
    <w:p>
      <w:pPr>
        <w:jc w:val="both"/>
        <w:ind w:left="520"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Company incurred $9.8 million in financing costs related to the Term B Loan. These costs were recorded to a contra debt account and are being amortized to interest expense over the term of the Term B Loan using the effective interest method. As of June 30, 2022 and December 31, 2021, the unamortized financing costs were $8.8 million and $9.5 million, respectively.</w:t>
      </w:r>
    </w:p>
    <w:p>
      <w:pPr>
        <w:spacing w:after="0" w:line="73" w:lineRule="exact"/>
        <w:rPr>
          <w:rFonts w:ascii="Arial" w:cs="Arial" w:eastAsia="Arial" w:hAnsi="Arial"/>
          <w:sz w:val="18"/>
          <w:szCs w:val="18"/>
          <w:b w:val="1"/>
          <w:bCs w:val="1"/>
          <w:color w:val="auto"/>
        </w:rPr>
      </w:pPr>
    </w:p>
    <w:p>
      <w:pPr>
        <w:ind w:left="520" w:right="42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incurred $3.1 million in financing costs related to the 2021 Revolving Credit Facility. These costs were recorded to a deferred financing fees asset account and are being amortized to interest expense over the term of the 2021 Revolving Credit Facility using the effective interest method. As of June 30, 2022 and December 31, 2021, the deferred financing fees asset balance was $2.6 million and $2.9 million, respectively.</w:t>
      </w:r>
    </w:p>
    <w:p>
      <w:pPr>
        <w:spacing w:after="0" w:line="79" w:lineRule="exact"/>
        <w:rPr>
          <w:rFonts w:ascii="Arial" w:cs="Arial" w:eastAsia="Arial" w:hAnsi="Arial"/>
          <w:sz w:val="18"/>
          <w:szCs w:val="18"/>
          <w:b w:val="1"/>
          <w:bCs w:val="1"/>
          <w:color w:val="auto"/>
        </w:rPr>
      </w:pPr>
    </w:p>
    <w:p>
      <w:pPr>
        <w:ind w:left="520" w:right="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Beginning with the quarter ended March 31, 2022, the Term B Loan requires quarterly principal payments of $2.0 million until June 30, 2028, with the remaining outstanding principal amount required to be paid on the maturity date, September 21, 2028. Beginning with the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June 30, 2022, the Company was not subject to the annual excess cash flow calculation and no such principal prepayments are required.</w:t>
      </w:r>
    </w:p>
    <w:p>
      <w:pPr>
        <w:spacing w:after="0" w:line="82" w:lineRule="exact"/>
        <w:rPr>
          <w:rFonts w:ascii="Arial" w:cs="Arial" w:eastAsia="Arial" w:hAnsi="Arial"/>
          <w:sz w:val="18"/>
          <w:szCs w:val="18"/>
          <w:b w:val="1"/>
          <w:bCs w:val="1"/>
          <w:color w:val="auto"/>
        </w:rPr>
      </w:pPr>
    </w:p>
    <w:p>
      <w:pPr>
        <w:ind w:left="520" w:right="14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As of June 30, 2022 and December 31, 2021, the amount outstanding on the Term B Loan is $796.0 million and $800.0 million, respectively. As of June 30, 2022 and December 31, 2021, $8.0 million of the amount outstanding on the Term B Loan is classified as current in the accompanying condensed consolidated balance sheets.</w:t>
      </w:r>
    </w:p>
    <w:p>
      <w:pPr>
        <w:spacing w:after="0" w:line="73" w:lineRule="exact"/>
        <w:rPr>
          <w:rFonts w:ascii="Arial" w:cs="Arial" w:eastAsia="Arial" w:hAnsi="Arial"/>
          <w:sz w:val="18"/>
          <w:szCs w:val="18"/>
          <w:b w:val="1"/>
          <w:bCs w:val="1"/>
          <w:color w:val="auto"/>
        </w:rPr>
      </w:pPr>
    </w:p>
    <w:p>
      <w:pPr>
        <w:jc w:val="both"/>
        <w:ind w:left="520" w:right="1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 A quarterly commitment fee of up to 0.50% is payable on the unused portion of the 2021 Revolving Credit Facility.</w:t>
      </w:r>
    </w:p>
    <w:p>
      <w:pPr>
        <w:spacing w:after="0" w:line="55" w:lineRule="exact"/>
        <w:rPr>
          <w:rFonts w:ascii="Arial" w:cs="Arial" w:eastAsia="Arial" w:hAnsi="Arial"/>
          <w:sz w:val="18"/>
          <w:szCs w:val="18"/>
          <w:b w:val="1"/>
          <w:bCs w:val="1"/>
          <w:color w:val="auto"/>
        </w:rPr>
      </w:pPr>
    </w:p>
    <w:p>
      <w:pPr>
        <w:ind w:left="52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June 30, 2022, the weighted-average interest rate on the outstanding borrowings under the Term B Loan was 3.3%. The Company made interest payments of $6.6 million during the three months ended June 30, 2022.</w:t>
      </w:r>
    </w:p>
    <w:p>
      <w:pPr>
        <w:spacing w:after="0" w:line="62" w:lineRule="exact"/>
        <w:rPr>
          <w:rFonts w:ascii="Arial" w:cs="Arial" w:eastAsia="Arial" w:hAnsi="Arial"/>
          <w:sz w:val="18"/>
          <w:szCs w:val="18"/>
          <w:b w:val="1"/>
          <w:bCs w:val="1"/>
          <w:color w:val="auto"/>
        </w:rPr>
      </w:pPr>
    </w:p>
    <w:p>
      <w:pPr>
        <w:ind w:left="520" w:right="3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June 30, 2022, the weighted-average interest rate on the outstanding borrowings under the Term B Loan was 3.2%. The Company made interest payments of $12.5 million during the six months ended June 30,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1" w:name="page22"/>
    <w:bookmarkEnd w:id="21"/>
    <w:p>
      <w:pPr>
        <w:ind w:left="520" w:right="420"/>
        <w:spacing w:after="0" w:line="291" w:lineRule="auto"/>
        <w:rPr>
          <w:sz w:val="20"/>
          <w:szCs w:val="20"/>
          <w:color w:val="auto"/>
        </w:rPr>
      </w:pPr>
      <w:r>
        <w:rPr>
          <w:rFonts w:ascii="Arial" w:cs="Arial" w:eastAsia="Arial" w:hAnsi="Arial"/>
          <w:sz w:val="17"/>
          <w:szCs w:val="17"/>
          <w:color w:val="auto"/>
        </w:rPr>
        <w:t>The Company issued a standby letter of credit for $0.7 million during 2021 which reduces the amount available to be borrowed under the 2021 Revolving Credit Facility and at June 30, 2022 and December 31, 2021, $249.3 million was available to be borrowed.</w:t>
      </w:r>
    </w:p>
    <w:p>
      <w:pPr>
        <w:spacing w:after="0" w:line="39" w:lineRule="exact"/>
        <w:rPr>
          <w:sz w:val="20"/>
          <w:szCs w:val="20"/>
          <w:color w:val="auto"/>
        </w:rPr>
      </w:pPr>
    </w:p>
    <w:p>
      <w:pPr>
        <w:ind w:left="520" w:right="180"/>
        <w:spacing w:after="0" w:line="243" w:lineRule="auto"/>
        <w:rPr>
          <w:sz w:val="20"/>
          <w:szCs w:val="20"/>
          <w:color w:val="auto"/>
        </w:rPr>
      </w:pPr>
      <w:r>
        <w:rPr>
          <w:rFonts w:ascii="Arial" w:cs="Arial" w:eastAsia="Arial" w:hAnsi="Arial"/>
          <w:sz w:val="18"/>
          <w:szCs w:val="18"/>
          <w:color w:val="auto"/>
        </w:rPr>
        <w:t>In addition, beginning with the three months ended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As of June 30, 2022, the Company was not subject to the financial covenant.</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First Lien Credit Agreement</w:t>
      </w:r>
      <w:r>
        <w:rPr>
          <w:rFonts w:ascii="Arial" w:cs="Arial" w:eastAsia="Arial" w:hAnsi="Arial"/>
          <w:sz w:val="18"/>
          <w:szCs w:val="18"/>
          <w:color w:val="auto"/>
        </w:rPr>
        <w:t>—In April 2017, the Company entered into the First Lien Credit Agreement.</w:t>
      </w:r>
    </w:p>
    <w:p>
      <w:pPr>
        <w:spacing w:after="0" w:line="104" w:lineRule="exact"/>
        <w:rPr>
          <w:sz w:val="20"/>
          <w:szCs w:val="20"/>
          <w:color w:val="auto"/>
        </w:rPr>
      </w:pPr>
    </w:p>
    <w:p>
      <w:pPr>
        <w:ind w:left="520" w:right="80"/>
        <w:spacing w:after="0" w:line="270" w:lineRule="auto"/>
        <w:rPr>
          <w:sz w:val="20"/>
          <w:szCs w:val="20"/>
          <w:color w:val="auto"/>
        </w:rPr>
      </w:pPr>
      <w:r>
        <w:rPr>
          <w:rFonts w:ascii="Arial" w:cs="Arial" w:eastAsia="Arial" w:hAnsi="Arial"/>
          <w:sz w:val="17"/>
          <w:szCs w:val="17"/>
          <w:color w:val="auto"/>
        </w:rPr>
        <w:t>The First Lien Credit Agreement consisted of a $1.0 billion term loan (“First Lien Term Loan”) and revolving credit facilities for an aggregate principal amount of $100.0 million (the “First Lien Revolvers”), with a sublimit of $30.0 million for letters of credit under the First Lien Revolvers. The Company received proceeds of $997.5 million, net of debt discount of $2.5 million, related to the First Lien Term Loan.</w:t>
      </w:r>
    </w:p>
    <w:p>
      <w:pPr>
        <w:spacing w:after="0" w:line="56" w:lineRule="exact"/>
        <w:rPr>
          <w:sz w:val="20"/>
          <w:szCs w:val="20"/>
          <w:color w:val="auto"/>
        </w:rPr>
      </w:pPr>
    </w:p>
    <w:p>
      <w:pPr>
        <w:jc w:val="both"/>
        <w:ind w:left="520" w:right="80"/>
        <w:spacing w:after="0" w:line="248" w:lineRule="auto"/>
        <w:rPr>
          <w:sz w:val="20"/>
          <w:szCs w:val="20"/>
          <w:color w:val="auto"/>
        </w:rPr>
      </w:pPr>
      <w:r>
        <w:rPr>
          <w:rFonts w:ascii="Arial" w:cs="Arial" w:eastAsia="Arial" w:hAnsi="Arial"/>
          <w:sz w:val="18"/>
          <w:szCs w:val="18"/>
          <w:color w:val="auto"/>
        </w:rPr>
        <w:t>In February 2020, the Company refinanced its long-term debt and entered into the First Amendment to the First Lien Credit Agreement (“First Lien Amendment”). The proceeds of the refinance were used to repay the outstanding balance of the Company's Second Lien Credit Agreement, entered into in April 2017.</w:t>
      </w:r>
    </w:p>
    <w:p>
      <w:pPr>
        <w:spacing w:after="0" w:line="74" w:lineRule="exact"/>
        <w:rPr>
          <w:sz w:val="20"/>
          <w:szCs w:val="20"/>
          <w:color w:val="auto"/>
        </w:rPr>
      </w:pPr>
    </w:p>
    <w:p>
      <w:pPr>
        <w:ind w:left="520" w:right="780"/>
        <w:spacing w:after="0" w:line="261" w:lineRule="auto"/>
        <w:rPr>
          <w:sz w:val="20"/>
          <w:szCs w:val="20"/>
          <w:color w:val="auto"/>
        </w:rPr>
      </w:pPr>
      <w:r>
        <w:rPr>
          <w:rFonts w:ascii="Arial" w:cs="Arial" w:eastAsia="Arial" w:hAnsi="Arial"/>
          <w:sz w:val="18"/>
          <w:szCs w:val="18"/>
          <w:color w:val="auto"/>
        </w:rPr>
        <w:t>The First Lien Amendment provided an incremental term loan in the amount of $375.0 million. The Company received proceeds from the incremental term loan of $373.1 million, net of debt discount of $1.9 million.</w:t>
      </w:r>
    </w:p>
    <w:p>
      <w:pPr>
        <w:spacing w:after="0" w:line="63" w:lineRule="exact"/>
        <w:rPr>
          <w:sz w:val="20"/>
          <w:szCs w:val="20"/>
          <w:color w:val="auto"/>
        </w:rPr>
      </w:pPr>
    </w:p>
    <w:p>
      <w:pPr>
        <w:ind w:left="520" w:right="400"/>
        <w:spacing w:after="0" w:line="261" w:lineRule="auto"/>
        <w:rPr>
          <w:sz w:val="20"/>
          <w:szCs w:val="20"/>
          <w:color w:val="auto"/>
        </w:rPr>
      </w:pPr>
      <w:r>
        <w:rPr>
          <w:rFonts w:ascii="Arial" w:cs="Arial" w:eastAsia="Arial" w:hAnsi="Arial"/>
          <w:sz w:val="18"/>
          <w:szCs w:val="18"/>
          <w:color w:val="auto"/>
        </w:rPr>
        <w:t>In addition, the First Lien Amendment reduced the amount of commitments under the First Lien Revolvers to an aggregate principal amount of $91.3 million. The First Lien Revolvers continued to have a sublimit of $30.0 million for letters of credit.</w:t>
      </w:r>
    </w:p>
    <w:p>
      <w:pPr>
        <w:spacing w:after="0" w:line="63" w:lineRule="exact"/>
        <w:rPr>
          <w:sz w:val="20"/>
          <w:szCs w:val="20"/>
          <w:color w:val="auto"/>
        </w:rPr>
      </w:pPr>
    </w:p>
    <w:p>
      <w:pPr>
        <w:ind w:left="520" w:right="100"/>
        <w:spacing w:after="0" w:line="248" w:lineRule="auto"/>
        <w:rPr>
          <w:sz w:val="20"/>
          <w:szCs w:val="20"/>
          <w:color w:val="auto"/>
        </w:rPr>
      </w:pPr>
      <w:r>
        <w:rPr>
          <w:rFonts w:ascii="Arial" w:cs="Arial" w:eastAsia="Arial" w:hAnsi="Arial"/>
          <w:sz w:val="18"/>
          <w:szCs w:val="18"/>
          <w:color w:val="auto"/>
        </w:rPr>
        <w:t>The Company incurred $27.6 million and $3.4 million in financing costs related to the First Lien Credit Agreement and First Lien Amendment, respectively. These costs were recorded to a contra debt account and were being amortized to interest expense over the term of the First Lien Credit Agreement using the effective interest method.</w:t>
      </w:r>
    </w:p>
    <w:p>
      <w:pPr>
        <w:spacing w:after="0" w:line="74" w:lineRule="exact"/>
        <w:rPr>
          <w:sz w:val="20"/>
          <w:szCs w:val="20"/>
          <w:color w:val="auto"/>
        </w:rPr>
      </w:pPr>
    </w:p>
    <w:p>
      <w:pPr>
        <w:ind w:left="520" w:right="20"/>
        <w:spacing w:after="0" w:line="274" w:lineRule="auto"/>
        <w:rPr>
          <w:sz w:val="20"/>
          <w:szCs w:val="20"/>
          <w:color w:val="auto"/>
        </w:rPr>
      </w:pPr>
      <w:r>
        <w:rPr>
          <w:rFonts w:ascii="Arial" w:cs="Arial" w:eastAsia="Arial" w:hAnsi="Arial"/>
          <w:sz w:val="16"/>
          <w:szCs w:val="16"/>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55" w:lineRule="exact"/>
        <w:rPr>
          <w:sz w:val="20"/>
          <w:szCs w:val="20"/>
          <w:color w:val="auto"/>
        </w:rPr>
      </w:pPr>
    </w:p>
    <w:p>
      <w:pPr>
        <w:ind w:left="520" w:right="140" w:firstLine="1"/>
        <w:spacing w:after="0" w:line="248" w:lineRule="auto"/>
        <w:rPr>
          <w:sz w:val="20"/>
          <w:szCs w:val="20"/>
          <w:color w:val="auto"/>
        </w:rPr>
      </w:pPr>
      <w:r>
        <w:rPr>
          <w:rFonts w:ascii="Arial" w:cs="Arial" w:eastAsia="Arial" w:hAnsi="Arial"/>
          <w:sz w:val="18"/>
          <w:szCs w:val="18"/>
          <w:color w:val="auto"/>
        </w:rPr>
        <w:t>Using a portion of the proceeds of the Business Combination, the Company made a principal prepayment of $525.0 million on July 30, 2021. Subsequently, in September 2021, using the proceeds from the Term B Loan provided in the 2021 Credit Agreement, the Company fully repaid the remaining $804.2 million of outstanding borrowings on the First Lien Term Loan.</w:t>
      </w:r>
    </w:p>
    <w:p>
      <w:pPr>
        <w:spacing w:after="0" w:line="74" w:lineRule="exact"/>
        <w:rPr>
          <w:sz w:val="20"/>
          <w:szCs w:val="20"/>
          <w:color w:val="auto"/>
        </w:rPr>
      </w:pPr>
    </w:p>
    <w:p>
      <w:pPr>
        <w:ind w:left="520" w:right="160"/>
        <w:spacing w:after="0" w:line="248" w:lineRule="auto"/>
        <w:rPr>
          <w:sz w:val="20"/>
          <w:szCs w:val="20"/>
          <w:color w:val="auto"/>
        </w:rPr>
      </w:pPr>
      <w:r>
        <w:rPr>
          <w:rFonts w:ascii="Arial" w:cs="Arial" w:eastAsia="Arial" w:hAnsi="Arial"/>
          <w:sz w:val="18"/>
          <w:szCs w:val="18"/>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74" w:lineRule="exact"/>
        <w:rPr>
          <w:sz w:val="20"/>
          <w:szCs w:val="20"/>
          <w:color w:val="auto"/>
        </w:rPr>
      </w:pPr>
    </w:p>
    <w:p>
      <w:pPr>
        <w:ind w:left="520" w:right="60"/>
        <w:spacing w:after="0" w:line="261" w:lineRule="auto"/>
        <w:rPr>
          <w:sz w:val="20"/>
          <w:szCs w:val="20"/>
          <w:color w:val="auto"/>
        </w:rPr>
      </w:pPr>
      <w:r>
        <w:rPr>
          <w:rFonts w:ascii="Arial" w:cs="Arial" w:eastAsia="Arial" w:hAnsi="Arial"/>
          <w:sz w:val="18"/>
          <w:szCs w:val="18"/>
          <w:color w:val="auto"/>
        </w:rPr>
        <w:t>During the three months ended June 30, 2021, the weighted-average interest rate on the outstanding borrowings under the First Lien Term Loan was 4.1%. The Company made interest payments of $13.5 million during the three months ended June 30, 2021.</w:t>
      </w:r>
    </w:p>
    <w:p>
      <w:pPr>
        <w:spacing w:after="0" w:line="63" w:lineRule="exact"/>
        <w:rPr>
          <w:sz w:val="20"/>
          <w:szCs w:val="20"/>
          <w:color w:val="auto"/>
        </w:rPr>
      </w:pPr>
    </w:p>
    <w:p>
      <w:pPr>
        <w:ind w:left="520" w:right="200"/>
        <w:spacing w:after="0" w:line="261" w:lineRule="auto"/>
        <w:rPr>
          <w:sz w:val="20"/>
          <w:szCs w:val="20"/>
          <w:color w:val="auto"/>
        </w:rPr>
      </w:pPr>
      <w:r>
        <w:rPr>
          <w:rFonts w:ascii="Arial" w:cs="Arial" w:eastAsia="Arial" w:hAnsi="Arial"/>
          <w:sz w:val="18"/>
          <w:szCs w:val="18"/>
          <w:color w:val="auto"/>
        </w:rPr>
        <w:t>During the six months ended June 30, 2021, the weighted-average interest rate on the outstanding borrowings under the First Lien Term Loan was 4.1%. The Company made interest payments of $26.8 million during the six months ended June 30, 2021.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June 30, 2022 and December 31, 2021,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Term B Loan</w:t>
            </w:r>
          </w:p>
        </w:tc>
        <w:tc>
          <w:tcPr>
            <w:tcW w:w="30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796,000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Term B Loan—discount</w:t>
            </w:r>
          </w:p>
        </w:tc>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(1,795 )</w:t>
            </w:r>
          </w:p>
        </w:tc>
        <w:tc>
          <w:tcPr>
            <w:tcW w:w="20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(1,926 )</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Term B Loan—deferred financing fees</w:t>
            </w:r>
          </w:p>
        </w:tc>
        <w:tc>
          <w:tcPr>
            <w:tcW w:w="3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(8,821 )</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(9,464 )</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6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Term B Loan—net of discount &amp; fees</w:t>
            </w:r>
          </w:p>
        </w:tc>
        <w:tc>
          <w:tcPr>
            <w:tcW w:w="30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785,384</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788,610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Less: Current portion</w:t>
            </w:r>
          </w:p>
        </w:tc>
        <w:tc>
          <w:tcPr>
            <w:tcW w:w="30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(8,000</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(8,000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60" w:type="dxa"/>
            <w:vAlign w:val="bottom"/>
          </w:tcPr>
          <w:p>
            <w:pPr>
              <w:ind w:left="180"/>
              <w:spacing w:after="0" w:line="196" w:lineRule="exact"/>
              <w:rPr>
                <w:sz w:val="20"/>
                <w:szCs w:val="20"/>
                <w:color w:val="auto"/>
              </w:rPr>
            </w:pPr>
            <w:r>
              <w:rPr>
                <w:rFonts w:ascii="Arial" w:cs="Arial" w:eastAsia="Arial" w:hAnsi="Arial"/>
                <w:sz w:val="18"/>
                <w:szCs w:val="18"/>
                <w:color w:val="auto"/>
              </w:rPr>
              <w:t>Total long-term debt—net of current portion</w:t>
            </w:r>
          </w:p>
        </w:tc>
        <w:tc>
          <w:tcPr>
            <w:tcW w:w="3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777,384</w:t>
            </w:r>
          </w:p>
        </w:tc>
        <w:tc>
          <w:tcPr>
            <w:tcW w:w="2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780,610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20" w:type="dxa"/>
            <w:vAlign w:val="bottom"/>
            <w:vMerge w:val="restart"/>
          </w:tcPr>
          <w:p>
            <w:pPr>
              <w:jc w:val="right"/>
              <w:ind w:right="1950"/>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-904875</wp:posOffset>
            </wp:positionV>
            <wp:extent cx="685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-904875</wp:posOffset>
            </wp:positionV>
            <wp:extent cx="596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-630555</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-630555</wp:posOffset>
            </wp:positionV>
            <wp:extent cx="596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jc w:val="both"/>
        <w:ind w:left="520" w:right="120"/>
        <w:spacing w:after="0" w:line="248"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—In June 2017, the Company entered into three floating to fixed interest rate swap agreements ("Swap Agreements")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its exposure to the variability from future cash flows resulting from interest rate risk related to its floating rate long-term debt. In September 2021, the Company extinguished the Swap Agreements which were scheduled to expire in June 2022.</w:t>
      </w:r>
    </w:p>
    <w:p>
      <w:pPr>
        <w:spacing w:after="0" w:line="28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03" w:lineRule="exact"/>
        <w:rPr>
          <w:rFonts w:ascii="Arial" w:cs="Arial" w:eastAsia="Arial" w:hAnsi="Arial"/>
          <w:sz w:val="18"/>
          <w:szCs w:val="18"/>
          <w:b w:val="1"/>
          <w:bCs w:val="1"/>
          <w:color w:val="auto"/>
        </w:rPr>
      </w:pPr>
    </w:p>
    <w:p>
      <w:pPr>
        <w:ind w:left="520" w:right="1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r>
        <w:rPr>
          <w:rFonts w:ascii="Arial" w:cs="Arial" w:eastAsia="Arial" w:hAnsi="Arial"/>
          <w:sz w:val="18"/>
          <w:szCs w:val="18"/>
          <w:color w:val="auto"/>
        </w:rPr>
        <w:t>—The Company is authorized to issue up to 100,000,000 shares of undesignated preferred stock with a par value of $0.0001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with such designations, voting and other rights and preferences as may be determined from time to time by the Company’s board of directors. As of June 30, 2022, there were no shares of preferred stock issued or outstanding.</w:t>
      </w:r>
    </w:p>
    <w:p>
      <w:pPr>
        <w:spacing w:after="0" w:line="68" w:lineRule="exact"/>
        <w:rPr>
          <w:rFonts w:ascii="Arial" w:cs="Arial" w:eastAsia="Arial" w:hAnsi="Arial"/>
          <w:sz w:val="18"/>
          <w:szCs w:val="18"/>
          <w:b w:val="1"/>
          <w:bCs w:val="1"/>
          <w:color w:val="auto"/>
        </w:rPr>
      </w:pPr>
    </w:p>
    <w:p>
      <w:pPr>
        <w:ind w:left="520" w:right="220"/>
        <w:spacing w:after="0" w:line="280" w:lineRule="auto"/>
        <w:rPr>
          <w:rFonts w:ascii="Arial" w:cs="Arial" w:eastAsia="Arial" w:hAnsi="Arial"/>
          <w:sz w:val="18"/>
          <w:szCs w:val="18"/>
          <w:b w:val="1"/>
          <w:bCs w:val="1"/>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—The Company is authorized to issue up to 5,000,000,000 shares of common stock with a par value of $0.0001 per share. Each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common stock is entitled to one (1)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5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There were 615,501,951 and 609,768,296 shares of common stock issued and outstanding as of June 30, 2022 and December 31, 2021, respectively.</w:t>
      </w:r>
    </w:p>
    <w:p>
      <w:pPr>
        <w:spacing w:after="0" w:line="126" w:lineRule="exact"/>
        <w:rPr>
          <w:rFonts w:ascii="Arial" w:cs="Arial" w:eastAsia="Arial" w:hAnsi="Arial"/>
          <w:sz w:val="18"/>
          <w:szCs w:val="18"/>
          <w:b w:val="1"/>
          <w:bCs w:val="1"/>
          <w:color w:val="auto"/>
        </w:rPr>
      </w:pPr>
    </w:p>
    <w:p>
      <w:pPr>
        <w:jc w:val="both"/>
        <w:ind w:left="520"/>
        <w:spacing w:after="0" w:line="259" w:lineRule="auto"/>
        <w:rPr>
          <w:rFonts w:ascii="Arial" w:cs="Arial" w:eastAsia="Arial" w:hAnsi="Arial"/>
          <w:sz w:val="18"/>
          <w:szCs w:val="18"/>
          <w:b w:val="1"/>
          <w:bCs w:val="1"/>
          <w:color w:val="auto"/>
        </w:rPr>
      </w:pPr>
      <w:r>
        <w:rPr>
          <w:rFonts w:ascii="Arial" w:cs="Arial" w:eastAsia="Arial" w:hAnsi="Arial"/>
          <w:sz w:val="17"/>
          <w:szCs w:val="17"/>
          <w:color w:val="auto"/>
        </w:rPr>
        <w:t>During April 2022, certain existing shareholders completed a secondary offering where the selling shareholders sold 20,000,000 shares of common stock at a price to the public of $9.70 per share. The Company did not receive any of the proceeds from the sale of the shares by the existing stockholders. In connection with the offering, the Company incurred $0.3 million of offering costs during the three months ended June 30, 2022 and $1.2 million of offering costs during the six months ended June 30, 2022, which are included within general and administrative expenses on the condensed consolidated statements of operations and comprehensive income (loss).</w:t>
      </w:r>
    </w:p>
    <w:p>
      <w:pPr>
        <w:spacing w:after="0" w:line="61" w:lineRule="exact"/>
        <w:rPr>
          <w:rFonts w:ascii="Arial" w:cs="Arial" w:eastAsia="Arial" w:hAnsi="Arial"/>
          <w:sz w:val="18"/>
          <w:szCs w:val="18"/>
          <w:b w:val="1"/>
          <w:bCs w:val="1"/>
          <w:color w:val="auto"/>
        </w:rPr>
      </w:pPr>
    </w:p>
    <w:p>
      <w:pPr>
        <w:ind w:left="520" w:right="3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Dividend</w:t>
      </w:r>
      <w:r>
        <w:rPr>
          <w:rFonts w:ascii="Arial" w:cs="Arial" w:eastAsia="Arial" w:hAnsi="Arial"/>
          <w:sz w:val="18"/>
          <w:szCs w:val="18"/>
          <w:color w:val="auto"/>
        </w:rPr>
        <w:t>—In March 2021, the board of directors of CCCIS declared a cash dividend on common stock. The aggregate cash dividend of $134.5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was paid on March 17, 2021.</w:t>
      </w:r>
    </w:p>
    <w:p>
      <w:pPr>
        <w:spacing w:after="0" w:line="364" w:lineRule="exact"/>
        <w:rPr>
          <w:rFonts w:ascii="Arial" w:cs="Arial" w:eastAsia="Arial" w:hAnsi="Arial"/>
          <w:sz w:val="18"/>
          <w:szCs w:val="18"/>
          <w:b w:val="1"/>
          <w:bCs w:val="1"/>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07" w:lineRule="exact"/>
        <w:rPr>
          <w:rFonts w:ascii="Arial" w:cs="Arial" w:eastAsia="Arial" w:hAnsi="Arial"/>
          <w:sz w:val="18"/>
          <w:szCs w:val="18"/>
          <w:b w:val="1"/>
          <w:bCs w:val="1"/>
          <w:color w:val="auto"/>
        </w:rPr>
      </w:pPr>
    </w:p>
    <w:p>
      <w:pPr>
        <w:ind w:left="520" w:right="3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closing of the Business Combination, the 2021 Equity Incentive Plan (the "2021 Plan") was adopted and approved by the Company's board of directors.</w:t>
      </w:r>
    </w:p>
    <w:p>
      <w:pPr>
        <w:spacing w:after="0" w:line="6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Prior to the Business Combination, the Company maintained its 2017 Stock Option Plan (the “2017 Plan”).</w:t>
      </w:r>
    </w:p>
    <w:p>
      <w:pPr>
        <w:spacing w:after="0" w:line="103" w:lineRule="exact"/>
        <w:rPr>
          <w:rFonts w:ascii="Arial" w:cs="Arial" w:eastAsia="Arial" w:hAnsi="Arial"/>
          <w:sz w:val="18"/>
          <w:szCs w:val="18"/>
          <w:b w:val="1"/>
          <w:bCs w:val="1"/>
          <w:color w:val="auto"/>
        </w:rPr>
      </w:pPr>
    </w:p>
    <w:p>
      <w:pPr>
        <w:ind w:left="520" w:right="160"/>
        <w:spacing w:after="0" w:line="324" w:lineRule="auto"/>
        <w:rPr>
          <w:rFonts w:ascii="Arial" w:cs="Arial" w:eastAsia="Arial" w:hAnsi="Arial"/>
          <w:sz w:val="18"/>
          <w:szCs w:val="18"/>
          <w:b w:val="1"/>
          <w:bCs w:val="1"/>
          <w:color w:val="auto"/>
        </w:rPr>
      </w:pPr>
      <w:r>
        <w:rPr>
          <w:rFonts w:ascii="Arial" w:cs="Arial" w:eastAsia="Arial" w:hAnsi="Arial"/>
          <w:sz w:val="16"/>
          <w:szCs w:val="16"/>
          <w:color w:val="auto"/>
        </w:rPr>
        <w:t>Upon the adoption and approval of the 2021 Plan, the 2017 Plan was terminated and each outstanding vested or unvested option, as required under the 2017 Plan, was converted to the 2021 Plan, multiplied by the Exchange Ratio, with the same key terms and vesting requirements.</w:t>
      </w:r>
    </w:p>
    <w:p>
      <w:pPr>
        <w:spacing w:after="0" w:line="16" w:lineRule="exact"/>
        <w:rPr>
          <w:rFonts w:ascii="Arial" w:cs="Arial" w:eastAsia="Arial" w:hAnsi="Arial"/>
          <w:sz w:val="18"/>
          <w:szCs w:val="18"/>
          <w:b w:val="1"/>
          <w:bCs w:val="1"/>
          <w:color w:val="auto"/>
        </w:rPr>
      </w:pPr>
    </w:p>
    <w:p>
      <w:pPr>
        <w:ind w:left="520" w:right="4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Awards granted under the 2017 Plan had time-based vesting or performance-based with a market condition vesting requirements. Stock options granted under the 2017 Plan expire on the tenth anniversary of the grant date.</w:t>
      </w:r>
    </w:p>
    <w:p>
      <w:pPr>
        <w:spacing w:after="0" w:line="62" w:lineRule="exact"/>
        <w:rPr>
          <w:rFonts w:ascii="Arial" w:cs="Arial" w:eastAsia="Arial" w:hAnsi="Arial"/>
          <w:sz w:val="18"/>
          <w:szCs w:val="18"/>
          <w:b w:val="1"/>
          <w:bCs w:val="1"/>
          <w:color w:val="auto"/>
        </w:rPr>
      </w:pPr>
    </w:p>
    <w:p>
      <w:pPr>
        <w:ind w:left="520" w:right="8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Additionally, the Company maintained a Phantom Stock Plan (the “Phantom Plan”), which provided for the issuance of phantom shares of CCCIS’s common stock (“Phantom Shares”) to eligible employees under the 2017 Plan. Awards under the Phantom Plan were settled in cash and thus accounted for as liability awards.</w:t>
      </w:r>
    </w:p>
    <w:p>
      <w:pPr>
        <w:spacing w:after="0" w:line="73" w:lineRule="exact"/>
        <w:rPr>
          <w:rFonts w:ascii="Arial" w:cs="Arial" w:eastAsia="Arial" w:hAnsi="Arial"/>
          <w:sz w:val="18"/>
          <w:szCs w:val="18"/>
          <w:b w:val="1"/>
          <w:bCs w:val="1"/>
          <w:color w:val="auto"/>
        </w:rPr>
      </w:pPr>
    </w:p>
    <w:p>
      <w:pPr>
        <w:ind w:left="520" w:right="12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Phantom Shares vested under the same time-based or performance-based with a market condition as the stock options granted under the 2017 Plan. Upon consummation of the Business Combination, the outstanding Phantom Shares were settled in cash in November 2021.</w:t>
      </w:r>
    </w:p>
    <w:p>
      <w:pPr>
        <w:spacing w:after="0" w:line="3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—The table below summarizes the option activity for the six months ended June 30,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3" w:name="page24"/>
    <w:bookmarkEnd w:id="23"/>
    <w:tbl>
      <w:tblPr>
        <w:tblLayout w:type="fixed"/>
        <w:tblInd w:w="58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86"/>
              </w:rPr>
              <w:t>Exercise</w:t>
            </w:r>
          </w:p>
        </w:tc>
        <w:tc>
          <w:tcPr>
            <w:tcW w:w="26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Life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7"/>
                <w:szCs w:val="17"/>
                <w:color w:val="auto"/>
              </w:rPr>
            </w:pPr>
          </w:p>
        </w:tc>
      </w:tr>
      <w:tr>
        <w:trPr>
          <w:trHeight w:val="221"/>
        </w:trPr>
        <w:tc>
          <w:tcPr>
            <w:tcW w:w="508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outstanding—December 31, 2021</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55,644,495</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w:t>
            </w:r>
          </w:p>
        </w:tc>
        <w:tc>
          <w:tcPr>
            <w:tcW w:w="26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469,591</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ind w:left="180"/>
              <w:spacing w:after="0" w:line="202" w:lineRule="exact"/>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(5,682,071 )</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 and canceled</w:t>
            </w: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(222,234 )</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50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Options outstanding—June 30, 2022</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49,740,190</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2.97</w:t>
            </w:r>
          </w:p>
        </w:tc>
        <w:tc>
          <w:tcPr>
            <w:tcW w:w="154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5.4</w:t>
            </w:r>
          </w:p>
        </w:tc>
        <w:tc>
          <w:tcPr>
            <w:tcW w:w="3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309,841</w:t>
            </w:r>
          </w:p>
        </w:tc>
        <w:tc>
          <w:tcPr>
            <w:tcW w:w="100" w:type="dxa"/>
            <w:vAlign w:val="bottom"/>
            <w:tcBorders>
              <w:top w:val="single" w:sz="8" w:color="CFF0FC"/>
            </w:tcBorders>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Options exercisable—June 30, 2022</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45,634,668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2.73</w:t>
            </w:r>
          </w:p>
        </w:tc>
        <w:tc>
          <w:tcPr>
            <w:tcW w:w="15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5.1</w:t>
            </w:r>
          </w:p>
        </w:tc>
        <w:tc>
          <w:tcPr>
            <w:tcW w:w="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295,200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5080" w:type="dxa"/>
            <w:vAlign w:val="bottom"/>
          </w:tcPr>
          <w:p>
            <w:pPr>
              <w:spacing w:after="0" w:line="182" w:lineRule="exact"/>
              <w:rPr>
                <w:sz w:val="20"/>
                <w:szCs w:val="20"/>
                <w:color w:val="auto"/>
              </w:rPr>
            </w:pPr>
            <w:r>
              <w:rPr>
                <w:rFonts w:ascii="Arial" w:cs="Arial" w:eastAsia="Arial" w:hAnsi="Arial"/>
                <w:sz w:val="18"/>
                <w:szCs w:val="18"/>
                <w:color w:val="auto"/>
              </w:rPr>
              <w:t>Options vested and expected to vest—June 30, 2022</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49,436,255</w:t>
            </w:r>
          </w:p>
        </w:tc>
        <w:tc>
          <w:tcPr>
            <w:tcW w:w="24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2.95</w:t>
            </w:r>
          </w:p>
        </w:tc>
        <w:tc>
          <w:tcPr>
            <w:tcW w:w="1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5.3</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308,786</w:t>
            </w:r>
          </w:p>
        </w:tc>
        <w:tc>
          <w:tcPr>
            <w:tcW w:w="100" w:type="dxa"/>
            <w:vAlign w:val="bottom"/>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-467995</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-179070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-162560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options vested during the six months ended June 30, 2022 was $8.1 million.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—Restricted Stock Units (“RSUs”) are convertible into shares of the Company’s common stock upon vesting.</w:t>
      </w:r>
    </w:p>
    <w:p>
      <w:pPr>
        <w:spacing w:after="0" w:line="104" w:lineRule="exact"/>
        <w:rPr>
          <w:sz w:val="20"/>
          <w:szCs w:val="20"/>
          <w:color w:val="auto"/>
        </w:rPr>
      </w:pPr>
    </w:p>
    <w:p>
      <w:pPr>
        <w:ind w:left="520" w:right="240"/>
        <w:spacing w:after="0" w:line="324" w:lineRule="auto"/>
        <w:rPr>
          <w:sz w:val="20"/>
          <w:szCs w:val="20"/>
          <w:color w:val="auto"/>
        </w:rPr>
      </w:pPr>
      <w:r>
        <w:rPr>
          <w:rFonts w:ascii="Arial" w:cs="Arial" w:eastAsia="Arial" w:hAnsi="Arial"/>
          <w:sz w:val="16"/>
          <w:szCs w:val="16"/>
          <w:color w:val="auto"/>
        </w:rPr>
        <w:t>During the six months ended June 30, 2022, the Company granted 15,561,624 RSUs, of which 14,191,160 have time-based vesting requirements, 685,257 have performance-based vesting requirements and 685,207 have performance-based with a market condition vesting requirements.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valuation of the performance-based RSUs with a market condition granted during the six months ended June 30, 2022 was determined using a</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Monte Carlo simulation model using the following assumptions:</w:t>
      </w:r>
    </w:p>
    <w:p>
      <w:pPr>
        <w:spacing w:after="0" w:line="9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center"/>
              <w:ind w:right="230"/>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dividend yield</w:t>
            </w: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center"/>
              <w:ind w:right="210"/>
              <w:spacing w:after="0" w:line="202" w:lineRule="exact"/>
              <w:rPr>
                <w:sz w:val="20"/>
                <w:szCs w:val="20"/>
                <w:color w:val="auto"/>
              </w:rPr>
            </w:pPr>
            <w:r>
              <w:rPr>
                <w:rFonts w:ascii="Arial" w:cs="Arial" w:eastAsia="Arial" w:hAnsi="Arial"/>
                <w:sz w:val="18"/>
                <w:szCs w:val="18"/>
                <w:color w:val="auto"/>
                <w:w w:val="92"/>
              </w:rPr>
              <w:t>0%</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0"/>
              </w:rPr>
              <w:t>2.28%</w:t>
            </w:r>
          </w:p>
        </w:tc>
        <w:tc>
          <w:tcPr>
            <w:tcW w:w="100" w:type="dxa"/>
            <w:vAlign w:val="bottom"/>
          </w:tcPr>
          <w:p>
            <w:pPr>
              <w:spacing w:after="0"/>
              <w:rPr>
                <w:sz w:val="17"/>
                <w:szCs w:val="17"/>
                <w:color w:val="auto"/>
              </w:rPr>
            </w:pPr>
          </w:p>
        </w:tc>
      </w:tr>
      <w:tr>
        <w:trPr>
          <w:trHeight w:val="202"/>
        </w:trPr>
        <w:tc>
          <w:tcPr>
            <w:tcW w:w="60" w:type="dxa"/>
            <w:vAlign w:val="bottom"/>
          </w:tcPr>
          <w:p>
            <w:pPr>
              <w:spacing w:after="0"/>
              <w:rPr>
                <w:sz w:val="17"/>
                <w:szCs w:val="17"/>
                <w:color w:val="auto"/>
              </w:rPr>
            </w:pPr>
          </w:p>
        </w:tc>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at valuation date</w:t>
            </w: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7.42</w:t>
            </w:r>
          </w:p>
        </w:tc>
        <w:tc>
          <w:tcPr>
            <w:tcW w:w="100" w:type="dxa"/>
            <w:vAlign w:val="bottom"/>
            <w:shd w:val="clear" w:color="auto" w:fill="CFF0FC"/>
          </w:tcPr>
          <w:p>
            <w:pPr>
              <w:spacing w:after="0"/>
              <w:rPr>
                <w:sz w:val="17"/>
                <w:szCs w:val="17"/>
                <w:color w:val="auto"/>
              </w:rPr>
            </w:pPr>
          </w:p>
        </w:tc>
      </w:tr>
      <w:tr>
        <w:trPr>
          <w:trHeight w:val="324"/>
        </w:trPr>
        <w:tc>
          <w:tcPr>
            <w:tcW w:w="7160" w:type="dxa"/>
            <w:vAlign w:val="bottom"/>
            <w:gridSpan w:val="2"/>
          </w:tcPr>
          <w:p>
            <w:pPr>
              <w:spacing w:after="0"/>
              <w:rPr>
                <w:sz w:val="20"/>
                <w:szCs w:val="20"/>
                <w:color w:val="auto"/>
              </w:rPr>
            </w:pPr>
            <w:r>
              <w:rPr>
                <w:rFonts w:ascii="Arial" w:cs="Arial" w:eastAsia="Arial" w:hAnsi="Arial"/>
                <w:sz w:val="18"/>
                <w:szCs w:val="18"/>
                <w:color w:val="auto"/>
              </w:rPr>
              <w:t>The table below summarizes the RSU activity for the six months ended June 30, 2022:</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w:t>
            </w:r>
          </w:p>
        </w:tc>
      </w:tr>
      <w:tr>
        <w:trPr>
          <w:trHeight w:val="203"/>
        </w:trPr>
        <w:tc>
          <w:tcPr>
            <w:tcW w:w="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Average</w:t>
            </w:r>
          </w:p>
        </w:tc>
      </w:tr>
      <w:tr>
        <w:trPr>
          <w:trHeight w:val="221"/>
        </w:trPr>
        <w:tc>
          <w:tcPr>
            <w:tcW w:w="6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Fair Value</w:t>
            </w:r>
          </w:p>
        </w:tc>
      </w:tr>
      <w:tr>
        <w:trPr>
          <w:trHeight w:val="196"/>
        </w:trPr>
        <w:tc>
          <w:tcPr>
            <w:tcW w:w="60" w:type="dxa"/>
            <w:vAlign w:val="bottom"/>
          </w:tcPr>
          <w:p>
            <w:pPr>
              <w:spacing w:after="0"/>
              <w:rPr>
                <w:sz w:val="17"/>
                <w:szCs w:val="17"/>
                <w:color w:val="auto"/>
              </w:rPr>
            </w:pPr>
          </w:p>
        </w:tc>
        <w:tc>
          <w:tcPr>
            <w:tcW w:w="7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RSUs—December 31, 2021</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18,558,211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15,561,624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7"/>
                <w:szCs w:val="17"/>
                <w:color w:val="auto"/>
              </w:rPr>
            </w:pPr>
          </w:p>
        </w:tc>
      </w:tr>
      <w:tr>
        <w:trPr>
          <w:trHeight w:val="202"/>
        </w:trPr>
        <w:tc>
          <w:tcPr>
            <w:tcW w:w="60" w:type="dxa"/>
            <w:vAlign w:val="bottom"/>
          </w:tcPr>
          <w:p>
            <w:pPr>
              <w:spacing w:after="0"/>
              <w:rPr>
                <w:sz w:val="17"/>
                <w:szCs w:val="17"/>
                <w:color w:val="auto"/>
              </w:rPr>
            </w:pPr>
          </w:p>
        </w:tc>
        <w:tc>
          <w:tcPr>
            <w:tcW w:w="71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(103,124 )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9.68</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(701,723 )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11.08</w:t>
            </w:r>
          </w:p>
        </w:tc>
        <w:tc>
          <w:tcPr>
            <w:tcW w:w="100" w:type="dxa"/>
            <w:vAlign w:val="bottom"/>
          </w:tcPr>
          <w:p>
            <w:pPr>
              <w:spacing w:after="0"/>
              <w:rPr>
                <w:sz w:val="17"/>
                <w:szCs w:val="17"/>
                <w:color w:val="auto"/>
              </w:rPr>
            </w:pPr>
          </w:p>
        </w:tc>
      </w:tr>
      <w:tr>
        <w:trPr>
          <w:trHeight w:val="236"/>
        </w:trPr>
        <w:tc>
          <w:tcPr>
            <w:tcW w:w="60" w:type="dxa"/>
            <w:vAlign w:val="bottom"/>
          </w:tcPr>
          <w:p>
            <w:pPr>
              <w:spacing w:after="0"/>
              <w:rPr>
                <w:sz w:val="20"/>
                <w:szCs w:val="20"/>
                <w:color w:val="auto"/>
              </w:rPr>
            </w:pPr>
          </w:p>
        </w:tc>
        <w:tc>
          <w:tcPr>
            <w:tcW w:w="71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Non-vested RSUs—June 30, 2022</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33,314,988</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140"/>
        <w:spacing w:after="0" w:line="263"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—As of June 30, 2022, 6,031,714 shares of common stock are reserved for sale under the ESPP.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sale under the ESPP increases on January 1 by the lesser of 1% of the total numbers of shares outstanding or a lesser amount as determined by the board of directors.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no shares had been sold under the ESPP.</w:t>
      </w:r>
    </w:p>
    <w:p>
      <w:pPr>
        <w:spacing w:after="0" w:line="104" w:lineRule="exact"/>
        <w:rPr>
          <w:sz w:val="20"/>
          <w:szCs w:val="20"/>
          <w:color w:val="auto"/>
        </w:rPr>
      </w:pPr>
    </w:p>
    <w:p>
      <w:pPr>
        <w:ind w:left="520" w:right="380"/>
        <w:spacing w:after="0" w:line="324"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—Stock-based compensation expense has been recorded in the accompanying condensed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comprehensive income (loss) as follows for the three and six months ended June 30, 2022 and 2021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5"/>
              </w:rPr>
              <w:t>For the Three Months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3"/>
              </w:rPr>
              <w:t>For the Six Months Ended</w:t>
            </w:r>
          </w:p>
        </w:tc>
        <w:tc>
          <w:tcPr>
            <w:tcW w:w="10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revenues</w:t>
            </w: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2,510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9,060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1,275</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11,441</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1,289</w:t>
            </w: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29,036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12,579</w:t>
            </w:r>
          </w:p>
        </w:tc>
        <w:tc>
          <w:tcPr>
            <w:tcW w:w="10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0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28,403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2,883</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52,047</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-496570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-479425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-496570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-479425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-496570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-479425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4" w:name="page25"/>
    <w:bookmarkEnd w:id="24"/>
    <w:p>
      <w:pPr>
        <w:ind w:left="512" w:right="160"/>
        <w:spacing w:after="0" w:line="263" w:lineRule="auto"/>
        <w:rPr>
          <w:sz w:val="20"/>
          <w:szCs w:val="20"/>
          <w:color w:val="auto"/>
        </w:rPr>
      </w:pPr>
      <w:r>
        <w:rPr>
          <w:rFonts w:ascii="Arial" w:cs="Arial" w:eastAsia="Arial" w:hAnsi="Arial"/>
          <w:sz w:val="18"/>
          <w:szCs w:val="18"/>
          <w:color w:val="auto"/>
        </w:rPr>
        <w:t>As of June 30, 2022, there was $203.7 million of unrecognized stock compensation expense related to non-vested time-based awards which is expected to be recognized over a weighted-average period of 3.3 years. As of June 30, 2022, there was $93.5 million of unrecognized stock-based compensation expense related to non-vested performance-based awards.</w:t>
      </w:r>
    </w:p>
    <w:p>
      <w:pPr>
        <w:spacing w:after="0" w:line="288" w:lineRule="exact"/>
        <w:rPr>
          <w:sz w:val="20"/>
          <w:szCs w:val="20"/>
          <w:color w:val="auto"/>
        </w:rPr>
      </w:pPr>
    </w:p>
    <w:p>
      <w:pPr>
        <w:ind w:left="512" w:hanging="512"/>
        <w:spacing w:after="0"/>
        <w:tabs>
          <w:tab w:leader="none" w:pos="5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07" w:lineRule="exact"/>
        <w:rPr>
          <w:rFonts w:ascii="Arial" w:cs="Arial" w:eastAsia="Arial" w:hAnsi="Arial"/>
          <w:sz w:val="18"/>
          <w:szCs w:val="18"/>
          <w:b w:val="1"/>
          <w:bCs w:val="1"/>
          <w:color w:val="auto"/>
        </w:rPr>
      </w:pPr>
    </w:p>
    <w:p>
      <w:pPr>
        <w:ind w:left="512"/>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Upon consummation of the Business Combination (see Note 3), the Company assumed the outstanding Public Warrants and Private Warrants issued by Dragoneer.</w:t>
      </w:r>
    </w:p>
    <w:p>
      <w:pPr>
        <w:spacing w:after="0" w:line="62"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6"/>
          <w:szCs w:val="16"/>
          <w:color w:val="auto"/>
        </w:rPr>
        <w:t>As of June 30, 2022 and December 31, 2021, the Company had 17,800,000 Private Warrants outstanding and no Public Warrants outstanding.</w:t>
      </w:r>
    </w:p>
    <w:p>
      <w:pPr>
        <w:spacing w:after="0" w:line="126" w:lineRule="exact"/>
        <w:rPr>
          <w:rFonts w:ascii="Arial" w:cs="Arial" w:eastAsia="Arial" w:hAnsi="Arial"/>
          <w:sz w:val="18"/>
          <w:szCs w:val="18"/>
          <w:b w:val="1"/>
          <w:bCs w:val="1"/>
          <w:color w:val="auto"/>
        </w:rPr>
      </w:pPr>
    </w:p>
    <w:p>
      <w:pPr>
        <w:ind w:left="512" w:right="4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73" w:lineRule="exact"/>
        <w:rPr>
          <w:rFonts w:ascii="Arial" w:cs="Arial" w:eastAsia="Arial" w:hAnsi="Arial"/>
          <w:sz w:val="18"/>
          <w:szCs w:val="18"/>
          <w:b w:val="1"/>
          <w:bCs w:val="1"/>
          <w:color w:val="auto"/>
        </w:rPr>
      </w:pPr>
    </w:p>
    <w:p>
      <w:pPr>
        <w:ind w:left="512" w:right="10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On November 29, 2021, the Company announced that it had elected to redeem all of the outstanding Public Warrants on December 29, 2021. Each Public Warrant not exercised before 5:00 p.m. Eastern Daylight Time on December 29, 2021 was redeemed by the Company for $0.10 and the Public Warrants subsequently ceased trading on the New York Stock Exchange.</w:t>
      </w:r>
    </w:p>
    <w:p>
      <w:pPr>
        <w:spacing w:after="0" w:line="73" w:lineRule="exact"/>
        <w:rPr>
          <w:rFonts w:ascii="Arial" w:cs="Arial" w:eastAsia="Arial" w:hAnsi="Arial"/>
          <w:sz w:val="18"/>
          <w:szCs w:val="18"/>
          <w:b w:val="1"/>
          <w:bCs w:val="1"/>
          <w:color w:val="auto"/>
        </w:rPr>
      </w:pPr>
    </w:p>
    <w:p>
      <w:pPr>
        <w:ind w:left="512"/>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Of the 17,299,983 Public Warrants that were outstanding as of the closing of the Business Combination, 10,638 warrants were exercised for cash proceeds of $0.1 million and 15,876,341 were exercised on a cashless basis in exchange for an aggregate of 4,826,339 shares of common stock. The Company paid $0.1 million to redeem the remaining 1,413,004 unexercised Public Warrants. As of December 31, 2021, there were no Public Warrants outstanding.</w:t>
      </w:r>
    </w:p>
    <w:p>
      <w:pPr>
        <w:spacing w:after="0" w:line="79" w:lineRule="exact"/>
        <w:rPr>
          <w:rFonts w:ascii="Arial" w:cs="Arial" w:eastAsia="Arial" w:hAnsi="Arial"/>
          <w:sz w:val="18"/>
          <w:szCs w:val="18"/>
          <w:b w:val="1"/>
          <w:bCs w:val="1"/>
          <w:color w:val="auto"/>
        </w:rPr>
      </w:pPr>
    </w:p>
    <w:p>
      <w:pPr>
        <w:ind w:left="512" w:right="20"/>
        <w:spacing w:after="0" w:line="262" w:lineRule="auto"/>
        <w:rPr>
          <w:rFonts w:ascii="Arial" w:cs="Arial" w:eastAsia="Arial" w:hAnsi="Arial"/>
          <w:sz w:val="18"/>
          <w:szCs w:val="18"/>
          <w:b w:val="1"/>
          <w:bCs w:val="1"/>
          <w:color w:val="auto"/>
        </w:rPr>
      </w:pPr>
      <w:r>
        <w:rPr>
          <w:rFonts w:ascii="Arial" w:cs="Arial" w:eastAsia="Arial" w:hAnsi="Arial"/>
          <w:sz w:val="17"/>
          <w:szCs w:val="17"/>
          <w:color w:val="auto"/>
        </w:rPr>
        <w:t>The Private Warrants are identical to the Public Warrants underlying the shares sold in Dragoneer’s initial public offering. Additionally,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64" w:lineRule="exact"/>
        <w:rPr>
          <w:rFonts w:ascii="Arial" w:cs="Arial" w:eastAsia="Arial" w:hAnsi="Arial"/>
          <w:sz w:val="18"/>
          <w:szCs w:val="18"/>
          <w:b w:val="1"/>
          <w:bCs w:val="1"/>
          <w:color w:val="auto"/>
        </w:rPr>
      </w:pPr>
    </w:p>
    <w:p>
      <w:pPr>
        <w:ind w:left="512" w:right="3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5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There were no exercises or redemptions of the Private Warrants during the three and six months ended June 30, 2022.</w:t>
      </w:r>
    </w:p>
    <w:p>
      <w:pPr>
        <w:spacing w:after="0" w:line="103" w:lineRule="exact"/>
        <w:rPr>
          <w:rFonts w:ascii="Arial" w:cs="Arial" w:eastAsia="Arial" w:hAnsi="Arial"/>
          <w:sz w:val="18"/>
          <w:szCs w:val="18"/>
          <w:b w:val="1"/>
          <w:bCs w:val="1"/>
          <w:color w:val="auto"/>
        </w:rPr>
      </w:pPr>
    </w:p>
    <w:p>
      <w:pPr>
        <w:ind w:left="512" w:right="20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The Company recognized income of $21.0 million and $23.1 million as a change in fair value of warrant liabilities in the condensed consolidated statements of operations and comprehensive income (loss) for the three and six months ended June 30, 2022, respectively.</w:t>
      </w:r>
    </w:p>
    <w:p>
      <w:pPr>
        <w:spacing w:after="0" w:line="38"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At June 30, 2022 and December 31, 2021, the Company’s warrant liability was $39.3 million and $62.5 million, respectively.</w:t>
      </w:r>
    </w:p>
    <w:p>
      <w:pPr>
        <w:spacing w:after="0" w:line="315" w:lineRule="exact"/>
        <w:rPr>
          <w:rFonts w:ascii="Arial" w:cs="Arial" w:eastAsia="Arial" w:hAnsi="Arial"/>
          <w:sz w:val="18"/>
          <w:szCs w:val="18"/>
          <w:b w:val="1"/>
          <w:bCs w:val="1"/>
          <w:color w:val="auto"/>
        </w:rPr>
      </w:pPr>
    </w:p>
    <w:p>
      <w:pPr>
        <w:ind w:left="512" w:hanging="512"/>
        <w:spacing w:after="0"/>
        <w:tabs>
          <w:tab w:leader="none" w:pos="5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03" w:lineRule="exact"/>
        <w:rPr>
          <w:rFonts w:ascii="Arial" w:cs="Arial" w:eastAsia="Arial" w:hAnsi="Arial"/>
          <w:sz w:val="18"/>
          <w:szCs w:val="18"/>
          <w:b w:val="1"/>
          <w:bCs w:val="1"/>
          <w:color w:val="auto"/>
        </w:rPr>
      </w:pPr>
    </w:p>
    <w:p>
      <w:pPr>
        <w:ind w:left="512" w:right="1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long-term agreements with suppliers and other parties related to licensing data used in its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outsourced data center, disaster recovery, and software as a service that expire at various dates through 2031. As of June 30, 2022, there were no material changes from the amounts disclosed as of December 31, 2021.</w:t>
      </w:r>
    </w:p>
    <w:p>
      <w:pPr>
        <w:spacing w:after="0" w:line="68" w:lineRule="exact"/>
        <w:rPr>
          <w:rFonts w:ascii="Arial" w:cs="Arial" w:eastAsia="Arial" w:hAnsi="Arial"/>
          <w:sz w:val="18"/>
          <w:szCs w:val="18"/>
          <w:b w:val="1"/>
          <w:bCs w:val="1"/>
          <w:color w:val="auto"/>
        </w:rPr>
      </w:pPr>
    </w:p>
    <w:p>
      <w:pPr>
        <w:ind w:left="512" w:right="40"/>
        <w:spacing w:after="0" w:line="260" w:lineRule="auto"/>
        <w:rPr>
          <w:rFonts w:ascii="Arial" w:cs="Arial" w:eastAsia="Arial" w:hAnsi="Arial"/>
          <w:sz w:val="18"/>
          <w:szCs w:val="18"/>
          <w:b w:val="1"/>
          <w:bCs w:val="1"/>
          <w:color w:val="auto"/>
        </w:rPr>
      </w:pPr>
      <w:r>
        <w:rPr>
          <w:rFonts w:ascii="Arial" w:cs="Arial" w:eastAsia="Arial" w:hAnsi="Arial"/>
          <w:sz w:val="17"/>
          <w:szCs w:val="17"/>
          <w:b w:val="1"/>
          <w:bCs w:val="1"/>
          <w:color w:val="auto"/>
        </w:rPr>
        <w:t>Guarantees—</w:t>
      </w:r>
      <w:r>
        <w:rPr>
          <w:rFonts w:ascii="Arial" w:cs="Arial" w:eastAsia="Arial" w:hAnsi="Arial"/>
          <w:sz w:val="17"/>
          <w:szCs w:val="17"/>
          <w:color w:val="auto"/>
        </w:rPr>
        <w:t>The Company’s services and solutions are typically warranted to perform in a manner consistent with general industry standards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65" w:lineRule="exact"/>
        <w:rPr>
          <w:rFonts w:ascii="Arial" w:cs="Arial" w:eastAsia="Arial" w:hAnsi="Arial"/>
          <w:sz w:val="18"/>
          <w:szCs w:val="18"/>
          <w:b w:val="1"/>
          <w:bCs w:val="1"/>
          <w:color w:val="auto"/>
        </w:rPr>
      </w:pPr>
    </w:p>
    <w:p>
      <w:pPr>
        <w:ind w:left="512" w:right="2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30" w:right="399" w:bottom="1440" w:gutter="0" w:footer="0" w:header="0"/>
        </w:sectPr>
      </w:pPr>
    </w:p>
    <w:bookmarkStart w:id="25" w:name="page26"/>
    <w:bookmarkEnd w:id="25"/>
    <w:p>
      <w:pPr>
        <w:ind w:left="512" w:right="300"/>
        <w:spacing w:after="0" w:line="296" w:lineRule="auto"/>
        <w:rPr>
          <w:sz w:val="20"/>
          <w:szCs w:val="20"/>
          <w:color w:val="auto"/>
        </w:rPr>
      </w:pPr>
      <w:r>
        <w:rPr>
          <w:rFonts w:ascii="Arial" w:cs="Arial" w:eastAsia="Arial" w:hAnsi="Arial"/>
          <w:sz w:val="17"/>
          <w:szCs w:val="17"/>
          <w:b w:val="1"/>
          <w:bCs w:val="1"/>
          <w:color w:val="auto"/>
        </w:rPr>
        <w:t>Employment Agreements</w:t>
      </w:r>
      <w:r>
        <w:rPr>
          <w:rFonts w:ascii="Arial" w:cs="Arial" w:eastAsia="Arial" w:hAnsi="Arial"/>
          <w:sz w:val="17"/>
          <w:szCs w:val="17"/>
          <w:color w:val="auto"/>
        </w:rPr>
        <w:t>—The Company is a party to employment agreements with key employees that provide for compensation and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benefits. These agreements also provide for severance and bonus payments under certain circumstances.</w:t>
      </w:r>
    </w:p>
    <w:p>
      <w:pPr>
        <w:spacing w:after="0" w:line="247" w:lineRule="exact"/>
        <w:rPr>
          <w:sz w:val="20"/>
          <w:szCs w:val="20"/>
          <w:color w:val="auto"/>
        </w:rPr>
      </w:pPr>
    </w:p>
    <w:p>
      <w:pPr>
        <w:ind w:left="512" w:hanging="512"/>
        <w:spacing w:after="0"/>
        <w:tabs>
          <w:tab w:leader="none" w:pos="51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 AND CONTINGENCIES</w:t>
      </w:r>
    </w:p>
    <w:p>
      <w:pPr>
        <w:spacing w:after="0" w:line="107" w:lineRule="exact"/>
        <w:rPr>
          <w:rFonts w:ascii="Arial" w:cs="Arial" w:eastAsia="Arial" w:hAnsi="Arial"/>
          <w:sz w:val="18"/>
          <w:szCs w:val="18"/>
          <w:b w:val="1"/>
          <w:bCs w:val="1"/>
          <w:color w:val="auto"/>
        </w:rPr>
      </w:pPr>
    </w:p>
    <w:p>
      <w:pPr>
        <w:ind w:left="512" w:right="2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259" w:lineRule="exact"/>
        <w:rPr>
          <w:rFonts w:ascii="Arial" w:cs="Arial" w:eastAsia="Arial" w:hAnsi="Arial"/>
          <w:sz w:val="18"/>
          <w:szCs w:val="18"/>
          <w:b w:val="1"/>
          <w:bCs w:val="1"/>
          <w:color w:val="auto"/>
        </w:rPr>
      </w:pPr>
    </w:p>
    <w:p>
      <w:pPr>
        <w:ind w:left="512" w:hanging="512"/>
        <w:spacing w:after="0"/>
        <w:tabs>
          <w:tab w:leader="none" w:pos="51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07"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7"/>
          <w:szCs w:val="17"/>
          <w:color w:val="auto"/>
        </w:rPr>
        <w:t>The Company has engaged in transactions within the ordinary course of business with entities affiliated with its principal equity owners.</w:t>
      </w:r>
    </w:p>
    <w:p>
      <w:pPr>
        <w:spacing w:after="0" w:line="115" w:lineRule="exact"/>
        <w:rPr>
          <w:rFonts w:ascii="Arial" w:cs="Arial" w:eastAsia="Arial" w:hAnsi="Arial"/>
          <w:sz w:val="18"/>
          <w:szCs w:val="18"/>
          <w:b w:val="1"/>
          <w:bCs w:val="1"/>
          <w:color w:val="auto"/>
        </w:rPr>
      </w:pPr>
    </w:p>
    <w:p>
      <w:pPr>
        <w:jc w:val="both"/>
        <w:ind w:left="512" w:right="22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recognized revenue from a customer that is affiliated with one of its principal equity owners. The Company recognized revenue of $0.2 million and $0.3 million from the related party customer during the three and six months ended June 30, 2022, respectively. Revenue was de minimis for the three and six months ended June 30, 2021. The associated receivable from the customer at June 30, 2022 and December 31, 2021 was de minimis.</w:t>
      </w:r>
    </w:p>
    <w:p>
      <w:pPr>
        <w:spacing w:after="0" w:line="79" w:lineRule="exact"/>
        <w:rPr>
          <w:rFonts w:ascii="Arial" w:cs="Arial" w:eastAsia="Arial" w:hAnsi="Arial"/>
          <w:sz w:val="18"/>
          <w:szCs w:val="18"/>
          <w:b w:val="1"/>
          <w:bCs w:val="1"/>
          <w:color w:val="auto"/>
        </w:rPr>
      </w:pPr>
    </w:p>
    <w:p>
      <w:pPr>
        <w:ind w:left="512" w:right="10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incurred expenses for employee health insurance benefits with an entity affiliated with one of its principal equity owners. The Company incurred expenses of $0.8 million and $1.6 million during the three and six months ended June 30, 2022, respectively. The Company incurred expenses of $0.8 million and $1.6 million during the three and six months ended June 30, 2021, respectively. The associated payable as of June 30, 2022 and December 31, 2021 was $0.3 million and $0.2 million, respectively.</w:t>
      </w:r>
    </w:p>
    <w:p>
      <w:pPr>
        <w:spacing w:after="0" w:line="79" w:lineRule="exact"/>
        <w:rPr>
          <w:rFonts w:ascii="Arial" w:cs="Arial" w:eastAsia="Arial" w:hAnsi="Arial"/>
          <w:sz w:val="18"/>
          <w:szCs w:val="18"/>
          <w:b w:val="1"/>
          <w:bCs w:val="1"/>
          <w:color w:val="auto"/>
        </w:rPr>
      </w:pPr>
    </w:p>
    <w:p>
      <w:pPr>
        <w:ind w:left="512"/>
        <w:spacing w:after="0" w:line="262" w:lineRule="auto"/>
        <w:rPr>
          <w:rFonts w:ascii="Arial" w:cs="Arial" w:eastAsia="Arial" w:hAnsi="Arial"/>
          <w:sz w:val="18"/>
          <w:szCs w:val="18"/>
          <w:b w:val="1"/>
          <w:bCs w:val="1"/>
          <w:color w:val="auto"/>
        </w:rPr>
      </w:pPr>
      <w:r>
        <w:rPr>
          <w:rFonts w:ascii="Arial" w:cs="Arial" w:eastAsia="Arial" w:hAnsi="Arial"/>
          <w:sz w:val="17"/>
          <w:szCs w:val="17"/>
          <w:color w:val="auto"/>
        </w:rPr>
        <w:t>The Company incurred expenses for human resource support services with an entity affiliated with one of its principal equity owners. The Company incurred associated expenses of a de minimis amount and $0.1 million during the three and six months ended June 30, 2022, respectively. The Company incurred associated expenses of $0.1 million and $0.05 million during the three and six months ended June 30, 2021. The associated payable for the human resource support services was de minimis at June 30, 2022 and December 31, 2021.</w:t>
      </w:r>
    </w:p>
    <w:p>
      <w:pPr>
        <w:spacing w:after="0" w:line="64" w:lineRule="exact"/>
        <w:rPr>
          <w:rFonts w:ascii="Arial" w:cs="Arial" w:eastAsia="Arial" w:hAnsi="Arial"/>
          <w:sz w:val="18"/>
          <w:szCs w:val="18"/>
          <w:b w:val="1"/>
          <w:bCs w:val="1"/>
          <w:color w:val="auto"/>
        </w:rPr>
      </w:pPr>
    </w:p>
    <w:p>
      <w:pPr>
        <w:ind w:left="512"/>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incurred expenses for sales tax processing services and license fees for tax information with an entity affiliated with one of its board members. The Company incurred expenses with the affiliated entity of $0.1 million and $0.3 million during the three and six months ended June 30, 2022, respectively. The Company incurred expenses with the affiliated entity of a de minimis amount during the three and six months ended June 30, 2021. There was no associated payable at June 30, 2022 and December 31, 2021.</w:t>
      </w:r>
    </w:p>
    <w:p>
      <w:pPr>
        <w:spacing w:after="0" w:line="79" w:lineRule="exact"/>
        <w:rPr>
          <w:rFonts w:ascii="Arial" w:cs="Arial" w:eastAsia="Arial" w:hAnsi="Arial"/>
          <w:sz w:val="18"/>
          <w:szCs w:val="18"/>
          <w:b w:val="1"/>
          <w:bCs w:val="1"/>
          <w:color w:val="auto"/>
        </w:rPr>
      </w:pPr>
    </w:p>
    <w:p>
      <w:pPr>
        <w:ind w:left="512"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Company reimburses its principal equity owners for services and any related travel and out-of-pocket expenses. The Company's expenses for services, travel and out-of-pocket expenses were de minimis during the three and six months ended June 30, 2022 and 2021. The associated payable was de minimis as of June 30, 2022 and December 31, 2021.</w:t>
      </w:r>
    </w:p>
    <w:p>
      <w:pPr>
        <w:spacing w:after="0" w:line="285" w:lineRule="exact"/>
        <w:rPr>
          <w:rFonts w:ascii="Arial" w:cs="Arial" w:eastAsia="Arial" w:hAnsi="Arial"/>
          <w:sz w:val="18"/>
          <w:szCs w:val="18"/>
          <w:b w:val="1"/>
          <w:bCs w:val="1"/>
          <w:color w:val="auto"/>
        </w:rPr>
      </w:pPr>
    </w:p>
    <w:p>
      <w:pPr>
        <w:ind w:left="512" w:hanging="512"/>
        <w:spacing w:after="0"/>
        <w:tabs>
          <w:tab w:leader="none" w:pos="51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07" w:lineRule="exact"/>
        <w:rPr>
          <w:rFonts w:ascii="Arial" w:cs="Arial" w:eastAsia="Arial" w:hAnsi="Arial"/>
          <w:sz w:val="18"/>
          <w:szCs w:val="18"/>
          <w:b w:val="1"/>
          <w:bCs w:val="1"/>
          <w:color w:val="auto"/>
        </w:rPr>
      </w:pPr>
    </w:p>
    <w:p>
      <w:pPr>
        <w:jc w:val="both"/>
        <w:ind w:left="512" w:right="30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p>
    <w:p>
      <w:pPr>
        <w:spacing w:after="0" w:line="81" w:lineRule="exact"/>
        <w:rPr>
          <w:rFonts w:ascii="Arial" w:cs="Arial" w:eastAsia="Arial" w:hAnsi="Arial"/>
          <w:sz w:val="18"/>
          <w:szCs w:val="18"/>
          <w:b w:val="1"/>
          <w:bCs w:val="1"/>
          <w:color w:val="auto"/>
        </w:rPr>
      </w:pPr>
    </w:p>
    <w:p>
      <w:pPr>
        <w:ind w:left="512"/>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8,625,000 Sponsor Vesting Shares that are issued and outstanding at June 30, 2022 are excluded from the weighted average number of shares of common stock outstanding until the vesting requirement is met and the restriction is removed.</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432" w:right="379" w:bottom="1440" w:gutter="0" w:footer="0" w:header="0"/>
        </w:sectPr>
      </w:pPr>
    </w:p>
    <w:bookmarkStart w:id="26" w:name="page27"/>
    <w:bookmarkEnd w:id="26"/>
    <w:p>
      <w:pPr>
        <w:ind w:left="520" w:right="220"/>
        <w:spacing w:after="0" w:line="261" w:lineRule="auto"/>
        <w:rPr>
          <w:sz w:val="20"/>
          <w:szCs w:val="20"/>
          <w:color w:val="auto"/>
        </w:rPr>
      </w:pPr>
      <w:r>
        <w:rPr>
          <w:rFonts w:ascii="Arial" w:cs="Arial" w:eastAsia="Arial" w:hAnsi="Arial"/>
          <w:sz w:val="18"/>
          <w:szCs w:val="18"/>
          <w:color w:val="auto"/>
        </w:rPr>
        <w:t>The following table sets forth a reconciliation of the numerator and denominator used to compute basic and diluted earnings per share of common stock (in thousands, except for share and per share data).</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4"/>
              </w:rPr>
              <w:t>For the Three Months Ended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21"/>
        </w:trPr>
        <w:tc>
          <w:tcPr>
            <w:tcW w:w="4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15,564</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3,816</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27,539</w:t>
            </w: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(1,268 )</w:t>
            </w: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Weighted average shares of common stock - basic</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605,948,628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5"/>
              </w:rPr>
              <w:t>505,430,380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5"/>
              </w:rPr>
              <w:t>604,534,589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7"/>
              </w:rPr>
              <w:t>505,252,635</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34,016,068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18,257,118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36,115,708</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47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Weighted average shares of common stock - diluted</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639,964,696</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523,687,498</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640,650,297</w:t>
            </w:r>
          </w:p>
        </w:tc>
        <w:tc>
          <w:tcPr>
            <w:tcW w:w="20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505,252,635</w:t>
            </w:r>
          </w:p>
        </w:tc>
        <w:tc>
          <w:tcPr>
            <w:tcW w:w="100" w:type="dxa"/>
            <w:vAlign w:val="bottom"/>
            <w:tcBorders>
              <w:top w:val="single" w:sz="8" w:color="CFF0FC"/>
            </w:tcBorders>
          </w:tcPr>
          <w:p>
            <w:pPr>
              <w:spacing w:after="0"/>
              <w:rPr>
                <w:sz w:val="17"/>
                <w:szCs w:val="17"/>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4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0.02</w:t>
            </w:r>
          </w:p>
        </w:tc>
        <w:tc>
          <w:tcPr>
            <w:tcW w:w="5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0.04</w:t>
            </w:r>
          </w:p>
        </w:tc>
        <w:tc>
          <w:tcPr>
            <w:tcW w:w="64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-519430</wp:posOffset>
            </wp:positionV>
            <wp:extent cx="685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-519430</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-519430</wp:posOffset>
            </wp:positionV>
            <wp:extent cx="596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-519430</wp:posOffset>
            </wp:positionV>
            <wp:extent cx="59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left="520" w:right="40"/>
        <w:spacing w:after="0" w:line="241" w:lineRule="auto"/>
        <w:rPr>
          <w:sz w:val="20"/>
          <w:szCs w:val="20"/>
          <w:color w:val="auto"/>
        </w:rPr>
      </w:pPr>
      <w:r>
        <w:rPr>
          <w:rFonts w:ascii="Arial" w:cs="Arial" w:eastAsia="Arial" w:hAnsi="Arial"/>
          <w:sz w:val="18"/>
          <w:szCs w:val="18"/>
          <w:color w:val="auto"/>
        </w:rPr>
        <w:t>Approximately 22,162,166 common stock equivalent shares were excluded from the computation of diluted per share amounts for the three months ended June 30, 2022, because their effect was anti-dilutive. No common stock equivalent shares were excluded from the computation of diluted per share amounts for the three months ended June 30, 2021. Approximately 14,336,893 and 18,185,977 common stock equivalent shares were excluded from the computation of diluted per share amounts for the six months ended June 30, 2022 and 2021, respectively, because their effect was anti-dilutive.</w:t>
      </w:r>
    </w:p>
    <w:p>
      <w:pPr>
        <w:spacing w:after="0" w:line="29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INFORMATION ABOUT GEOGRAPHIC AREAS</w:t>
      </w:r>
    </w:p>
    <w:p>
      <w:pPr>
        <w:spacing w:after="0" w:line="107" w:lineRule="exact"/>
        <w:rPr>
          <w:rFonts w:ascii="Arial" w:cs="Arial" w:eastAsia="Arial" w:hAnsi="Arial"/>
          <w:sz w:val="18"/>
          <w:szCs w:val="18"/>
          <w:b w:val="1"/>
          <w:bCs w:val="1"/>
          <w:color w:val="auto"/>
        </w:rPr>
      </w:pPr>
    </w:p>
    <w:p>
      <w:pPr>
        <w:ind w:left="520" w:right="4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3"/>
              </w:rPr>
              <w:t>For the Three Months Ended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90"/>
              </w:rPr>
              <w:t>For the Six Months Ended</w:t>
            </w:r>
          </w:p>
        </w:tc>
        <w:tc>
          <w:tcPr>
            <w:tcW w:w="100" w:type="dxa"/>
            <w:vAlign w:val="bottom"/>
          </w:tcPr>
          <w:p>
            <w:pPr>
              <w:spacing w:after="0"/>
              <w:rPr>
                <w:sz w:val="18"/>
                <w:szCs w:val="18"/>
                <w:color w:val="auto"/>
              </w:rPr>
            </w:pPr>
          </w:p>
        </w:tc>
      </w:tr>
      <w:tr>
        <w:trPr>
          <w:trHeight w:val="221"/>
        </w:trPr>
        <w:tc>
          <w:tcPr>
            <w:tcW w:w="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190,852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ind w:left="320"/>
              <w:spacing w:after="0" w:line="196" w:lineRule="exact"/>
              <w:rPr>
                <w:sz w:val="20"/>
                <w:szCs w:val="20"/>
                <w:color w:val="auto"/>
              </w:rPr>
            </w:pPr>
            <w:r>
              <w:rPr>
                <w:rFonts w:ascii="Arial" w:cs="Arial" w:eastAsia="Arial" w:hAnsi="Arial"/>
                <w:sz w:val="18"/>
                <w:szCs w:val="18"/>
                <w:color w:val="auto"/>
                <w:w w:val="89"/>
              </w:rPr>
              <w:t>165,502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375,691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321,487</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1,287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7"/>
              </w:rPr>
              <w:t>3,918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3,091</w:t>
            </w:r>
          </w:p>
        </w:tc>
        <w:tc>
          <w:tcPr>
            <w:tcW w:w="100" w:type="dxa"/>
            <w:vAlign w:val="bottom"/>
          </w:tcPr>
          <w:p>
            <w:pPr>
              <w:spacing w:after="0"/>
              <w:rPr>
                <w:sz w:val="17"/>
                <w:szCs w:val="17"/>
                <w:color w:val="auto"/>
              </w:rPr>
            </w:pPr>
          </w:p>
        </w:tc>
      </w:tr>
      <w:tr>
        <w:trPr>
          <w:trHeight w:val="236"/>
        </w:trPr>
        <w:tc>
          <w:tcPr>
            <w:tcW w:w="60" w:type="dxa"/>
            <w:vAlign w:val="bottom"/>
          </w:tcPr>
          <w:p>
            <w:pPr>
              <w:spacing w:after="0"/>
              <w:rPr>
                <w:sz w:val="20"/>
                <w:szCs w:val="20"/>
                <w:color w:val="auto"/>
              </w:rPr>
            </w:pPr>
          </w:p>
        </w:tc>
        <w:tc>
          <w:tcPr>
            <w:tcW w:w="51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192,786</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ind w:left="320"/>
              <w:spacing w:after="0" w:line="182" w:lineRule="exact"/>
              <w:rPr>
                <w:sz w:val="20"/>
                <w:szCs w:val="20"/>
                <w:color w:val="auto"/>
              </w:rPr>
            </w:pPr>
            <w:r>
              <w:rPr>
                <w:rFonts w:ascii="Arial" w:cs="Arial" w:eastAsia="Arial" w:hAnsi="Arial"/>
                <w:sz w:val="18"/>
                <w:szCs w:val="18"/>
                <w:color w:val="auto"/>
                <w:w w:val="89"/>
              </w:rPr>
              <w:t>166,789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379,609</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324,578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40"/>
        </w:trPr>
        <w:tc>
          <w:tcPr>
            <w:tcW w:w="6380" w:type="dxa"/>
            <w:vAlign w:val="bottom"/>
            <w:gridSpan w:val="4"/>
          </w:tcPr>
          <w:p>
            <w:pPr>
              <w:jc w:val="right"/>
              <w:spacing w:after="0"/>
              <w:rPr>
                <w:sz w:val="20"/>
                <w:szCs w:val="20"/>
                <w:color w:val="auto"/>
              </w:rPr>
            </w:pPr>
            <w:r>
              <w:rPr>
                <w:rFonts w:ascii="Arial" w:cs="Arial" w:eastAsia="Arial" w:hAnsi="Arial"/>
                <w:sz w:val="18"/>
                <w:szCs w:val="18"/>
                <w:color w:val="auto"/>
                <w:w w:val="89"/>
              </w:rPr>
              <w:t>Software, equipment and property, net by geographic area are as follows (in thousands):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24"/>
                <w:szCs w:val="24"/>
                <w:color w:val="auto"/>
              </w:rPr>
            </w:pPr>
          </w:p>
        </w:tc>
      </w:tr>
      <w:tr>
        <w:trPr>
          <w:trHeight w:val="221"/>
        </w:trPr>
        <w:tc>
          <w:tcPr>
            <w:tcW w:w="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49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9"/>
                <w:szCs w:val="19"/>
                <w:color w:val="auto"/>
              </w:rPr>
            </w:pPr>
          </w:p>
        </w:tc>
      </w:tr>
      <w:tr>
        <w:trPr>
          <w:trHeight w:val="196"/>
        </w:trPr>
        <w:tc>
          <w:tcPr>
            <w:tcW w:w="60" w:type="dxa"/>
            <w:vAlign w:val="bottom"/>
          </w:tcPr>
          <w:p>
            <w:pPr>
              <w:spacing w:after="0"/>
              <w:rPr>
                <w:sz w:val="17"/>
                <w:szCs w:val="17"/>
                <w:color w:val="auto"/>
              </w:rPr>
            </w:pPr>
          </w:p>
        </w:tc>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143,586</w:t>
            </w:r>
          </w:p>
        </w:tc>
        <w:tc>
          <w:tcPr>
            <w:tcW w:w="3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135,784</w:t>
            </w:r>
          </w:p>
        </w:tc>
        <w:tc>
          <w:tcPr>
            <w:tcW w:w="100" w:type="dxa"/>
            <w:vAlign w:val="bottom"/>
            <w:shd w:val="clear" w:color="auto" w:fill="CFF0FC"/>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r>
      <w:tr>
        <w:trPr>
          <w:trHeight w:val="236"/>
        </w:trPr>
        <w:tc>
          <w:tcPr>
            <w:tcW w:w="60" w:type="dxa"/>
            <w:vAlign w:val="bottom"/>
          </w:tcPr>
          <w:p>
            <w:pPr>
              <w:spacing w:after="0"/>
              <w:rPr>
                <w:sz w:val="20"/>
                <w:szCs w:val="20"/>
                <w:color w:val="auto"/>
              </w:rPr>
            </w:pPr>
          </w:p>
        </w:tc>
        <w:tc>
          <w:tcPr>
            <w:tcW w:w="51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software, equipment and property-net</w:t>
            </w:r>
          </w:p>
        </w:tc>
        <w:tc>
          <w:tcPr>
            <w:tcW w:w="1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143,629</w:t>
            </w:r>
          </w:p>
        </w:tc>
        <w:tc>
          <w:tcPr>
            <w:tcW w:w="3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135,845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-1122045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-1104900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-1122045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-1104900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-1122045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-1104900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-1122045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-1104900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GAIN ON SALE OF COST METHOD INVESTMENT</w:t>
      </w:r>
    </w:p>
    <w:p>
      <w:pPr>
        <w:spacing w:after="0" w:line="107" w:lineRule="exact"/>
        <w:rPr>
          <w:rFonts w:ascii="Arial" w:cs="Arial" w:eastAsia="Arial" w:hAnsi="Arial"/>
          <w:sz w:val="18"/>
          <w:szCs w:val="18"/>
          <w:b w:val="1"/>
          <w:bCs w:val="1"/>
          <w:color w:val="auto"/>
        </w:rPr>
      </w:pPr>
    </w:p>
    <w:p>
      <w:pPr>
        <w:ind w:left="520" w:right="2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During February 2022, the Company received cash proceeds of $3.9 million in exchange for its equity interest in an investee as a result of the acquisition of the investee. The Company had been accounting for its investment using the cost method and recognized a gain of $3.6 million during the six months ended June 30, 2022. The investment’s carrying value was $0.3 million and was included within other assets on the accompanying condensed consolidated balance sheet at December 31, 2021. The Company no longer has any ownership interest in the investee.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spacing w:after="0" w:line="17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i w:val="1"/>
          <w:iCs w:val="1"/>
          <w:color w:val="auto"/>
        </w:rPr>
        <w:t>Unless otherwise indicated or the context otherwise requires, references to “CCC,” the “Company,” “we,” “us,” “our” and other similar terms refer to Cypress Holdings Inc. and its consolidated subsidiaries prior to the Business Combination and to CCC Intelligent Solutions Holdings Inc. and its consolidated subsidiaries after giving effect to the Business Combination.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Founded in 1980, CCC is a leading provider of innovative cloud, mobile, AI,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17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17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believe we have become a leading insurance and repair SaaS provider in the U.S. by increasing the depth and breadth of our SaaS offerings over many years. Our insurance solutions help insurance carriers manage mission-critical workflows, from claims to underwriting,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27,500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19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19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have processed more than $1 trillion of historical data across our network, allowing us to build proprietary data assets that leverage insurance claims, vehicle repair, automotive parts and other vehicle-specific information. We are uniquely positioned to provide data-driven insights, analytics, and AI-enhanced workflows that strengthen our solutions and improve business outcomes for our customers. Our suite of AI solutions increases automation across existing insurer processes including vehicle damage detection, claim triage, repair estimating, intelligent claims review, and subrogation. We deliver real-world AI with more than 95 U.S. auto insurers actively using AI-powered solutions in production environments. We have processed more than 9 million unique claims using CCC deep learning AI as of December 31, 2021, an increase of more than 80 percent over December 31, 2020.</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8" w:name="page29"/>
    <w:bookmarkEnd w:id="28"/>
    <w:p>
      <w:pPr>
        <w:ind w:right="120" w:firstLine="509"/>
        <w:spacing w:after="0" w:line="241" w:lineRule="auto"/>
        <w:rPr>
          <w:sz w:val="20"/>
          <w:szCs w:val="20"/>
          <w:color w:val="auto"/>
        </w:rPr>
      </w:pPr>
      <w:r>
        <w:rPr>
          <w:rFonts w:ascii="Arial" w:cs="Arial" w:eastAsia="Arial" w:hAnsi="Arial"/>
          <w:sz w:val="18"/>
          <w:szCs w:val="18"/>
          <w:color w:val="auto"/>
        </w:rPr>
        <w:t>One of the primary obstacles facing the P&amp;C insurance economy is increasing complexity. Complexity in the P&amp;C insurance economy is driven by technological advancements, Internet of Things (“IoT”) data, new business models, and changing customer expectations. We believe digitization plays a critical role in managing this growing complexity while meeting customer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18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w:t>
      </w:r>
    </w:p>
    <w:p>
      <w:pPr>
        <w:spacing w:after="0" w:line="17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30,000 total customers, including over 27,500 automotive collision repair facilities (including repairers and other entities that estimate damaged vehicles), thousands of automotive dealers, 13 of the top 15 automotive manufacturers, based on new vehicle sales, and numerous other companies that participate in the P&amp;C insurance economy.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and Operating Metrics</w:t>
      </w:r>
    </w:p>
    <w:p>
      <w:pPr>
        <w:spacing w:after="0" w:line="108"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NDR</w:t>
      </w:r>
    </w:p>
    <w:p>
      <w:pPr>
        <w:spacing w:after="0" w:line="10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 in the solutions purchased, changes in pricing and transaction volume, but does not reflect revenue for new customers added. The calculation excludes: (a) changes in estimates related to the timing of one-time revenue and other revenue, including professional services, and</w:t>
      </w:r>
    </w:p>
    <w:p>
      <w:pPr>
        <w:spacing w:after="0" w:line="1" w:lineRule="exact"/>
        <w:rPr>
          <w:sz w:val="20"/>
          <w:szCs w:val="20"/>
          <w:color w:val="auto"/>
        </w:rPr>
      </w:pPr>
    </w:p>
    <w:p>
      <w:pPr>
        <w:ind w:right="40" w:firstLine="8"/>
        <w:spacing w:after="0" w:line="264"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diagnostic providers, smaller emerging solutions with international subsidiaries or other ecosystem solutions, such as parts suppliers and other automotive manufacturers, and also excludes CCC Casualty which are largely usage and professional service based solutions.</w:t>
      </w:r>
    </w:p>
    <w:tbl>
      <w:tblPr>
        <w:tblLayout w:type="fixed"/>
        <w:tblInd w:w="0" w:type="dxa"/>
        <w:tblCellMar>
          <w:top w:w="0" w:type="dxa"/>
          <w:left w:w="0" w:type="dxa"/>
          <w:bottom w:w="0" w:type="dxa"/>
          <w:right w:w="0" w:type="dxa"/>
        </w:tblCellMar>
      </w:tblPr>
      <w:tr>
        <w:trPr>
          <w:trHeight w:val="202"/>
        </w:trPr>
        <w:tc>
          <w:tcPr>
            <w:tcW w:w="6620" w:type="dxa"/>
            <w:vAlign w:val="bottom"/>
          </w:tcPr>
          <w:p>
            <w:pPr>
              <w:spacing w:after="0"/>
              <w:rPr>
                <w:sz w:val="17"/>
                <w:szCs w:val="17"/>
                <w:color w:val="auto"/>
              </w:rPr>
            </w:pPr>
          </w:p>
        </w:tc>
        <w:tc>
          <w:tcPr>
            <w:tcW w:w="1440" w:type="dxa"/>
            <w:vAlign w:val="bottom"/>
          </w:tcPr>
          <w:p>
            <w:pPr>
              <w:ind w:left="100"/>
              <w:spacing w:after="0" w:line="201" w:lineRule="exact"/>
              <w:rPr>
                <w:sz w:val="20"/>
                <w:szCs w:val="20"/>
                <w:color w:val="auto"/>
              </w:rPr>
            </w:pPr>
            <w:r>
              <w:rPr>
                <w:rFonts w:ascii="Arial" w:cs="Arial" w:eastAsia="Arial" w:hAnsi="Arial"/>
                <w:sz w:val="18"/>
                <w:szCs w:val="18"/>
                <w:b w:val="1"/>
                <w:bCs w:val="1"/>
                <w:color w:val="auto"/>
              </w:rPr>
              <w:t>Quarter Ending</w:t>
            </w:r>
          </w:p>
        </w:tc>
        <w:tc>
          <w:tcPr>
            <w:tcW w:w="1580" w:type="dxa"/>
            <w:vAlign w:val="bottom"/>
            <w:gridSpan w:val="2"/>
          </w:tcPr>
          <w:p>
            <w:pPr>
              <w:jc w:val="center"/>
              <w:ind w:left="90"/>
              <w:spacing w:after="0" w:line="201" w:lineRule="exact"/>
              <w:rPr>
                <w:sz w:val="20"/>
                <w:szCs w:val="20"/>
                <w:color w:val="auto"/>
              </w:rPr>
            </w:pPr>
            <w:r>
              <w:rPr>
                <w:rFonts w:ascii="Arial" w:cs="Arial" w:eastAsia="Arial" w:hAnsi="Arial"/>
                <w:sz w:val="18"/>
                <w:szCs w:val="18"/>
                <w:b w:val="1"/>
                <w:bCs w:val="1"/>
                <w:color w:val="auto"/>
                <w:w w:val="89"/>
              </w:rPr>
              <w:t>2022</w:t>
            </w:r>
          </w:p>
        </w:tc>
        <w:tc>
          <w:tcPr>
            <w:tcW w:w="1600" w:type="dxa"/>
            <w:vAlign w:val="bottom"/>
            <w:gridSpan w:val="2"/>
          </w:tcPr>
          <w:p>
            <w:pPr>
              <w:jc w:val="center"/>
              <w:ind w:left="70"/>
              <w:spacing w:after="0" w:line="201" w:lineRule="exact"/>
              <w:rPr>
                <w:sz w:val="20"/>
                <w:szCs w:val="20"/>
                <w:color w:val="auto"/>
              </w:rPr>
            </w:pPr>
            <w:r>
              <w:rPr>
                <w:rFonts w:ascii="Arial" w:cs="Arial" w:eastAsia="Arial" w:hAnsi="Arial"/>
                <w:sz w:val="18"/>
                <w:szCs w:val="18"/>
                <w:b w:val="1"/>
                <w:bCs w:val="1"/>
                <w:color w:val="auto"/>
                <w:w w:val="89"/>
              </w:rPr>
              <w:t>2021</w:t>
            </w: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Software NDR</w:t>
            </w:r>
          </w:p>
        </w:tc>
        <w:tc>
          <w:tcPr>
            <w:tcW w:w="14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March 31</w:t>
            </w:r>
          </w:p>
        </w:tc>
        <w:tc>
          <w:tcPr>
            <w:tcW w:w="16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114%</w:t>
            </w:r>
          </w:p>
        </w:tc>
        <w:tc>
          <w:tcPr>
            <w:tcW w:w="16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106%</w:t>
            </w:r>
          </w:p>
        </w:tc>
      </w:tr>
      <w:tr>
        <w:trPr>
          <w:trHeight w:val="203"/>
        </w:trPr>
        <w:tc>
          <w:tcPr>
            <w:tcW w:w="662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June 30</w:t>
            </w:r>
          </w:p>
        </w:tc>
        <w:tc>
          <w:tcPr>
            <w:tcW w:w="15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1"/>
              </w:rPr>
              <w:t>111%</w:t>
            </w:r>
          </w:p>
        </w:tc>
        <w:tc>
          <w:tcPr>
            <w:tcW w:w="160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1"/>
              </w:rPr>
              <w:t>110%</w:t>
            </w:r>
          </w:p>
        </w:tc>
      </w:tr>
      <w:tr>
        <w:trPr>
          <w:trHeight w:val="203"/>
        </w:trPr>
        <w:tc>
          <w:tcPr>
            <w:tcW w:w="6620" w:type="dxa"/>
            <w:vAlign w:val="bottom"/>
            <w:shd w:val="clear" w:color="auto" w:fill="CFF0FC"/>
          </w:tcPr>
          <w:p>
            <w:pPr>
              <w:spacing w:after="0"/>
              <w:rPr>
                <w:sz w:val="17"/>
                <w:szCs w:val="17"/>
                <w:color w:val="auto"/>
              </w:rPr>
            </w:pPr>
          </w:p>
        </w:tc>
        <w:tc>
          <w:tcPr>
            <w:tcW w:w="1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September 30</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1"/>
              </w:rPr>
              <w:t>113%</w:t>
            </w:r>
          </w:p>
        </w:tc>
      </w:tr>
      <w:tr>
        <w:trPr>
          <w:trHeight w:val="230"/>
        </w:trPr>
        <w:tc>
          <w:tcPr>
            <w:tcW w:w="662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115%</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GDR</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100"/>
        <w:spacing w:after="0" w:line="250" w:lineRule="auto"/>
        <w:rPr>
          <w:sz w:val="20"/>
          <w:szCs w:val="20"/>
          <w:color w:val="auto"/>
        </w:rPr>
      </w:pPr>
      <w:r>
        <w:rPr>
          <w:rFonts w:ascii="Arial" w:cs="Arial" w:eastAsia="Arial" w:hAnsi="Arial"/>
          <w:sz w:val="17"/>
          <w:szCs w:val="17"/>
          <w:color w:val="auto"/>
        </w:rPr>
        <w:t>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diagnostic providers, smaller emerging solutions with international subsidiaries or other ecosystem solutions, such as parts suppliers and other automotive manufacturers, and excludes CCC’s casualty solutions which are largely usage and professional service based solutions.</w:t>
      </w: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1440" w:type="dxa"/>
            <w:vAlign w:val="bottom"/>
          </w:tcPr>
          <w:p>
            <w:pPr>
              <w:ind w:left="100"/>
              <w:spacing w:after="0" w:line="203" w:lineRule="exact"/>
              <w:rPr>
                <w:sz w:val="20"/>
                <w:szCs w:val="20"/>
                <w:color w:val="auto"/>
              </w:rPr>
            </w:pPr>
            <w:r>
              <w:rPr>
                <w:rFonts w:ascii="Arial" w:cs="Arial" w:eastAsia="Arial" w:hAnsi="Arial"/>
                <w:sz w:val="18"/>
                <w:szCs w:val="18"/>
                <w:b w:val="1"/>
                <w:bCs w:val="1"/>
                <w:color w:val="auto"/>
              </w:rPr>
              <w:t>Quarter Ending</w:t>
            </w:r>
          </w:p>
        </w:tc>
        <w:tc>
          <w:tcPr>
            <w:tcW w:w="1580" w:type="dxa"/>
            <w:vAlign w:val="bottom"/>
            <w:gridSpan w:val="2"/>
          </w:tcPr>
          <w:p>
            <w:pPr>
              <w:jc w:val="center"/>
              <w:ind w:left="90"/>
              <w:spacing w:after="0" w:line="203" w:lineRule="exact"/>
              <w:rPr>
                <w:sz w:val="20"/>
                <w:szCs w:val="20"/>
                <w:color w:val="auto"/>
              </w:rPr>
            </w:pPr>
            <w:r>
              <w:rPr>
                <w:rFonts w:ascii="Arial" w:cs="Arial" w:eastAsia="Arial" w:hAnsi="Arial"/>
                <w:sz w:val="18"/>
                <w:szCs w:val="18"/>
                <w:b w:val="1"/>
                <w:bCs w:val="1"/>
                <w:color w:val="auto"/>
                <w:w w:val="89"/>
              </w:rPr>
              <w:t>2022</w:t>
            </w:r>
          </w:p>
        </w:tc>
        <w:tc>
          <w:tcPr>
            <w:tcW w:w="1600" w:type="dxa"/>
            <w:vAlign w:val="bottom"/>
            <w:gridSpan w:val="2"/>
          </w:tcPr>
          <w:p>
            <w:pPr>
              <w:jc w:val="center"/>
              <w:ind w:left="70"/>
              <w:spacing w:after="0" w:line="203" w:lineRule="exact"/>
              <w:rPr>
                <w:sz w:val="20"/>
                <w:szCs w:val="20"/>
                <w:color w:val="auto"/>
              </w:rPr>
            </w:pPr>
            <w:r>
              <w:rPr>
                <w:rFonts w:ascii="Arial" w:cs="Arial" w:eastAsia="Arial" w:hAnsi="Arial"/>
                <w:sz w:val="18"/>
                <w:szCs w:val="18"/>
                <w:b w:val="1"/>
                <w:bCs w:val="1"/>
                <w:color w:val="auto"/>
                <w:w w:val="89"/>
              </w:rPr>
              <w:t>2021</w:t>
            </w: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Software GDR</w:t>
            </w:r>
          </w:p>
        </w:tc>
        <w:tc>
          <w:tcPr>
            <w:tcW w:w="14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March 31</w:t>
            </w:r>
          </w:p>
        </w:tc>
        <w:tc>
          <w:tcPr>
            <w:tcW w:w="16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99%</w:t>
            </w:r>
          </w:p>
        </w:tc>
        <w:tc>
          <w:tcPr>
            <w:tcW w:w="16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98%</w:t>
            </w:r>
          </w:p>
        </w:tc>
      </w:tr>
      <w:tr>
        <w:trPr>
          <w:trHeight w:val="202"/>
        </w:trPr>
        <w:tc>
          <w:tcPr>
            <w:tcW w:w="662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Arial" w:cs="Arial" w:eastAsia="Arial" w:hAnsi="Arial"/>
                <w:sz w:val="18"/>
                <w:szCs w:val="18"/>
                <w:color w:val="auto"/>
              </w:rPr>
              <w:t>June 30</w:t>
            </w:r>
          </w:p>
        </w:tc>
        <w:tc>
          <w:tcPr>
            <w:tcW w:w="15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4"/>
              </w:rPr>
              <w:t>99%</w:t>
            </w:r>
          </w:p>
        </w:tc>
        <w:tc>
          <w:tcPr>
            <w:tcW w:w="160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88"/>
              </w:rPr>
              <w:t>98%</w:t>
            </w:r>
          </w:p>
        </w:tc>
      </w:tr>
      <w:tr>
        <w:trPr>
          <w:trHeight w:val="203"/>
        </w:trPr>
        <w:tc>
          <w:tcPr>
            <w:tcW w:w="6620" w:type="dxa"/>
            <w:vAlign w:val="bottom"/>
            <w:shd w:val="clear" w:color="auto" w:fill="CFF0FC"/>
          </w:tcPr>
          <w:p>
            <w:pPr>
              <w:spacing w:after="0"/>
              <w:rPr>
                <w:sz w:val="17"/>
                <w:szCs w:val="17"/>
                <w:color w:val="auto"/>
              </w:rPr>
            </w:pPr>
          </w:p>
        </w:tc>
        <w:tc>
          <w:tcPr>
            <w:tcW w:w="1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September 30</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88"/>
              </w:rPr>
              <w:t>98%</w:t>
            </w:r>
          </w:p>
        </w:tc>
      </w:tr>
      <w:tr>
        <w:trPr>
          <w:trHeight w:val="230"/>
        </w:trPr>
        <w:tc>
          <w:tcPr>
            <w:tcW w:w="662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98%</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to the three months ended June 30, 2021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1"/>
        </w:trPr>
        <w:tc>
          <w:tcPr>
            <w:tcW w:w="5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 except share and per share data)</w:t>
            </w:r>
          </w:p>
        </w:tc>
        <w:tc>
          <w:tcPr>
            <w:tcW w:w="180" w:type="dxa"/>
            <w:vAlign w:val="bottom"/>
          </w:tcPr>
          <w:p>
            <w:pPr>
              <w:spacing w:after="0"/>
              <w:rPr>
                <w:sz w:val="19"/>
                <w:szCs w:val="19"/>
                <w:color w:val="auto"/>
              </w:rPr>
            </w:pPr>
          </w:p>
        </w:tc>
        <w:tc>
          <w:tcPr>
            <w:tcW w:w="29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3"/>
              </w:rPr>
              <w:t>Three Months Ended June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96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192,786</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166,789</w:t>
            </w:r>
          </w:p>
        </w:tc>
        <w:tc>
          <w:tcPr>
            <w:tcW w:w="240" w:type="dxa"/>
            <w:vAlign w:val="bottom"/>
          </w:tcPr>
          <w:p>
            <w:pPr>
              <w:spacing w:after="0"/>
              <w:rPr>
                <w:sz w:val="17"/>
                <w:szCs w:val="17"/>
                <w:color w:val="auto"/>
              </w:rPr>
            </w:pPr>
          </w:p>
        </w:tc>
        <w:tc>
          <w:tcPr>
            <w:tcW w:w="32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25,997</w:t>
            </w:r>
          </w:p>
        </w:tc>
        <w:tc>
          <w:tcPr>
            <w:tcW w:w="260" w:type="dxa"/>
            <w:vAlign w:val="bottom"/>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15.6</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80" w:type="dxa"/>
            <w:vAlign w:val="bottom"/>
            <w:gridSpan w:val="2"/>
          </w:tcPr>
          <w:p>
            <w:pPr>
              <w:ind w:left="380"/>
              <w:spacing w:after="0" w:line="162" w:lineRule="exact"/>
              <w:rPr>
                <w:sz w:val="20"/>
                <w:szCs w:val="20"/>
                <w:color w:val="auto"/>
              </w:rPr>
            </w:pPr>
            <w:r>
              <w:rPr>
                <w:rFonts w:ascii="Arial" w:cs="Arial" w:eastAsia="Arial" w:hAnsi="Arial"/>
                <w:sz w:val="18"/>
                <w:szCs w:val="18"/>
                <w:color w:val="auto"/>
              </w:rPr>
              <w:t>Cost of revenues, exclusive of amortization of</w:t>
            </w: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46,095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38,932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7,163</w:t>
            </w:r>
          </w:p>
        </w:tc>
        <w:tc>
          <w:tcPr>
            <w:tcW w:w="26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16"/>
        </w:trPr>
        <w:tc>
          <w:tcPr>
            <w:tcW w:w="5480" w:type="dxa"/>
            <w:vAlign w:val="bottom"/>
            <w:gridSpan w:val="2"/>
          </w:tcPr>
          <w:p>
            <w:pPr>
              <w:ind w:left="520"/>
              <w:spacing w:after="0"/>
              <w:rPr>
                <w:sz w:val="20"/>
                <w:szCs w:val="20"/>
                <w:color w:val="auto"/>
              </w:rPr>
            </w:pPr>
            <w:r>
              <w:rPr>
                <w:rFonts w:ascii="Arial" w:cs="Arial" w:eastAsia="Arial" w:hAnsi="Arial"/>
                <w:sz w:val="18"/>
                <w:szCs w:val="18"/>
                <w:color w:val="auto"/>
              </w:rPr>
              <w:t>acquired technologies</w:t>
            </w: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480" w:type="dxa"/>
            <w:vAlign w:val="bottom"/>
            <w:gridSpan w:val="2"/>
          </w:tcPr>
          <w:p>
            <w:pPr>
              <w:ind w:left="380"/>
              <w:spacing w:after="0" w:line="180" w:lineRule="exact"/>
              <w:rPr>
                <w:sz w:val="20"/>
                <w:szCs w:val="20"/>
                <w:color w:val="auto"/>
              </w:rPr>
            </w:pPr>
            <w:r>
              <w:rPr>
                <w:rFonts w:ascii="Arial" w:cs="Arial" w:eastAsia="Arial" w:hAnsi="Arial"/>
                <w:sz w:val="18"/>
                <w:szCs w:val="18"/>
                <w:color w:val="auto"/>
              </w:rPr>
              <w:t>Amortization of acquired technologies</w:t>
            </w:r>
          </w:p>
        </w:tc>
        <w:tc>
          <w:tcPr>
            <w:tcW w:w="1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8"/>
                <w:szCs w:val="18"/>
                <w:color w:val="auto"/>
              </w:rPr>
              <w:t>6,750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Arial" w:cs="Arial" w:eastAsia="Arial" w:hAnsi="Arial"/>
                <w:sz w:val="18"/>
                <w:szCs w:val="18"/>
                <w:color w:val="auto"/>
              </w:rPr>
              <w:t>6,580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8"/>
                <w:szCs w:val="18"/>
                <w:color w:val="auto"/>
              </w:rPr>
              <w:t>170</w:t>
            </w:r>
          </w:p>
        </w:tc>
        <w:tc>
          <w:tcPr>
            <w:tcW w:w="260" w:type="dxa"/>
            <w:vAlign w:val="bottom"/>
          </w:tcPr>
          <w:p>
            <w:pPr>
              <w:spacing w:after="0"/>
              <w:rPr>
                <w:sz w:val="15"/>
                <w:szCs w:val="15"/>
                <w:color w:val="auto"/>
              </w:rPr>
            </w:pPr>
          </w:p>
        </w:tc>
        <w:tc>
          <w:tcPr>
            <w:tcW w:w="1320" w:type="dxa"/>
            <w:vAlign w:val="bottom"/>
            <w:gridSpan w:val="3"/>
          </w:tcPr>
          <w:p>
            <w:pPr>
              <w:jc w:val="right"/>
              <w:spacing w:after="0" w:line="180"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
        </w:trPr>
        <w:tc>
          <w:tcPr>
            <w:tcW w:w="5480" w:type="dxa"/>
            <w:vAlign w:val="bottom"/>
            <w:gridSpan w:val="2"/>
            <w:vMerge w:val="restart"/>
          </w:tcPr>
          <w:p>
            <w:pPr>
              <w:ind w:left="20"/>
              <w:spacing w:after="0" w:line="239" w:lineRule="exact"/>
              <w:rPr>
                <w:sz w:val="20"/>
                <w:szCs w:val="20"/>
                <w:color w:val="auto"/>
              </w:rPr>
            </w:pPr>
            <w:r>
              <w:rPr>
                <w:rFonts w:ascii="Arial" w:cs="Arial" w:eastAsia="Arial" w:hAnsi="Arial"/>
                <w:sz w:val="18"/>
                <w:szCs w:val="18"/>
                <w:color w:val="auto"/>
              </w:rPr>
              <w:t>Cost of revenues</w:t>
            </w:r>
            <w:r>
              <w:rPr>
                <w:rFonts w:ascii="Arial" w:cs="Arial" w:eastAsia="Arial" w:hAnsi="Arial"/>
                <w:sz w:val="24"/>
                <w:szCs w:val="24"/>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52,845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45,512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7,333</w:t>
            </w:r>
          </w:p>
        </w:tc>
        <w:tc>
          <w:tcPr>
            <w:tcW w:w="26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139,941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121,277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18,664</w:t>
            </w:r>
          </w:p>
        </w:tc>
        <w:tc>
          <w:tcPr>
            <w:tcW w:w="260" w:type="dxa"/>
            <w:vAlign w:val="bottom"/>
          </w:tcPr>
          <w:p>
            <w:pPr>
              <w:spacing w:after="0"/>
              <w:rPr>
                <w:sz w:val="17"/>
                <w:szCs w:val="17"/>
                <w:color w:val="auto"/>
              </w:rPr>
            </w:pP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166"/>
        </w:trPr>
        <w:tc>
          <w:tcPr>
            <w:tcW w:w="54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38,758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31,253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7,505</w:t>
            </w:r>
          </w:p>
        </w:tc>
        <w:tc>
          <w:tcPr>
            <w:tcW w:w="260" w:type="dxa"/>
            <w:vAlign w:val="bottom"/>
          </w:tcPr>
          <w:p>
            <w:pPr>
              <w:spacing w:after="0"/>
              <w:rPr>
                <w:sz w:val="17"/>
                <w:szCs w:val="17"/>
                <w:color w:val="auto"/>
              </w:rPr>
            </w:pP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31,091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21,551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9,540</w:t>
            </w:r>
          </w:p>
        </w:tc>
        <w:tc>
          <w:tcPr>
            <w:tcW w:w="260" w:type="dxa"/>
            <w:vAlign w:val="bottom"/>
          </w:tcPr>
          <w:p>
            <w:pPr>
              <w:spacing w:after="0"/>
              <w:rPr>
                <w:sz w:val="17"/>
                <w:szCs w:val="17"/>
                <w:color w:val="auto"/>
              </w:rPr>
            </w:pP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39"/>
        </w:trPr>
        <w:tc>
          <w:tcPr>
            <w:tcW w:w="5480" w:type="dxa"/>
            <w:vAlign w:val="bottom"/>
            <w:gridSpan w:val="2"/>
          </w:tcPr>
          <w:p>
            <w:pPr>
              <w:ind w:left="380"/>
              <w:spacing w:after="0" w:line="239"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39,509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28,394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11,115</w:t>
            </w: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18,066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18,078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(12 )</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127,424</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99,276</w:t>
            </w:r>
          </w:p>
        </w:tc>
        <w:tc>
          <w:tcPr>
            <w:tcW w:w="2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28,148</w:t>
            </w:r>
          </w:p>
        </w:tc>
        <w:tc>
          <w:tcPr>
            <w:tcW w:w="260" w:type="dxa"/>
            <w:vAlign w:val="bottom"/>
          </w:tcPr>
          <w:p>
            <w:pPr>
              <w:spacing w:after="0"/>
              <w:rPr>
                <w:sz w:val="17"/>
                <w:szCs w:val="17"/>
                <w:color w:val="auto"/>
              </w:rPr>
            </w:pP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12,517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22,001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(9,484 )</w:t>
            </w: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(7,944 )</w:t>
            </w:r>
          </w:p>
        </w:tc>
        <w:tc>
          <w:tcPr>
            <w:tcW w:w="26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(18,903 )</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10,959</w:t>
            </w:r>
          </w:p>
        </w:tc>
        <w:tc>
          <w:tcPr>
            <w:tcW w:w="260" w:type="dxa"/>
            <w:vAlign w:val="bottom"/>
          </w:tcPr>
          <w:p>
            <w:pPr>
              <w:spacing w:after="0"/>
              <w:rPr>
                <w:sz w:val="17"/>
                <w:szCs w:val="17"/>
                <w:color w:val="auto"/>
              </w:rPr>
            </w:pP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58.0 %</w:t>
            </w:r>
          </w:p>
        </w:tc>
        <w:tc>
          <w:tcPr>
            <w:tcW w:w="0" w:type="dxa"/>
            <w:vAlign w:val="bottom"/>
          </w:tcPr>
          <w:p>
            <w:pPr>
              <w:spacing w:after="0"/>
              <w:rPr>
                <w:sz w:val="1"/>
                <w:szCs w:val="1"/>
                <w:color w:val="auto"/>
              </w:rPr>
            </w:pPr>
          </w:p>
        </w:tc>
      </w:tr>
      <w:tr>
        <w:trPr>
          <w:trHeight w:val="162"/>
        </w:trPr>
        <w:tc>
          <w:tcPr>
            <w:tcW w:w="5480" w:type="dxa"/>
            <w:vAlign w:val="bottom"/>
            <w:gridSpan w:val="2"/>
            <w:shd w:val="clear" w:color="auto" w:fill="CFF0FC"/>
          </w:tcPr>
          <w:p>
            <w:pPr>
              <w:ind w:left="380"/>
              <w:spacing w:after="0" w:line="162" w:lineRule="exact"/>
              <w:rPr>
                <w:sz w:val="20"/>
                <w:szCs w:val="20"/>
                <w:color w:val="auto"/>
              </w:rPr>
            </w:pPr>
            <w:r>
              <w:rPr>
                <w:rFonts w:ascii="Arial" w:cs="Arial" w:eastAsia="Arial" w:hAnsi="Arial"/>
                <w:sz w:val="18"/>
                <w:szCs w:val="18"/>
                <w:color w:val="auto"/>
              </w:rPr>
              <w:t>Change in fair value of interest rate</w:t>
            </w:r>
          </w:p>
        </w:tc>
        <w:tc>
          <w:tcPr>
            <w:tcW w:w="18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(3,089 )</w:t>
            </w:r>
          </w:p>
        </w:tc>
        <w:tc>
          <w:tcPr>
            <w:tcW w:w="1260" w:type="dxa"/>
            <w:vAlign w:val="bottom"/>
            <w:gridSpan w:val="2"/>
            <w:vMerge w:val="restart"/>
            <w:shd w:val="clear" w:color="auto" w:fill="CFF0FC"/>
          </w:tcPr>
          <w:p>
            <w:pPr>
              <w:ind w:left="84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swaps</w:t>
            </w:r>
          </w:p>
        </w:tc>
        <w:tc>
          <w:tcPr>
            <w:tcW w:w="18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21,004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21,004</w:t>
            </w:r>
          </w:p>
        </w:tc>
        <w:tc>
          <w:tcPr>
            <w:tcW w:w="260" w:type="dxa"/>
            <w:vAlign w:val="bottom"/>
          </w:tcPr>
          <w:p>
            <w:pPr>
              <w:spacing w:after="0"/>
              <w:rPr>
                <w:sz w:val="17"/>
                <w:szCs w:val="17"/>
                <w:color w:val="auto"/>
              </w:rPr>
            </w:pPr>
          </w:p>
        </w:tc>
        <w:tc>
          <w:tcPr>
            <w:tcW w:w="126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CFF0FC"/>
            </w:tcBorders>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13,172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(15,810 )</w:t>
            </w: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28,982</w:t>
            </w:r>
          </w:p>
        </w:tc>
        <w:tc>
          <w:tcPr>
            <w:tcW w:w="260" w:type="dxa"/>
            <w:vAlign w:val="bottom"/>
          </w:tcPr>
          <w:p>
            <w:pPr>
              <w:spacing w:after="0"/>
              <w:rPr>
                <w:sz w:val="17"/>
                <w:szCs w:val="17"/>
                <w:color w:val="auto"/>
              </w:rPr>
            </w:pPr>
          </w:p>
        </w:tc>
        <w:tc>
          <w:tcPr>
            <w:tcW w:w="1260" w:type="dxa"/>
            <w:vAlign w:val="bottom"/>
            <w:gridSpan w:val="2"/>
          </w:tcPr>
          <w:p>
            <w:pPr>
              <w:ind w:left="840"/>
              <w:spacing w:after="0" w:line="196"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25,689</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6,191</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19,498</w:t>
            </w:r>
          </w:p>
        </w:tc>
        <w:tc>
          <w:tcPr>
            <w:tcW w:w="260" w:type="dxa"/>
            <w:vAlign w:val="bottom"/>
          </w:tcPr>
          <w:p>
            <w:pPr>
              <w:spacing w:after="0"/>
              <w:rPr>
                <w:sz w:val="17"/>
                <w:szCs w:val="17"/>
                <w:color w:val="auto"/>
              </w:rPr>
            </w:pP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314.9 %</w:t>
            </w:r>
          </w:p>
        </w:tc>
        <w:tc>
          <w:tcPr>
            <w:tcW w:w="0" w:type="dxa"/>
            <w:vAlign w:val="bottom"/>
          </w:tcPr>
          <w:p>
            <w:pPr>
              <w:spacing w:after="0"/>
              <w:rPr>
                <w:sz w:val="1"/>
                <w:szCs w:val="1"/>
                <w:color w:val="auto"/>
              </w:rPr>
            </w:pPr>
          </w:p>
        </w:tc>
      </w:tr>
      <w:tr>
        <w:trPr>
          <w:trHeight w:val="22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(10,125 )</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(2,375 )</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(7,750 )</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-326.3 %</w:t>
            </w:r>
          </w:p>
        </w:tc>
        <w:tc>
          <w:tcPr>
            <w:tcW w:w="0" w:type="dxa"/>
            <w:vAlign w:val="bottom"/>
          </w:tcPr>
          <w:p>
            <w:pPr>
              <w:spacing w:after="0"/>
              <w:rPr>
                <w:sz w:val="1"/>
                <w:szCs w:val="1"/>
                <w:color w:val="auto"/>
              </w:rPr>
            </w:pPr>
          </w:p>
        </w:tc>
      </w:tr>
      <w:tr>
        <w:trPr>
          <w:trHeight w:val="190"/>
        </w:trPr>
        <w:tc>
          <w:tcPr>
            <w:tcW w:w="548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15,564</w:t>
            </w:r>
          </w:p>
        </w:tc>
        <w:tc>
          <w:tcPr>
            <w:tcW w:w="2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3,816</w:t>
            </w:r>
          </w:p>
        </w:tc>
        <w:tc>
          <w:tcPr>
            <w:tcW w:w="24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11,748</w:t>
            </w:r>
          </w:p>
        </w:tc>
        <w:tc>
          <w:tcPr>
            <w:tcW w:w="260" w:type="dxa"/>
            <w:vAlign w:val="bottom"/>
          </w:tcPr>
          <w:p>
            <w:pPr>
              <w:spacing w:after="0"/>
              <w:rPr>
                <w:sz w:val="16"/>
                <w:szCs w:val="16"/>
                <w:color w:val="auto"/>
              </w:rPr>
            </w:pPr>
          </w:p>
        </w:tc>
        <w:tc>
          <w:tcPr>
            <w:tcW w:w="13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307.9 %</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20"/>
              <w:spacing w:after="0" w:line="182" w:lineRule="exact"/>
              <w:rPr>
                <w:sz w:val="20"/>
                <w:szCs w:val="20"/>
                <w:color w:val="auto"/>
              </w:rPr>
            </w:pPr>
            <w:r>
              <w:rPr>
                <w:rFonts w:ascii="Arial" w:cs="Arial" w:eastAsia="Arial" w:hAnsi="Arial"/>
                <w:sz w:val="18"/>
                <w:szCs w:val="18"/>
                <w:color w:val="auto"/>
              </w:rPr>
              <w:t>Net income per share attributable to common</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2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8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Weighted-average shares used in computing net</w:t>
            </w: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gridSpan w:val="2"/>
            <w:shd w:val="clear" w:color="auto" w:fill="CFF0FC"/>
          </w:tcPr>
          <w:p>
            <w:pPr>
              <w:ind w:left="160"/>
              <w:spacing w:after="0" w:line="176" w:lineRule="exact"/>
              <w:rPr>
                <w:sz w:val="20"/>
                <w:szCs w:val="20"/>
                <w:color w:val="auto"/>
              </w:rPr>
            </w:pPr>
            <w:r>
              <w:rPr>
                <w:rFonts w:ascii="Arial" w:cs="Arial" w:eastAsia="Arial" w:hAnsi="Arial"/>
                <w:sz w:val="18"/>
                <w:szCs w:val="18"/>
                <w:color w:val="auto"/>
              </w:rPr>
              <w:t>income per share attributable to common</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605,948,628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505,430,380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639,964,696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523,687,498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-4122420</wp:posOffset>
            </wp:positionV>
            <wp:extent cx="713232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713232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-2700020</wp:posOffset>
            </wp:positionV>
            <wp:extent cx="71323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-1676400</wp:posOffset>
            </wp:positionV>
            <wp:extent cx="7747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-1676400</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-1676400</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13232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71" w:lineRule="exact"/>
        <w:rPr>
          <w:sz w:val="20"/>
          <w:szCs w:val="20"/>
          <w:color w:val="auto"/>
        </w:rPr>
      </w:pPr>
    </w:p>
    <w:p>
      <w:pPr>
        <w:ind w:left="20" w:right="6860" w:firstLine="1"/>
        <w:spacing w:after="0" w:line="195" w:lineRule="auto"/>
        <w:tabs>
          <w:tab w:leader="none" w:pos="250" w:val="left"/>
        </w:tabs>
        <w:numPr>
          <w:ilvl w:val="0"/>
          <w:numId w:val="30"/>
        </w:numPr>
        <w:rPr>
          <w:rFonts w:ascii="Arial" w:cs="Arial" w:eastAsia="Arial" w:hAnsi="Arial"/>
          <w:sz w:val="24"/>
          <w:szCs w:val="24"/>
          <w:color w:val="auto"/>
          <w:vertAlign w:val="superscript"/>
        </w:rPr>
      </w:pPr>
      <w:r>
        <w:rPr>
          <w:rFonts w:ascii="Arial" w:cs="Arial" w:eastAsia="Arial" w:hAnsi="Arial"/>
          <w:sz w:val="18"/>
          <w:szCs w:val="18"/>
          <w:color w:val="auto"/>
        </w:rPr>
        <w:t>Includes stock-based compensation expense as follows (in thousands):</w:t>
      </w:r>
    </w:p>
    <w:tbl>
      <w:tblPr>
        <w:tblLayout w:type="fixed"/>
        <w:tblInd w:w="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170"/>
              <w:spacing w:after="0" w:line="202" w:lineRule="exact"/>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17"/>
                <w:szCs w:val="17"/>
                <w:color w:val="auto"/>
              </w:rPr>
            </w:pPr>
          </w:p>
        </w:tc>
      </w:tr>
      <w:tr>
        <w:trPr>
          <w:trHeight w:val="196"/>
        </w:trPr>
        <w:tc>
          <w:tcPr>
            <w:tcW w:w="5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revenues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1,661</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12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6,611</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14,601</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1,272</w:t>
            </w:r>
          </w:p>
        </w:tc>
        <w:tc>
          <w:tcPr>
            <w:tcW w:w="120" w:type="dxa"/>
            <w:vAlign w:val="bottom"/>
          </w:tcPr>
          <w:p>
            <w:pPr>
              <w:spacing w:after="0"/>
              <w:rPr>
                <w:sz w:val="17"/>
                <w:szCs w:val="17"/>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28,403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Revenue increased by $26.0 million to $192.8 million, or 15.6%, for the three months ended June 30, 2022, compared to the three months ended June 30, 2021. The Company's software subscription revenues accounted for $185.5 million and $159.8 million, or 96% and 96%, of total revenue during the three months ended June 30, 2022 and 2021, respectively.</w:t>
      </w:r>
    </w:p>
    <w:p>
      <w:pPr>
        <w:spacing w:after="0" w:line="7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increase in revenue was primarily a result of 12% growth from existing customer upgrades and expanding solution offerings to these existing customers as well as 4% growth from new customers.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Cost of revenues increased by $7.3 million to $52.8 million, or 16.1%, for the three months ended June 30, 2022, compared to the three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exclusive of amortization of acquired technologies</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Cost of revenues, exclusive of amortization of acquired technologies, increased by $7.2 million to $46.1 million, or 18.4%, for the three months ended June 30, 2022, compared to the three months ended June 30, 2021. The increase was due to a $3.3 million increase in personnel costs, including an increase of $1.5 million in stock-based compensation, a $2.0 million increase in third party license and royalty fees and a $1.3 million increase in consulting and other professional service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Technologies</w:t>
      </w:r>
    </w:p>
    <w:p>
      <w:pPr>
        <w:spacing w:after="0" w:line="10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Amortization of acquired technologies was $6.8 million for the three months ended June 30, 2022, compared to a $6.6 million for the three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profit increased by $18.7 million to $139.9 million, or 15.4%, for the three months ended June 30, 2022,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2021. Our gross profit margin was 72.6% for the three months ended June 30, 2022 compared to 72.7% for the three months ended June 30, 2021.</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gross profit was due to increased software subscription revenues and economies of scale resulting from fixed cost arrangements.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Research and development expense increased by $7.5 million to $38.8 million, or 24.0%, for the three months ended June 30, 2022, compared to the three months ended June 30, 2021. The increase was primarily due to an $8.9 million increase in personnel costs, including an increase of $4.8 million in stock-based compensation, and a $1.6 million increase in consulting and other professional service costs, partially offset by a $3.9 million increase in the amount of capitalized time on development projects.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Selling and marketing expense increased by $9.5 million to $31.1 million, or 44.3%, for the three months ended June 30, 2022, compared to the three months ended June 30, 2021. The increase was primarily due to an $8.3 million increase in personnel costs, including an increase of $5.9 million in stock-based compensation, and a $0.7 million increase in marketing and event costs, mainly from the Company's annual Industry Conference, held in person in 2022 while held virtually in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General and administrative expense increased by $11.1 million to $39.5 million, or 39.1%, for the three months ended June 30, 2022, compared to the three months ended June 30, 2021. The increase was primarily due to a $13.9 million increase in personnel costs, including an increase of $13.3 million in stock-based compensation, and a $1.7 million increase in insurance costs, partially offset by a $3.4 million decrease in consulting and other professional service costs and a $1.9 million decrease in the Company's facilities costs due to the closure of the Company's previous headquarters in March 2022.</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intangible assets was $18.1 million for the three months ended June 30, 2022 and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400" w:firstLine="509"/>
        <w:spacing w:after="0" w:line="324" w:lineRule="auto"/>
        <w:rPr>
          <w:sz w:val="20"/>
          <w:szCs w:val="20"/>
          <w:color w:val="auto"/>
        </w:rPr>
      </w:pPr>
      <w:r>
        <w:rPr>
          <w:rFonts w:ascii="Arial" w:cs="Arial" w:eastAsia="Arial" w:hAnsi="Arial"/>
          <w:sz w:val="16"/>
          <w:szCs w:val="16"/>
          <w:color w:val="auto"/>
        </w:rPr>
        <w:t>Interest expense decreased by $11.0 million to $7.9 million, or 58.0%, for the three months ended June 30, 2022, compared to the three months ended June 30, 2021 primarily due to less outstanding long-term debt and a lower variable interest rate during the three months ended June 30, 2022.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Change in Fair Value of Interest Rate Swaps</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change in fair value of interest rate swaps recognized during the three months ended June 30, 2021 was due to the proximity of the maturity date of the swap agreements prior to the extinguishment of the interest rate swaps in September 2021. The Company did not recognize any change in fair value of interest rate swaps during the three months ended June 30,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Change in fair value of warrant liabilities was $21.0 million for the three months ended June 30, 2022. The warrant liabilities were recorded as part of the Business Combination and therefore did not exist during the three months ended June 30, 2021. The income from the change in fair value was due to the decrease in the estimated fair value of the Private Warrants, primarily from the lower price of the Company's common stock at June 30, 2022, compared to March 31,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04"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auto"/>
        </w:rPr>
        <w:t>Income tax provision was $10.1 million for the three months ended June 30, 2022, compared to $2.4 million for the three months ended June 30, 2021. The increase in the income tax provision was primarily due to the Company having higher pretax income during the three months ended June 30, 2022 compared to the three months ended June 30, 2021.</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to the six months ended June 30, 2021</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1"/>
        </w:trPr>
        <w:tc>
          <w:tcPr>
            <w:tcW w:w="5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 except share and per share data)</w:t>
            </w:r>
          </w:p>
        </w:tc>
        <w:tc>
          <w:tcPr>
            <w:tcW w:w="200" w:type="dxa"/>
            <w:vAlign w:val="bottom"/>
          </w:tcPr>
          <w:p>
            <w:pPr>
              <w:spacing w:after="0"/>
              <w:rPr>
                <w:sz w:val="19"/>
                <w:szCs w:val="19"/>
                <w:color w:val="auto"/>
              </w:rPr>
            </w:pPr>
          </w:p>
        </w:tc>
        <w:tc>
          <w:tcPr>
            <w:tcW w:w="288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ind w:left="480"/>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Revenue</w:t>
            </w:r>
          </w:p>
        </w:tc>
        <w:tc>
          <w:tcPr>
            <w:tcW w:w="5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379,609</w:t>
            </w:r>
          </w:p>
        </w:tc>
        <w:tc>
          <w:tcPr>
            <w:tcW w:w="26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324,578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55,031</w:t>
            </w:r>
          </w:p>
        </w:tc>
        <w:tc>
          <w:tcPr>
            <w:tcW w:w="260" w:type="dxa"/>
            <w:vAlign w:val="bottom"/>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8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Cost of revenue, exclusive of amortization of</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88,795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76,945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11,850</w:t>
            </w:r>
          </w:p>
        </w:tc>
        <w:tc>
          <w:tcPr>
            <w:tcW w:w="26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16"/>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acquired technologies</w:t>
            </w: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480" w:type="dxa"/>
            <w:vAlign w:val="bottom"/>
            <w:gridSpan w:val="2"/>
          </w:tcPr>
          <w:p>
            <w:pPr>
              <w:ind w:left="200"/>
              <w:spacing w:after="0" w:line="180" w:lineRule="exact"/>
              <w:rPr>
                <w:sz w:val="20"/>
                <w:szCs w:val="20"/>
                <w:color w:val="auto"/>
              </w:rPr>
            </w:pPr>
            <w:r>
              <w:rPr>
                <w:rFonts w:ascii="Arial" w:cs="Arial" w:eastAsia="Arial" w:hAnsi="Arial"/>
                <w:sz w:val="18"/>
                <w:szCs w:val="18"/>
                <w:color w:val="auto"/>
              </w:rPr>
              <w:t>Amortization of acquired technologies</w:t>
            </w: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8"/>
                <w:szCs w:val="18"/>
                <w:color w:val="auto"/>
              </w:rPr>
              <w:t>13,445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Arial" w:cs="Arial" w:eastAsia="Arial" w:hAnsi="Arial"/>
                <w:sz w:val="18"/>
                <w:szCs w:val="18"/>
                <w:color w:val="auto"/>
              </w:rPr>
              <w:t>13,160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8"/>
                <w:szCs w:val="18"/>
                <w:color w:val="auto"/>
              </w:rPr>
              <w:t>285</w:t>
            </w:r>
          </w:p>
        </w:tc>
        <w:tc>
          <w:tcPr>
            <w:tcW w:w="260" w:type="dxa"/>
            <w:vAlign w:val="bottom"/>
          </w:tcPr>
          <w:p>
            <w:pPr>
              <w:spacing w:after="0"/>
              <w:rPr>
                <w:sz w:val="15"/>
                <w:szCs w:val="15"/>
                <w:color w:val="auto"/>
              </w:rPr>
            </w:pPr>
          </w:p>
        </w:tc>
        <w:tc>
          <w:tcPr>
            <w:tcW w:w="1320" w:type="dxa"/>
            <w:vAlign w:val="bottom"/>
            <w:gridSpan w:val="3"/>
          </w:tcPr>
          <w:p>
            <w:pPr>
              <w:jc w:val="right"/>
              <w:spacing w:after="0" w:line="180"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
        </w:trPr>
        <w:tc>
          <w:tcPr>
            <w:tcW w:w="5480" w:type="dxa"/>
            <w:vAlign w:val="bottom"/>
            <w:gridSpan w:val="2"/>
            <w:vMerge w:val="restart"/>
          </w:tcPr>
          <w:p>
            <w:pPr>
              <w:ind w:left="20"/>
              <w:spacing w:after="0" w:line="239" w:lineRule="exact"/>
              <w:rPr>
                <w:sz w:val="20"/>
                <w:szCs w:val="20"/>
                <w:color w:val="auto"/>
              </w:rPr>
            </w:pPr>
            <w:r>
              <w:rPr>
                <w:rFonts w:ascii="Arial" w:cs="Arial" w:eastAsia="Arial" w:hAnsi="Arial"/>
                <w:sz w:val="18"/>
                <w:szCs w:val="18"/>
                <w:color w:val="auto"/>
              </w:rPr>
              <w:t>Cost of revenues</w:t>
            </w:r>
            <w:r>
              <w:rPr>
                <w:rFonts w:ascii="Arial" w:cs="Arial" w:eastAsia="Arial" w:hAnsi="Arial"/>
                <w:sz w:val="24"/>
                <w:szCs w:val="24"/>
                <w:color w:val="auto"/>
                <w:vertAlign w:val="superscript"/>
              </w:rPr>
              <w:t>(1)</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102,240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90,105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12,135</w:t>
            </w:r>
          </w:p>
        </w:tc>
        <w:tc>
          <w:tcPr>
            <w:tcW w:w="26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277,369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234,473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42,896</w:t>
            </w:r>
          </w:p>
        </w:tc>
        <w:tc>
          <w:tcPr>
            <w:tcW w:w="260" w:type="dxa"/>
            <w:vAlign w:val="bottom"/>
          </w:tcPr>
          <w:p>
            <w:pPr>
              <w:spacing w:after="0"/>
              <w:rPr>
                <w:sz w:val="17"/>
                <w:szCs w:val="17"/>
                <w:color w:val="auto"/>
              </w:rPr>
            </w:pP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166"/>
        </w:trPr>
        <w:tc>
          <w:tcPr>
            <w:tcW w:w="548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74,438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61,877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12,561</w:t>
            </w:r>
          </w:p>
        </w:tc>
        <w:tc>
          <w:tcPr>
            <w:tcW w:w="260" w:type="dxa"/>
            <w:vAlign w:val="bottom"/>
          </w:tcPr>
          <w:p>
            <w:pPr>
              <w:spacing w:after="0"/>
              <w:rPr>
                <w:sz w:val="17"/>
                <w:szCs w:val="17"/>
                <w:color w:val="auto"/>
              </w:rPr>
            </w:pP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57,894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40,968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16,926</w:t>
            </w:r>
          </w:p>
        </w:tc>
        <w:tc>
          <w:tcPr>
            <w:tcW w:w="260" w:type="dxa"/>
            <w:vAlign w:val="bottom"/>
          </w:tcPr>
          <w:p>
            <w:pPr>
              <w:spacing w:after="0"/>
              <w:rPr>
                <w:sz w:val="17"/>
                <w:szCs w:val="17"/>
                <w:color w:val="auto"/>
              </w:rPr>
            </w:pP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39"/>
        </w:trPr>
        <w:tc>
          <w:tcPr>
            <w:tcW w:w="5480" w:type="dxa"/>
            <w:vAlign w:val="bottom"/>
            <w:gridSpan w:val="2"/>
          </w:tcPr>
          <w:p>
            <w:pPr>
              <w:ind w:left="200"/>
              <w:spacing w:after="0" w:line="239"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83,717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17,484</w:t>
            </w: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36,146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(9 )</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252,195</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205,233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46,962</w:t>
            </w:r>
          </w:p>
        </w:tc>
        <w:tc>
          <w:tcPr>
            <w:tcW w:w="260" w:type="dxa"/>
            <w:vAlign w:val="bottom"/>
          </w:tcPr>
          <w:p>
            <w:pPr>
              <w:spacing w:after="0"/>
              <w:rPr>
                <w:sz w:val="17"/>
                <w:szCs w:val="17"/>
                <w:color w:val="auto"/>
              </w:rPr>
            </w:pP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25,174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29,240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(4,066 )</w:t>
            </w:r>
          </w:p>
        </w:tc>
        <w:tc>
          <w:tcPr>
            <w:tcW w:w="1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(15,285 )</w:t>
            </w:r>
          </w:p>
        </w:tc>
        <w:tc>
          <w:tcPr>
            <w:tcW w:w="2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(37,669 )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22,384</w:t>
            </w:r>
          </w:p>
        </w:tc>
        <w:tc>
          <w:tcPr>
            <w:tcW w:w="260" w:type="dxa"/>
            <w:vAlign w:val="bottom"/>
          </w:tcPr>
          <w:p>
            <w:pPr>
              <w:spacing w:after="0"/>
              <w:rPr>
                <w:sz w:val="17"/>
                <w:szCs w:val="17"/>
                <w:color w:val="auto"/>
              </w:rPr>
            </w:pP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162"/>
        </w:trPr>
        <w:tc>
          <w:tcPr>
            <w:tcW w:w="548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Change in fair value of interest rate</w:t>
            </w:r>
          </w:p>
        </w:tc>
        <w:tc>
          <w:tcPr>
            <w:tcW w:w="20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6,366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(6,366 )</w:t>
            </w:r>
          </w:p>
        </w:tc>
        <w:tc>
          <w:tcPr>
            <w:tcW w:w="1260" w:type="dxa"/>
            <w:vAlign w:val="bottom"/>
            <w:gridSpan w:val="2"/>
            <w:vMerge w:val="restart"/>
            <w:shd w:val="clear" w:color="auto" w:fill="CFF0FC"/>
          </w:tcPr>
          <w:p>
            <w:pPr>
              <w:ind w:left="84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swaps</w:t>
            </w:r>
          </w:p>
        </w:tc>
        <w:tc>
          <w:tcPr>
            <w:tcW w:w="20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23,140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23,140</w:t>
            </w:r>
          </w:p>
        </w:tc>
        <w:tc>
          <w:tcPr>
            <w:tcW w:w="260" w:type="dxa"/>
            <w:vAlign w:val="bottom"/>
          </w:tcPr>
          <w:p>
            <w:pPr>
              <w:spacing w:after="0"/>
              <w:rPr>
                <w:sz w:val="17"/>
                <w:szCs w:val="17"/>
                <w:color w:val="auto"/>
              </w:rPr>
            </w:pPr>
          </w:p>
        </w:tc>
        <w:tc>
          <w:tcPr>
            <w:tcW w:w="126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sale of cost method investment</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3,578</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113.2 %</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11,627</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(31,212</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42,839</w:t>
            </w:r>
          </w:p>
        </w:tc>
        <w:tc>
          <w:tcPr>
            <w:tcW w:w="2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gridSpan w:val="2"/>
            <w:shd w:val="clear" w:color="auto" w:fill="CFF0FC"/>
          </w:tcPr>
          <w:p>
            <w:pPr>
              <w:ind w:left="840"/>
              <w:spacing w:after="0" w:line="196"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36,801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(1,972 )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38,773</w:t>
            </w:r>
          </w:p>
        </w:tc>
        <w:tc>
          <w:tcPr>
            <w:tcW w:w="260" w:type="dxa"/>
            <w:vAlign w:val="bottom"/>
          </w:tcPr>
          <w:p>
            <w:pPr>
              <w:spacing w:after="0"/>
              <w:rPr>
                <w:sz w:val="17"/>
                <w:szCs w:val="17"/>
                <w:color w:val="auto"/>
              </w:rPr>
            </w:pPr>
          </w:p>
        </w:tc>
        <w:tc>
          <w:tcPr>
            <w:tcW w:w="1260" w:type="dxa"/>
            <w:vAlign w:val="bottom"/>
            <w:gridSpan w:val="2"/>
          </w:tcPr>
          <w:p>
            <w:pPr>
              <w:ind w:left="840"/>
              <w:spacing w:after="0" w:line="196"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(9,262 )</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(9,966 )</w:t>
            </w:r>
          </w:p>
        </w:tc>
        <w:tc>
          <w:tcPr>
            <w:tcW w:w="1260" w:type="dxa"/>
            <w:vAlign w:val="bottom"/>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rPr>
              <w:t>NM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27,539</w:t>
            </w:r>
          </w:p>
        </w:tc>
        <w:tc>
          <w:tcPr>
            <w:tcW w:w="26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(1,268 )</w:t>
            </w:r>
          </w:p>
        </w:tc>
        <w:tc>
          <w:tcPr>
            <w:tcW w:w="120" w:type="dxa"/>
            <w:vAlign w:val="bottom"/>
          </w:tcPr>
          <w:p>
            <w:pPr>
              <w:spacing w:after="0"/>
              <w:rPr>
                <w:sz w:val="17"/>
                <w:szCs w:val="17"/>
                <w:color w:val="auto"/>
              </w:rPr>
            </w:pP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28,807</w:t>
            </w:r>
          </w:p>
        </w:tc>
        <w:tc>
          <w:tcPr>
            <w:tcW w:w="260" w:type="dxa"/>
            <w:vAlign w:val="bottom"/>
          </w:tcPr>
          <w:p>
            <w:pPr>
              <w:spacing w:after="0"/>
              <w:rPr>
                <w:sz w:val="17"/>
                <w:szCs w:val="17"/>
                <w:color w:val="auto"/>
              </w:rPr>
            </w:pPr>
          </w:p>
        </w:tc>
        <w:tc>
          <w:tcPr>
            <w:tcW w:w="1320" w:type="dxa"/>
            <w:vAlign w:val="bottom"/>
            <w:gridSpan w:val="3"/>
          </w:tcPr>
          <w:p>
            <w:pPr>
              <w:ind w:left="840"/>
              <w:spacing w:after="0" w:line="18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gridSpan w:val="2"/>
            <w:shd w:val="clear" w:color="auto" w:fill="CFF0FC"/>
          </w:tcPr>
          <w:p>
            <w:pPr>
              <w:ind w:left="20"/>
              <w:spacing w:after="0" w:line="142" w:lineRule="exact"/>
              <w:rPr>
                <w:sz w:val="20"/>
                <w:szCs w:val="20"/>
                <w:color w:val="auto"/>
              </w:rPr>
            </w:pPr>
            <w:r>
              <w:rPr>
                <w:rFonts w:ascii="Arial" w:cs="Arial" w:eastAsia="Arial" w:hAnsi="Arial"/>
                <w:sz w:val="16"/>
                <w:szCs w:val="16"/>
                <w:color w:val="auto"/>
              </w:rPr>
              <w:t>Net income (loss) per share attributable to common</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(0.00 )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8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Weighted-average shares used in computing net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income (loss) per share attributable to common</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604,534,589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505,252,635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640,650,297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505,252,635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480" w:type="dxa"/>
            <w:vAlign w:val="bottom"/>
            <w:gridSpan w:val="2"/>
          </w:tcPr>
          <w:p>
            <w:pPr>
              <w:ind w:left="2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 xml:space="preserve">  Includes stock-based compensation expense as follows (in</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2880" w:type="dxa"/>
            <w:vAlign w:val="bottom"/>
            <w:gridSpan w:val="6"/>
            <w:vMerge w:val="restart"/>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6"/>
            <w:vMerge w:val="continue"/>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80" w:type="dxa"/>
            <w:vAlign w:val="bottom"/>
            <w:gridSpan w:val="2"/>
            <w:vMerge w:val="restart"/>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2,510</w:t>
            </w:r>
          </w:p>
        </w:tc>
        <w:tc>
          <w:tcPr>
            <w:tcW w:w="26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9,060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1,275</w:t>
            </w:r>
          </w:p>
        </w:tc>
        <w:tc>
          <w:tcPr>
            <w:tcW w:w="12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11,441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29,036</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12,579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52,047</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-5562600</wp:posOffset>
            </wp:positionV>
            <wp:extent cx="713232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-5194300</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-4139565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-2851150</wp:posOffset>
            </wp:positionV>
            <wp:extent cx="7683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-2851150</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-2851150</wp:posOffset>
            </wp:positionV>
            <wp:extent cx="685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-2585085</wp:posOffset>
            </wp:positionV>
            <wp:extent cx="7683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-2585085</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-2585085</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-159385</wp:posOffset>
            </wp:positionV>
            <wp:extent cx="768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-159385</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Revenue increased by $55.0 million to $379.6 million, or 17.0%, for the six months ended June 30, 2022, compared to the six months ended June 30, 2021. The Company's software subscription revenues accounted for $365.3 million and $311.9 million, or 96% and 96%, of total revenue during the six months ended June 30, 2022 and 2021.</w:t>
      </w:r>
    </w:p>
    <w:p>
      <w:pPr>
        <w:spacing w:after="0" w:line="7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increase in revenue was primarily a result of 14% growth from existing customer upgrades and expanding solution offerings to these existing customers as well as 3% growth from new customers.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Cost of revenues increased by $12.1 million to $102.2 million, or 13.5%, for the six months ended June 30, 2022, compared to the six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exclusive of amortization of acquired technologies</w:t>
      </w:r>
    </w:p>
    <w:p>
      <w:pPr>
        <w:spacing w:after="0" w:line="104"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Cost of revenues, exclusive of amortization of acquired technologies, increased by $11.9 million to $88.8 million, or 15.4%, for the six months ended June 30, 2022, compared to the six months ended June 30, 2021. The increase was due to a $4.9 million increase in personnel costs, including an increase of $2.1 million in stock-based compensation, a $3.9 million increase in third party license and royalty fees and a $2.1 million increase in consulting and other professional service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Technologies</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Amortization of acquired technologies was $13.4 million for the six months ended June 30, 2022, compared to a $13.2 million for the six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Gross profit increased by $42.9 million to $277.4 million, or 18.3%, for the six months ended June 30, 2022, compared to the six months ended June 30, 2021. Our gross profit margin increased to 73.1% for the six months ended June 30, 2022 compared to 72.2% for the six months ended June 30, 2021. The increase in both gross profit and gross profit margin was due to increased software subscription revenues and economies of scale resulting from fixed cost arrangements.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Research and development expense increased by $12.6 million to $74.4 million, or 20.3%, for the six months ended June 30, 2022, compared to the six months ended June 30, 2021. The increase was due to a $15.4 million increase in personnel costs, including an increase of $7.8 million in stock-based compensation, a $2.6 million increase in consulting costs, and a $1.3 million increase in IT costs, partially offset by a $7.6 million increase in the amount of capitalized time on development projects.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0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Selling and marketing expense increased by $16.9 million to $57.9 million, or 41.3%, for the six months ended June 30, 2022, compared to the six months ended June 30, 2021. The increase was primarily due to a $14.8 million increase in personnel-related costs, including sales incentives and travel costs, and including an increase of $10.2 million in stock-based compensation, and a $0.9 million increase in marketing and event costs mainly due to the Company's annual Industry Conference, held in person in 2022 while held virtually in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General and administrative expense increased by $17.5 million to $83.7 million, or 26.4%, for the six months ended June 30, 2022, compared to the six months ended June 30, 2021. The increase was primarily due to a $17.7 million increase in personnel costs, including an increase of $16.5 million in stock-based compensation, and a $3.5 million increase in insurance costs, partially offset by a $3.7 million decrease in consulting and other professional service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Amortization of intangible assets was $36.1 million for the six months ended June 30, 2022, compared to a $36.2 million for the six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Interest expense decreased by $22.4 million to $15.3 million, or 59.4%, for the six months ended June 30, 2022, compared to the six months ended June 30, 2021 primarily due to less outstanding long-term debt and a lower variable interest rate during the six months ended June 30, 2022.</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Change in Fair Value of Interest Rate Swaps</w:t>
      </w:r>
    </w:p>
    <w:p>
      <w:pPr>
        <w:spacing w:after="0" w:line="104"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The change in fair value of interest rate swaps recognized during the six months ended June 30, 2021 was due to the proximity of the maturity date of the swap agreements prior to the extinguishment of the interest rate swaps in September 2021. The Company did not recognize any change in fair value of interest rate swaps during the six months ended June 30,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Cost Method Investment</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Gain on sale of cost method investment was $3.6 million for the six months ended June 30, 2022. The gain recognized was due to the $3.9 million payment received in exchange for its equity interest in an investee as a result of the acquisition of the investee. The Company did not recognize any gain or loss on sale of cost method investment during the six months ended June 30,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04"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Change in fair value of warrant liabilities was $23.1 million for the six months ended June 30, 2022. The warrant liabilities were recorded as part of the Business Combination and therefore did not exist during the six months ended June 30, 2021. The income from the change in fair value was due to the decrease in the estimated fair value of the Private Warrants, primarily from the lower price of the Company's common stock at June 30, 2022, compared to December 31,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Income tax provision was $9.3 million for the six months ended June 30, 2022, compared to an income tax benefit of $0.7 million for the six months ended June 30, 2021. The change was primarily due to the Company having pretax income during the six months ended June 30, 2022, compared to a pretax loss during the six months ended June 30,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Adjusted Gross Profit is defined as gross profit, adjusted for amortization of acquired technologies and stock-based compensation and related employer payroll tax, which are not indicative of our recurring core business operating results. Adjusted Gross Profit Margin is defined as Adjusted Gross Profit divided by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gridSpan w:val="11"/>
          </w:tcPr>
          <w:p>
            <w:pPr>
              <w:ind w:left="520"/>
              <w:spacing w:after="0"/>
              <w:rPr>
                <w:sz w:val="20"/>
                <w:szCs w:val="20"/>
                <w:color w:val="auto"/>
              </w:rPr>
            </w:pPr>
            <w:r>
              <w:rPr>
                <w:rFonts w:ascii="Arial" w:cs="Arial" w:eastAsia="Arial" w:hAnsi="Arial"/>
                <w:sz w:val="18"/>
                <w:szCs w:val="18"/>
                <w:color w:val="auto"/>
                <w:w w:val="91"/>
              </w:rPr>
              <w:t>The following table reconciles Gross Profit to Adjusted Gross Profit for the three and six months ended June 30, 2022 and 2021: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(amounts in thousands, except percentages)</w:t>
            </w: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Three Months Ended June 30,</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3"/>
              </w:rPr>
              <w:t>Six Months Ended 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139,941</w:t>
            </w: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121,277</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277,369</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234,473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Amortization of acquired technologies</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6,750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6,580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13,445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and related employer payroll tax</w:t>
            </w: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2,613</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Adjusted Gross Profit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148,371</w:t>
            </w:r>
          </w:p>
        </w:tc>
        <w:tc>
          <w:tcPr>
            <w:tcW w:w="5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128,033</w:t>
            </w:r>
          </w:p>
        </w:tc>
        <w:tc>
          <w:tcPr>
            <w:tcW w:w="4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293,427</w:t>
            </w:r>
          </w:p>
        </w:tc>
        <w:tc>
          <w:tcPr>
            <w:tcW w:w="240" w:type="dxa"/>
            <w:vAlign w:val="bottom"/>
          </w:tcPr>
          <w:p>
            <w:pPr>
              <w:spacing w:after="0"/>
              <w:rPr>
                <w:sz w:val="17"/>
                <w:szCs w:val="17"/>
                <w:color w:val="auto"/>
              </w:rPr>
            </w:pP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248,027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-159385</wp:posOffset>
            </wp:positionV>
            <wp:extent cx="7747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-159385</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Gross Profit Margin</w:t>
            </w:r>
          </w:p>
        </w:tc>
        <w:tc>
          <w:tcPr>
            <w:tcW w:w="35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73 %</w:t>
            </w:r>
          </w:p>
        </w:tc>
        <w:tc>
          <w:tcPr>
            <w:tcW w:w="15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73 %</w:t>
            </w:r>
          </w:p>
        </w:tc>
        <w:tc>
          <w:tcPr>
            <w:tcW w:w="15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73 %</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72 %</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Adjusted Gross Profit Margin</w:t>
            </w:r>
          </w:p>
        </w:tc>
        <w:tc>
          <w:tcPr>
            <w:tcW w:w="3540" w:type="dxa"/>
            <w:vAlign w:val="bottom"/>
          </w:tcPr>
          <w:p>
            <w:pPr>
              <w:jc w:val="right"/>
              <w:ind w:right="510"/>
              <w:spacing w:after="0"/>
              <w:rPr>
                <w:sz w:val="20"/>
                <w:szCs w:val="20"/>
                <w:color w:val="auto"/>
              </w:rPr>
            </w:pPr>
            <w:r>
              <w:rPr>
                <w:rFonts w:ascii="Arial" w:cs="Arial" w:eastAsia="Arial" w:hAnsi="Arial"/>
                <w:sz w:val="18"/>
                <w:szCs w:val="18"/>
                <w:color w:val="auto"/>
              </w:rPr>
              <w:t>77 %</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77 %</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77 %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607"/>
        </w:trPr>
        <w:tc>
          <w:tcPr>
            <w:tcW w:w="3840" w:type="dxa"/>
            <w:vAlign w:val="bottom"/>
          </w:tcPr>
          <w:p>
            <w:pPr>
              <w:spacing w:after="0"/>
              <w:rPr>
                <w:sz w:val="24"/>
                <w:szCs w:val="24"/>
                <w:color w:val="auto"/>
              </w:rPr>
            </w:pPr>
          </w:p>
        </w:tc>
        <w:tc>
          <w:tcPr>
            <w:tcW w:w="3540" w:type="dxa"/>
            <w:vAlign w:val="bottom"/>
          </w:tcPr>
          <w:p>
            <w:pPr>
              <w:jc w:val="right"/>
              <w:ind w:right="1570"/>
              <w:spacing w:after="0"/>
              <w:rPr>
                <w:sz w:val="20"/>
                <w:szCs w:val="20"/>
                <w:color w:val="auto"/>
              </w:rPr>
            </w:pPr>
            <w:r>
              <w:rPr>
                <w:rFonts w:ascii="Arial" w:cs="Arial" w:eastAsia="Arial" w:hAnsi="Arial"/>
                <w:sz w:val="18"/>
                <w:szCs w:val="18"/>
                <w:color w:val="auto"/>
              </w:rPr>
              <w:t>36</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84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652"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Adjusted Operating Expenses</w:t>
      </w:r>
    </w:p>
    <w:p>
      <w:pPr>
        <w:spacing w:after="0" w:line="104"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Adjusted Operating Expenses is defined as operating expenses adjusted for amortization, stock-based compensation expense and related employer payroll tax, business combination transaction costs, lease abandonment charges, lease overlap costs for the incremental expenses associated with the Company’s new corporate headquarters prior to termination of its existing headquarters’ lease, net costs related to divestiture and merger and acquisition ("M&amp;A") and integration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operating expenses to Adjusted Operating Expenses for the three and six months ended June 30, 2022 and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60" w:type="dxa"/>
            <w:vAlign w:val="bottom"/>
          </w:tcPr>
          <w:p>
            <w:pPr>
              <w:spacing w:after="0"/>
              <w:rPr>
                <w:sz w:val="17"/>
                <w:szCs w:val="17"/>
                <w:color w:val="auto"/>
              </w:rPr>
            </w:pPr>
          </w:p>
        </w:tc>
        <w:tc>
          <w:tcPr>
            <w:tcW w:w="28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Pr>
          <w:p>
            <w:pPr>
              <w:spacing w:after="0"/>
              <w:rPr>
                <w:sz w:val="17"/>
                <w:szCs w:val="17"/>
                <w:color w:val="auto"/>
              </w:rPr>
            </w:pPr>
          </w:p>
        </w:tc>
        <w:tc>
          <w:tcPr>
            <w:tcW w:w="25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5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127,424</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99,276</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252,195</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205,233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40" w:type="dxa"/>
            <w:vAlign w:val="bottom"/>
            <w:gridSpan w:val="2"/>
          </w:tcPr>
          <w:p>
            <w:pPr>
              <w:ind w:left="380"/>
              <w:spacing w:after="0" w:line="162" w:lineRule="exact"/>
              <w:rPr>
                <w:sz w:val="20"/>
                <w:szCs w:val="20"/>
                <w:color w:val="auto"/>
              </w:rPr>
            </w:pPr>
            <w:r>
              <w:rPr>
                <w:rFonts w:ascii="Arial" w:cs="Arial" w:eastAsia="Arial" w:hAnsi="Arial"/>
                <w:sz w:val="18"/>
                <w:szCs w:val="18"/>
                <w:color w:val="auto"/>
              </w:rPr>
              <w:t>Stock-based compensation expense and related employer</w:t>
            </w:r>
          </w:p>
        </w:tc>
        <w:tc>
          <w:tcPr>
            <w:tcW w:w="160" w:type="dxa"/>
            <w:vAlign w:val="bottom"/>
          </w:tcPr>
          <w:p>
            <w:pPr>
              <w:spacing w:after="0"/>
              <w:rPr>
                <w:sz w:val="14"/>
                <w:szCs w:val="14"/>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(26,973 )</w:t>
            </w:r>
          </w:p>
        </w:tc>
        <w:tc>
          <w:tcPr>
            <w:tcW w:w="26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(2,707 )</w:t>
            </w:r>
          </w:p>
        </w:tc>
        <w:tc>
          <w:tcPr>
            <w:tcW w:w="18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(50,695 )</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(15,143 )</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payroll tax</w:t>
            </w: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Lease abandonment</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(925 )</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(1,338 )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(1,850 )</w:t>
            </w:r>
          </w:p>
        </w:tc>
        <w:tc>
          <w:tcPr>
            <w:tcW w:w="0" w:type="dxa"/>
            <w:vAlign w:val="bottom"/>
          </w:tcPr>
          <w:p>
            <w:pPr>
              <w:spacing w:after="0"/>
              <w:rPr>
                <w:sz w:val="1"/>
                <w:szCs w:val="1"/>
                <w:color w:val="auto"/>
              </w:rPr>
            </w:pPr>
          </w:p>
        </w:tc>
      </w:tr>
      <w:tr>
        <w:trPr>
          <w:trHeight w:val="203"/>
        </w:trPr>
        <w:tc>
          <w:tcPr>
            <w:tcW w:w="55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Lease overlap costs</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(909 )</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(1,222 )</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(1,817 )</w:t>
            </w: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Net income (costs) related to divestiture</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(1,494 )</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(53 )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(2,266 )</w:t>
            </w:r>
          </w:p>
        </w:tc>
        <w:tc>
          <w:tcPr>
            <w:tcW w:w="0" w:type="dxa"/>
            <w:vAlign w:val="bottom"/>
          </w:tcPr>
          <w:p>
            <w:pPr>
              <w:spacing w:after="0"/>
              <w:rPr>
                <w:sz w:val="1"/>
                <w:szCs w:val="1"/>
                <w:color w:val="auto"/>
              </w:rPr>
            </w:pPr>
          </w:p>
        </w:tc>
      </w:tr>
      <w:tr>
        <w:trPr>
          <w:trHeight w:val="203"/>
        </w:trPr>
        <w:tc>
          <w:tcPr>
            <w:tcW w:w="55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Business combination transaction and related costs</w:t>
            </w:r>
          </w:p>
        </w:tc>
        <w:tc>
          <w:tcPr>
            <w:tcW w:w="16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(324 )</w:t>
            </w:r>
          </w:p>
        </w:tc>
        <w:tc>
          <w:tcPr>
            <w:tcW w:w="2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(1,953 )</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(1,056 )</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(4,955 )</w:t>
            </w: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M&amp;A and integration costs</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(348 )</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(1,756 )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(18,066 )</w:t>
            </w:r>
          </w:p>
        </w:tc>
        <w:tc>
          <w:tcPr>
            <w:tcW w:w="2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(18,078 )</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(36,146 )</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(36,155 )</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operating expenses</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81,719</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73,210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159,929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143,047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104"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Adjusted Operating Income is defined as operating income adjusted for amortization, stock-based compensation expense and related employer payroll tax, business combination transaction costs, lease abandonment charges, lease overlap costs for the incremental expenses associated with the Company’s new corporate headquarters prior to termination of its existing headquarters’ lease, net costs related to divestiture and M&amp;A and integration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reconciles operating income to Adjusted Operating Income for the three and six months ended June 30, 2022 and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Three Months Ended June 30,</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20" w:type="dxa"/>
            <w:vAlign w:val="bottom"/>
          </w:tcPr>
          <w:p>
            <w:pPr>
              <w:spacing w:after="0"/>
              <w:rPr>
                <w:sz w:val="24"/>
                <w:szCs w:val="24"/>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12,517</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22,001</w:t>
            </w:r>
          </w:p>
        </w:tc>
        <w:tc>
          <w:tcPr>
            <w:tcW w:w="5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25,174</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29,240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gridSpan w:val="2"/>
          </w:tcPr>
          <w:p>
            <w:pPr>
              <w:ind w:left="380"/>
              <w:spacing w:after="0" w:line="162" w:lineRule="exact"/>
              <w:rPr>
                <w:sz w:val="20"/>
                <w:szCs w:val="20"/>
                <w:color w:val="auto"/>
              </w:rPr>
            </w:pPr>
            <w:r>
              <w:rPr>
                <w:rFonts w:ascii="Arial" w:cs="Arial" w:eastAsia="Arial" w:hAnsi="Arial"/>
                <w:sz w:val="18"/>
                <w:szCs w:val="18"/>
                <w:color w:val="auto"/>
              </w:rPr>
              <w:t>Stock-based compensation expense and related employer</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2,883</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53,308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payroll tax</w:t>
            </w: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Lease abandonment</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925</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Lease overlap costs</w:t>
            </w:r>
          </w:p>
        </w:tc>
        <w:tc>
          <w:tcPr>
            <w:tcW w:w="12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Net (income) costs related to divestiture</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(6 )</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1,494</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Business combination transaction and related costs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1,953</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18,066</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18,078</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36,146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M&amp;A and integration costs</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1,756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CFF0FC"/>
            </w:tcBorders>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acquired technologies—Cost of revenue</w:t>
            </w: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6,750</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6,580</w:t>
            </w: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13,445</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Adjusted operating income</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66,652</w:t>
            </w:r>
          </w:p>
        </w:tc>
        <w:tc>
          <w:tcPr>
            <w:tcW w:w="26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54,823</w:t>
            </w: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133,498</w:t>
            </w:r>
          </w:p>
        </w:tc>
        <w:tc>
          <w:tcPr>
            <w:tcW w:w="4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104,980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-159385</wp:posOffset>
            </wp:positionV>
            <wp:extent cx="7683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-159385</wp:posOffset>
            </wp:positionV>
            <wp:extent cx="685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-159385</wp:posOffset>
            </wp:positionV>
            <wp:extent cx="6858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Adjusted EBITDA is defined as net income (loss) adjusted for interest, taxes, depreciation, amortization, gain on change in fair value of interest rate swaps, change in fair value of warrant liabilities, stock-based compensation expense and related employer payroll tax, business combination transaction costs, lease abandonment charges, lease overlap costs for the incremental expenses associated with the Company’s new corporate headquarters prior to termination of its existing headquarters’ lease, net costs related to divestiture, M&amp;A and integration costs and gain on sale of cost method investment.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9920" w:type="dxa"/>
            <w:vAlign w:val="bottom"/>
            <w:gridSpan w:val="11"/>
          </w:tcPr>
          <w:p>
            <w:pPr>
              <w:ind w:left="520"/>
              <w:spacing w:after="0"/>
              <w:rPr>
                <w:sz w:val="20"/>
                <w:szCs w:val="20"/>
                <w:color w:val="auto"/>
              </w:rPr>
            </w:pPr>
            <w:r>
              <w:rPr>
                <w:rFonts w:ascii="Arial" w:cs="Arial" w:eastAsia="Arial" w:hAnsi="Arial"/>
                <w:sz w:val="18"/>
                <w:szCs w:val="18"/>
                <w:color w:val="auto"/>
                <w:w w:val="91"/>
              </w:rPr>
              <w:t>The following table reconciles net income (loss) to Adjusted EBITDA for the three and six months ended June 30, 2022 and 2021:</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60" w:type="dxa"/>
            <w:vAlign w:val="bottom"/>
          </w:tcPr>
          <w:p>
            <w:pPr>
              <w:spacing w:after="0"/>
              <w:rPr>
                <w:sz w:val="19"/>
                <w:szCs w:val="19"/>
                <w:color w:val="auto"/>
              </w:rPr>
            </w:pPr>
          </w:p>
        </w:tc>
        <w:tc>
          <w:tcPr>
            <w:tcW w:w="28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Pr>
          <w:p>
            <w:pPr>
              <w:spacing w:after="0"/>
              <w:rPr>
                <w:sz w:val="19"/>
                <w:szCs w:val="19"/>
                <w:color w:val="auto"/>
              </w:rPr>
            </w:pPr>
          </w:p>
        </w:tc>
        <w:tc>
          <w:tcPr>
            <w:tcW w:w="26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5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15,564</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3,816</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27,539</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7,944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18,903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15,285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37,669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10,125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9,262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(704 )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18,066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18,078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36,146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36,155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4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Amortization of acquired technologies—Cost of</w:t>
            </w:r>
          </w:p>
        </w:tc>
        <w:tc>
          <w:tcPr>
            <w:tcW w:w="16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13,160</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54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Depreciation and amortization of software,</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6,683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5,314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13,490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equipment and property</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EBITDA</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65,132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55,066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115,167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95,479</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4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Change in fair value of interest rate</w:t>
            </w:r>
          </w:p>
        </w:tc>
        <w:tc>
          <w:tcPr>
            <w:tcW w:w="160" w:type="dxa"/>
            <w:vAlign w:val="bottom"/>
          </w:tcPr>
          <w:p>
            <w:pPr>
              <w:spacing w:after="0"/>
              <w:rPr>
                <w:sz w:val="14"/>
                <w:szCs w:val="14"/>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(3,089 )</w:t>
            </w:r>
          </w:p>
        </w:tc>
        <w:tc>
          <w:tcPr>
            <w:tcW w:w="180" w:type="dxa"/>
            <w:vAlign w:val="bottom"/>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(6,366 )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ind w:left="340"/>
              <w:spacing w:after="0"/>
              <w:rPr>
                <w:sz w:val="20"/>
                <w:szCs w:val="20"/>
                <w:color w:val="auto"/>
              </w:rPr>
            </w:pPr>
            <w:r>
              <w:rPr>
                <w:rFonts w:ascii="Arial" w:cs="Arial" w:eastAsia="Arial" w:hAnsi="Arial"/>
                <w:sz w:val="18"/>
                <w:szCs w:val="18"/>
                <w:color w:val="auto"/>
              </w:rPr>
              <w:t>swaps</w:t>
            </w: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(21,004 )</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(23,140 )</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4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Stock-based compensation expense and related employer payroll</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28,653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2,883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53,308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ind w:left="2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Business combination transaction and related costs</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4,955</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Lease abandonment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1,850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overlap costs</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Net (income) costs related to divestiture</w:t>
            </w:r>
          </w:p>
        </w:tc>
        <w:tc>
          <w:tcPr>
            <w:tcW w:w="16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(6 )</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1,494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2,266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M&amp;A and integration costs</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Gain on sale of cost method investment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(3,578 )</w:t>
            </w:r>
          </w:p>
        </w:tc>
        <w:tc>
          <w:tcPr>
            <w:tcW w:w="26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73,447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60,141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147,182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115,538</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Adjusted EBITDA Margin</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38.1 %</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36.1 %</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38.8 %</w:t>
            </w:r>
          </w:p>
        </w:tc>
        <w:tc>
          <w:tcPr>
            <w:tcW w:w="2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-154305</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-171450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-154305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-171450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-154305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-171450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104" w:lineRule="exact"/>
        <w:rPr>
          <w:sz w:val="20"/>
          <w:szCs w:val="20"/>
          <w:color w:val="auto"/>
        </w:rPr>
      </w:pPr>
    </w:p>
    <w:p>
      <w:pPr>
        <w:jc w:val="both"/>
        <w:ind w:right="360" w:firstLine="509"/>
        <w:spacing w:after="0" w:line="284" w:lineRule="auto"/>
        <w:rPr>
          <w:sz w:val="20"/>
          <w:szCs w:val="20"/>
          <w:color w:val="auto"/>
        </w:rPr>
      </w:pPr>
      <w:r>
        <w:rPr>
          <w:rFonts w:ascii="Arial" w:cs="Arial" w:eastAsia="Arial" w:hAnsi="Arial"/>
          <w:sz w:val="16"/>
          <w:szCs w:val="16"/>
          <w:color w:val="auto"/>
        </w:rPr>
        <w:t>Adjusted Net Income is defined as net income (loss) adjusted for the after-tax effects of amortization, gain on change in fair value of interest rate swaps, change in fair value of warrant liabilities, stock-based compensation expense and related employer payroll tax, business combination transaction costs, lease abandonment charges, lease overlap costs for the incremental expenses associated with the Company’s new corporate headquarters prior to termination of its existing headquarters’ lease, net costs related to divestiture, M&amp;A and integration costs and gain on sale of cost method investment.</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5" w:right="279" w:bottom="1440" w:gutter="0" w:footer="0" w:header="0"/>
        </w:sectPr>
      </w:pPr>
    </w:p>
    <w:bookmarkStart w:id="38" w:name="page39"/>
    <w:bookmarkEnd w:id="38"/>
    <w:p>
      <w:pPr>
        <w:ind w:right="160" w:firstLine="509"/>
        <w:spacing w:after="0" w:line="244" w:lineRule="auto"/>
        <w:rPr>
          <w:sz w:val="20"/>
          <w:szCs w:val="20"/>
          <w:color w:val="auto"/>
        </w:rPr>
      </w:pPr>
      <w:r>
        <w:rPr>
          <w:rFonts w:ascii="Arial" w:cs="Arial" w:eastAsia="Arial" w:hAnsi="Arial"/>
          <w:sz w:val="18"/>
          <w:szCs w:val="18"/>
          <w:color w:val="auto"/>
        </w:rPr>
        <w:t>The following table reconciles net income (loss) to Adjusted Net Income and Adjusted Earnings per Share for the three and six months ended June 30, 2022 and 2021:</w:t>
      </w:r>
    </w:p>
    <w:tbl>
      <w:tblPr>
        <w:tblLayout w:type="fixed"/>
        <w:tblInd w:w="0" w:type="dxa"/>
        <w:tblCellMar>
          <w:top w:w="0" w:type="dxa"/>
          <w:left w:w="0" w:type="dxa"/>
          <w:bottom w:w="0" w:type="dxa"/>
          <w:right w:w="0" w:type="dxa"/>
        </w:tblCellMar>
      </w:tblPr>
      <w:tr>
        <w:trPr>
          <w:trHeight w:val="201"/>
        </w:trPr>
        <w:tc>
          <w:tcPr>
            <w:tcW w:w="5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60" w:type="dxa"/>
            <w:vAlign w:val="bottom"/>
          </w:tcPr>
          <w:p>
            <w:pPr>
              <w:spacing w:after="0"/>
              <w:rPr>
                <w:sz w:val="17"/>
                <w:szCs w:val="17"/>
                <w:color w:val="auto"/>
              </w:rPr>
            </w:pPr>
          </w:p>
        </w:tc>
        <w:tc>
          <w:tcPr>
            <w:tcW w:w="2840" w:type="dxa"/>
            <w:vAlign w:val="bottom"/>
            <w:gridSpan w:val="5"/>
          </w:tcPr>
          <w:p>
            <w:pPr>
              <w:jc w:val="right"/>
              <w:ind w:right="460"/>
              <w:spacing w:after="0" w:line="201" w:lineRule="exact"/>
              <w:rPr>
                <w:sz w:val="20"/>
                <w:szCs w:val="20"/>
                <w:color w:val="auto"/>
              </w:rPr>
            </w:pPr>
            <w:r>
              <w:rPr>
                <w:rFonts w:ascii="Arial" w:cs="Arial" w:eastAsia="Arial" w:hAnsi="Arial"/>
                <w:sz w:val="18"/>
                <w:szCs w:val="18"/>
                <w:b w:val="1"/>
                <w:bCs w:val="1"/>
                <w:color w:val="auto"/>
                <w:w w:val="92"/>
              </w:rPr>
              <w:t>Three Months Ended June 30,</w:t>
            </w:r>
          </w:p>
        </w:tc>
        <w:tc>
          <w:tcPr>
            <w:tcW w:w="180" w:type="dxa"/>
            <w:vAlign w:val="bottom"/>
          </w:tcPr>
          <w:p>
            <w:pPr>
              <w:spacing w:after="0"/>
              <w:rPr>
                <w:sz w:val="17"/>
                <w:szCs w:val="17"/>
                <w:color w:val="auto"/>
              </w:rPr>
            </w:pPr>
          </w:p>
        </w:tc>
        <w:tc>
          <w:tcPr>
            <w:tcW w:w="2580" w:type="dxa"/>
            <w:vAlign w:val="bottom"/>
            <w:gridSpan w:val="5"/>
          </w:tcPr>
          <w:p>
            <w:pPr>
              <w:jc w:val="right"/>
              <w:ind w:right="301"/>
              <w:spacing w:after="0" w:line="201" w:lineRule="exact"/>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5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15,564</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3,816</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27,539</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18,066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18,078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36,146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80" w:type="dxa"/>
            <w:vAlign w:val="bottom"/>
            <w:gridSpan w:val="2"/>
            <w:shd w:val="clear" w:color="auto" w:fill="CFF0FC"/>
          </w:tcPr>
          <w:p>
            <w:pPr>
              <w:ind w:left="380"/>
              <w:spacing w:after="0" w:line="162" w:lineRule="exact"/>
              <w:rPr>
                <w:sz w:val="20"/>
                <w:szCs w:val="20"/>
                <w:color w:val="auto"/>
              </w:rPr>
            </w:pPr>
            <w:r>
              <w:rPr>
                <w:rFonts w:ascii="Arial" w:cs="Arial" w:eastAsia="Arial" w:hAnsi="Arial"/>
                <w:sz w:val="18"/>
                <w:szCs w:val="18"/>
                <w:color w:val="auto"/>
              </w:rPr>
              <w:t>Amortization of acquired technologies—</w:t>
            </w:r>
          </w:p>
        </w:tc>
        <w:tc>
          <w:tcPr>
            <w:tcW w:w="16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13,445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13,160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80" w:type="dxa"/>
            <w:vAlign w:val="bottom"/>
            <w:gridSpan w:val="2"/>
          </w:tcPr>
          <w:p>
            <w:pPr>
              <w:ind w:left="380"/>
              <w:spacing w:after="0" w:line="162" w:lineRule="exact"/>
              <w:rPr>
                <w:sz w:val="20"/>
                <w:szCs w:val="20"/>
                <w:color w:val="auto"/>
              </w:rPr>
            </w:pPr>
            <w:r>
              <w:rPr>
                <w:rFonts w:ascii="Arial" w:cs="Arial" w:eastAsia="Arial" w:hAnsi="Arial"/>
                <w:sz w:val="18"/>
                <w:szCs w:val="18"/>
                <w:color w:val="auto"/>
              </w:rPr>
              <w:t>Change in fair value of</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(3,089 )</w:t>
            </w:r>
          </w:p>
        </w:tc>
        <w:tc>
          <w:tcPr>
            <w:tcW w:w="180" w:type="dxa"/>
            <w:vAlign w:val="bottom"/>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(6,366 )</w:t>
            </w:r>
          </w:p>
        </w:tc>
        <w:tc>
          <w:tcPr>
            <w:tcW w:w="0" w:type="dxa"/>
            <w:vAlign w:val="bottom"/>
          </w:tcPr>
          <w:p>
            <w:pPr>
              <w:spacing w:after="0"/>
              <w:rPr>
                <w:sz w:val="1"/>
                <w:szCs w:val="1"/>
                <w:color w:val="auto"/>
              </w:rPr>
            </w:pPr>
          </w:p>
        </w:tc>
      </w:tr>
      <w:tr>
        <w:trPr>
          <w:trHeight w:val="216"/>
        </w:trPr>
        <w:tc>
          <w:tcPr>
            <w:tcW w:w="5480" w:type="dxa"/>
            <w:vAlign w:val="bottom"/>
            <w:gridSpan w:val="2"/>
          </w:tcPr>
          <w:p>
            <w:pPr>
              <w:ind w:left="52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(21,004 )</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(23,140 )</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480" w:type="dxa"/>
            <w:vAlign w:val="bottom"/>
            <w:gridSpan w:val="2"/>
          </w:tcPr>
          <w:p>
            <w:pPr>
              <w:ind w:left="380"/>
              <w:spacing w:after="0" w:line="162" w:lineRule="exact"/>
              <w:rPr>
                <w:sz w:val="20"/>
                <w:szCs w:val="20"/>
                <w:color w:val="auto"/>
              </w:rPr>
            </w:pPr>
            <w:r>
              <w:rPr>
                <w:rFonts w:ascii="Arial" w:cs="Arial" w:eastAsia="Arial" w:hAnsi="Arial"/>
                <w:sz w:val="18"/>
                <w:szCs w:val="18"/>
                <w:color w:val="auto"/>
              </w:rPr>
              <w:t>Stock-based compensation expense and related employer</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28,653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2,883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53,308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payroll tax</w:t>
            </w: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Business combination transaction and related costs</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Lease abandonment</w:t>
            </w:r>
          </w:p>
        </w:tc>
        <w:tc>
          <w:tcPr>
            <w:tcW w:w="16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1,338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Lease overlap costs</w:t>
            </w: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Net (income) costs related to divestiture</w:t>
            </w:r>
          </w:p>
        </w:tc>
        <w:tc>
          <w:tcPr>
            <w:tcW w:w="16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(6 )</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1,494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M&amp;A and integration costs</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Gain on sale of cost method investment</w:t>
            </w:r>
          </w:p>
        </w:tc>
        <w:tc>
          <w:tcPr>
            <w:tcW w:w="16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(3,578 )</w:t>
            </w:r>
          </w:p>
        </w:tc>
        <w:tc>
          <w:tcPr>
            <w:tcW w:w="220" w:type="dxa"/>
            <w:vAlign w:val="bottom"/>
          </w:tcPr>
          <w:p>
            <w:pPr>
              <w:spacing w:after="0"/>
              <w:rPr>
                <w:sz w:val="17"/>
                <w:szCs w:val="17"/>
                <w:color w:val="auto"/>
              </w:rPr>
            </w:pPr>
          </w:p>
        </w:tc>
        <w:tc>
          <w:tcPr>
            <w:tcW w:w="11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Tax effect of adjustments</w:t>
            </w:r>
          </w:p>
        </w:tc>
        <w:tc>
          <w:tcPr>
            <w:tcW w:w="1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(11,287 )</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(7,223 )</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(22,867 )</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(16,774 )</w:t>
            </w:r>
          </w:p>
        </w:tc>
        <w:tc>
          <w:tcPr>
            <w:tcW w:w="0" w:type="dxa"/>
            <w:vAlign w:val="bottom"/>
          </w:tcPr>
          <w:p>
            <w:pPr>
              <w:spacing w:after="0"/>
              <w:rPr>
                <w:sz w:val="1"/>
                <w:szCs w:val="1"/>
                <w:color w:val="auto"/>
              </w:rPr>
            </w:pPr>
          </w:p>
        </w:tc>
      </w:tr>
      <w:tr>
        <w:trPr>
          <w:trHeight w:val="196"/>
        </w:trPr>
        <w:tc>
          <w:tcPr>
            <w:tcW w:w="54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Adjusted net income</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37,408</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26,326</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86,278</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51,332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8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Adjusted net income per share attributable to</w:t>
            </w: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common stockholders: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2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2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605,948,628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505,430,380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604,534,589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505,252,635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639,964,696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523,687,498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640,650,297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523,438,612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-1034415</wp:posOffset>
            </wp:positionV>
            <wp:extent cx="7747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-1034415</wp:posOffset>
            </wp:positionV>
            <wp:extent cx="685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-1034415</wp:posOffset>
            </wp:positionV>
            <wp:extent cx="685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-1034415</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0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Free Cash Flow is defined as net cash provided by operating activities less cash used for the purchases of software, equipment and property, and purchase of intangible assets.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net cash provided by operating activities to Free Cash Flow for the three and six months ended June 30, 2022 and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7"/>
            <w:vMerge w:val="restart"/>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2660" w:type="dxa"/>
            <w:vAlign w:val="bottom"/>
            <w:gridSpan w:val="6"/>
            <w:vMerge w:val="restart"/>
          </w:tcPr>
          <w:p>
            <w:pPr>
              <w:jc w:val="right"/>
              <w:ind w:right="44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173"/>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180" w:type="dxa"/>
            <w:vAlign w:val="bottom"/>
          </w:tcPr>
          <w:p>
            <w:pPr>
              <w:spacing w:after="0"/>
              <w:rPr>
                <w:sz w:val="15"/>
                <w:szCs w:val="15"/>
                <w:color w:val="auto"/>
              </w:rPr>
            </w:pPr>
          </w:p>
        </w:tc>
        <w:tc>
          <w:tcPr>
            <w:tcW w:w="2940" w:type="dxa"/>
            <w:vAlign w:val="bottom"/>
            <w:gridSpan w:val="7"/>
            <w:vMerge w:val="continue"/>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40,820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21,586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87,685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Less: Purchases of software, equipment, and property</w:t>
            </w:r>
          </w:p>
        </w:tc>
        <w:tc>
          <w:tcPr>
            <w:tcW w:w="18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(11,189 )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(8,521 )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(25,469 )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(13,158 )</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Less: Purchase of intangible assets</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196"/>
        </w:trPr>
        <w:tc>
          <w:tcPr>
            <w:tcW w:w="524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Free Cash Flow</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29,631</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13,065</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62,216</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-159385</wp:posOffset>
            </wp:positionV>
            <wp:extent cx="7683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-159385</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-159385</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have financed our operations with cash flows from operations. The Company generated $87.7 million of cash flows from operating activities during the six months ended June 30, 2022. As of June 30, 2022, the Company had cash and cash equivalents of $227.6 million, a working capital surplus of $212.1 million and an accumulated deficit totaling $718.8 million. As of June 30, 2022, the Company had $796.0 million aggregate principal outstanding on its term loan.</w:t>
      </w:r>
    </w:p>
    <w:p>
      <w:pPr>
        <w:spacing w:after="0" w:line="188" w:lineRule="exact"/>
        <w:rPr>
          <w:sz w:val="20"/>
          <w:szCs w:val="20"/>
          <w:color w:val="auto"/>
        </w:rPr>
      </w:pPr>
    </w:p>
    <w:p>
      <w:pPr>
        <w:jc w:val="both"/>
        <w:ind w:right="660" w:firstLine="509"/>
        <w:spacing w:after="0" w:line="248" w:lineRule="auto"/>
        <w:rPr>
          <w:sz w:val="20"/>
          <w:szCs w:val="20"/>
          <w:color w:val="auto"/>
        </w:rPr>
      </w:pPr>
      <w:r>
        <w:rPr>
          <w:rFonts w:ascii="Arial" w:cs="Arial" w:eastAsia="Arial" w:hAnsi="Arial"/>
          <w:sz w:val="18"/>
          <w:szCs w:val="18"/>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18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line="261" w:lineRule="auto"/>
        <w:rPr>
          <w:sz w:val="20"/>
          <w:szCs w:val="20"/>
          <w:color w:val="auto"/>
        </w:rPr>
      </w:pPr>
      <w:r>
        <w:rPr>
          <w:rFonts w:ascii="Arial" w:cs="Arial" w:eastAsia="Arial" w:hAnsi="Arial"/>
          <w:sz w:val="18"/>
          <w:szCs w:val="18"/>
          <w:color w:val="auto"/>
        </w:rPr>
        <w:t>and cash equivalents or require us to seek additional equity or debt financing. Additional funds from financing arrangements may not be available on terms favorable to us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6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2021 Credit Agreement replaced the Company’s 2017 First Lien Credit Agreement (the “First Lien Credit Agreement”), dated as of April 27, 2017, as amended as of February 14, 2020.</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proceeds of the 2021 Credit Agreement were used to repay all outstanding borrowings under the First Lien Credit Agreement.</w:t>
      </w:r>
    </w:p>
    <w:p>
      <w:pPr>
        <w:spacing w:after="0" w:line="212"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i w:val="1"/>
          <w:iCs w:val="1"/>
          <w:color w:val="auto"/>
        </w:rPr>
        <w:t>2021 Credit Agreement</w:t>
      </w:r>
      <w:r>
        <w:rPr>
          <w:rFonts w:ascii="Arial" w:cs="Arial" w:eastAsia="Arial" w:hAnsi="Arial"/>
          <w:sz w:val="18"/>
          <w:szCs w:val="18"/>
          <w:color w:val="auto"/>
        </w:rPr>
        <w:t>—The 2021 Credit Agreement consists of the $800.0 million Term B Loan and 2021 Revolving Credit Facility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$250.0 million. The 2021 Revolving Credit Facility has a sublimit of $75.0 million for letters of credit. The Company received proceeds of $798.0 million, net of debt discount of $2.0 million, related to the Term B Loan.</w:t>
      </w:r>
    </w:p>
    <w:p>
      <w:pPr>
        <w:spacing w:after="0" w:line="18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Beginning with the quarter ending March 31, 2022, the Term B Loan requires quarterly principal payments of $2.0 million until June 30, 2028, with the remaining outstanding principal amount required to be paid on the maturity date, September 21, 2028.</w:t>
      </w:r>
    </w:p>
    <w:p>
      <w:pPr>
        <w:spacing w:after="0" w:line="17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Beginning with the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June 30, 2022, the Company is not subject to the annual excess cash flow calculation and no such principal prepayments are required.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 amount outstanding on the Term B Loans was $796.0 million, of which, $8.0 million is classified as current.</w:t>
      </w:r>
    </w:p>
    <w:p>
      <w:pPr>
        <w:spacing w:after="0" w:line="212"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quarterly commitment fee of up to 0.50% is payable on the unused portion of the 2021 Revolving Credit Facility.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months ended June 30, 2022, the weighted-average interest rate on the outstanding borrowings under the Term B Loan was 3.3%.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interest payments of $6.6 million during the three months ended June 30, 2022.</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six months ended June 30, 2022, the weighted-average interest rate on the outstanding borrowings under the Term B Loan was 3.2%.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interest payments of $12.5 million during the six months ended June 30, 2022.</w:t>
      </w:r>
    </w:p>
    <w:p>
      <w:pPr>
        <w:spacing w:after="0" w:line="196" w:lineRule="exact"/>
        <w:rPr>
          <w:sz w:val="20"/>
          <w:szCs w:val="20"/>
          <w:color w:val="auto"/>
        </w:rPr>
      </w:pPr>
    </w:p>
    <w:p>
      <w:pPr>
        <w:ind w:right="520" w:firstLine="509"/>
        <w:spacing w:after="0" w:line="291" w:lineRule="auto"/>
        <w:rPr>
          <w:sz w:val="20"/>
          <w:szCs w:val="20"/>
          <w:color w:val="auto"/>
        </w:rPr>
      </w:pPr>
      <w:r>
        <w:rPr>
          <w:rFonts w:ascii="Arial" w:cs="Arial" w:eastAsia="Arial" w:hAnsi="Arial"/>
          <w:sz w:val="17"/>
          <w:szCs w:val="17"/>
          <w:color w:val="auto"/>
        </w:rPr>
        <w:t>The Company has an outstanding standby letter of credit for $0.7 million which reduces the amount available to be borrowed under the 2021 Revolving Credit Facility. At June 30, 2022, $249.3 million was available to be borrowed under the 2021 Revolving Credit Facility.</w:t>
      </w:r>
    </w:p>
    <w:p>
      <w:pPr>
        <w:spacing w:after="0" w:line="147"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In addition, beginning with the three months ended June 30,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As of June 30, 2022, the Company was not subject to the financial covenant.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First Lien Credit Agreement</w:t>
      </w:r>
      <w:r>
        <w:rPr>
          <w:rFonts w:ascii="Arial" w:cs="Arial" w:eastAsia="Arial" w:hAnsi="Arial"/>
          <w:sz w:val="18"/>
          <w:szCs w:val="18"/>
          <w:color w:val="auto"/>
        </w:rPr>
        <w:t>—In April 2017, the Company entered into the First Lien Credit Agreement.</w:t>
      </w:r>
    </w:p>
    <w:p>
      <w:pPr>
        <w:spacing w:after="0" w:line="21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First Lien Credit Agreement initially consisted of a $1.0 billion term loan and revolving credit facilities for an aggregate principal amount of $100.0 million, with a sublimit of $30.0 million for letters of credit under the First Lien Revolvers.</w:t>
      </w:r>
    </w:p>
    <w:p>
      <w:pPr>
        <w:spacing w:after="0" w:line="17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February 2020, the Company refinanced its long-term debt and entered into the First Amendment to the First Lien Credit Agreement. The First Lien Amendment provided an incremental term loan, amended the amount of commitments and the maturity dates of the First Lien Credit Agreement’s revolving credit facilities.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40" w:name="page41"/>
    <w:bookmarkEnd w:id="40"/>
    <w:p>
      <w:pPr>
        <w:ind w:firstLine="509"/>
        <w:spacing w:after="0" w:line="248" w:lineRule="auto"/>
        <w:rPr>
          <w:sz w:val="20"/>
          <w:szCs w:val="20"/>
          <w:color w:val="auto"/>
        </w:rPr>
      </w:pPr>
      <w:r>
        <w:rPr>
          <w:rFonts w:ascii="Arial" w:cs="Arial" w:eastAsia="Arial" w:hAnsi="Arial"/>
          <w:sz w:val="18"/>
          <w:szCs w:val="18"/>
          <w:color w:val="auto"/>
        </w:rPr>
        <w:t>The First Lien Amendment provided an incremental term loan in the amount of $375.0 million and reduced the amount of commitments under the First Lien Revolvers to an aggregate principal amount of $91.3 million. The First Lien Revolvers continued to have a sublimit of $30.0 million for letters of credit.</w:t>
      </w:r>
    </w:p>
    <w:p>
      <w:pPr>
        <w:spacing w:after="0" w:line="18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18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made a principal prepayment of $525.0 million on July 30, 2021. Subsequently, in September 2021, using the proceeds from the Term B Loan provided in the 2021 Credit Agreement, the Company fully repaid the remaining $804.2 million of outstanding borrowings on the First Lien Term Loan.</w:t>
      </w:r>
    </w:p>
    <w:p>
      <w:pPr>
        <w:spacing w:after="0" w:line="18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During the three months ended June 30, 2021 the weighted-average interest rate on the outstanding borrowings under the First Lien Term Loan was 4.1%. The Company made interest payments of $13.5 million during the three months ended June 30, 2021.</w:t>
      </w:r>
    </w:p>
    <w:p>
      <w:pPr>
        <w:spacing w:after="0" w:line="17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During the six months ended June 30, 2021 the weighted-average interest rate on the outstanding borrowings under the First Lien Term Loan was 4.1%. The Company made interest payments of $26.8 million during the six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cash flow data for the six months ended June 30, 2022 and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60" w:type="dxa"/>
            <w:vAlign w:val="bottom"/>
          </w:tcPr>
          <w:p>
            <w:pPr>
              <w:spacing w:after="0"/>
              <w:rPr>
                <w:sz w:val="18"/>
                <w:szCs w:val="18"/>
                <w:color w:val="auto"/>
              </w:rPr>
            </w:pPr>
          </w:p>
        </w:tc>
        <w:tc>
          <w:tcPr>
            <w:tcW w:w="318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6"/>
        </w:trPr>
        <w:tc>
          <w:tcPr>
            <w:tcW w:w="7700" w:type="dxa"/>
            <w:vAlign w:val="bottom"/>
            <w:gridSpan w:val="2"/>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87,685</w:t>
            </w: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(53,819 )</w:t>
            </w: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(23,396 )</w:t>
            </w:r>
          </w:p>
        </w:tc>
        <w:tc>
          <w:tcPr>
            <w:tcW w:w="0" w:type="dxa"/>
            <w:vAlign w:val="bottom"/>
          </w:tcPr>
          <w:p>
            <w:pPr>
              <w:spacing w:after="0"/>
              <w:rPr>
                <w:sz w:val="1"/>
                <w:szCs w:val="1"/>
                <w:color w:val="auto"/>
              </w:rPr>
            </w:pPr>
          </w:p>
        </w:tc>
      </w:tr>
      <w:tr>
        <w:trPr>
          <w:trHeight w:val="203"/>
        </w:trPr>
        <w:tc>
          <w:tcPr>
            <w:tcW w:w="77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11,511</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(139,962 )</w:t>
            </w:r>
          </w:p>
        </w:tc>
        <w:tc>
          <w:tcPr>
            <w:tcW w:w="0" w:type="dxa"/>
            <w:vAlign w:val="bottom"/>
          </w:tcPr>
          <w:p>
            <w:pPr>
              <w:spacing w:after="0"/>
              <w:rPr>
                <w:sz w:val="1"/>
                <w:szCs w:val="1"/>
                <w:color w:val="auto"/>
              </w:rPr>
            </w:pPr>
          </w:p>
        </w:tc>
      </w:tr>
      <w:tr>
        <w:trPr>
          <w:trHeight w:val="203"/>
        </w:trPr>
        <w:tc>
          <w:tcPr>
            <w:tcW w:w="7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effect of exchange rate change</w:t>
            </w:r>
          </w:p>
        </w:tc>
        <w:tc>
          <w:tcPr>
            <w:tcW w:w="36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(281 )</w:t>
            </w: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Change in cash and cash equivalents</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45,096</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(103,612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right="100" w:firstLine="563"/>
        <w:spacing w:after="0" w:line="256" w:lineRule="auto"/>
        <w:rPr>
          <w:sz w:val="20"/>
          <w:szCs w:val="20"/>
          <w:color w:val="auto"/>
        </w:rPr>
      </w:pPr>
      <w:r>
        <w:rPr>
          <w:rFonts w:ascii="Arial" w:cs="Arial" w:eastAsia="Arial" w:hAnsi="Arial"/>
          <w:sz w:val="17"/>
          <w:szCs w:val="17"/>
          <w:color w:val="auto"/>
        </w:rPr>
        <w:t>Net cash provided by operating activities was $87.7 million for the six months ended June 30, 2022. Net cash provided by operating activities consists of net income of $27.5 million, adjusted for $48.8 million of non-cash items, $21.8 million for changes in working capital and ($10.4) million for the effect of changes in other operating assets and liabilities. Significant non-cash adjustments include depreciation and amortization of $63.1 million, stock-based compensation expense of $52.0 million, non-cash lease expense of $2.2 million, deferred income tax benefits of ($43.7) and a change in fair value of warrant liabilities of ($23.1) million. The change in net operating assets and liabilities was primarily a result of a decrease of $15.5 million in other current assets due to timing of cash receipts of non-trade receivables and timing of payments for other deferred costs and an increase in income taxes of $13.9 million, partially offset by decrease in accrued expenses of $8.0 million due to timing of cash disbursements and employee incentive plan payments, an increase in other assets of $9.9 million due to timing of payments and other deferred costs, and an increase in accounts receivable of $4.0 million due to timing of receipts of payments from customers.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investing activities was $53.8 million for the six months ended June 30, 2022. Net cash used in investing activities was due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$32.2 million for a business acquisition and $25.5 million of capitalized internally developed software projects and purchases of software, equipment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property, partially offset by $3.9 million of proceeds from the sale of a cost method investment.</w:t>
      </w:r>
    </w:p>
    <w:p>
      <w:pPr>
        <w:spacing w:after="0" w:line="196" w:lineRule="exact"/>
        <w:rPr>
          <w:sz w:val="20"/>
          <w:szCs w:val="20"/>
          <w:color w:val="auto"/>
        </w:rPr>
      </w:pPr>
    </w:p>
    <w:p>
      <w:pPr>
        <w:ind w:right="200" w:firstLine="509"/>
        <w:spacing w:after="0" w:line="291" w:lineRule="auto"/>
        <w:rPr>
          <w:sz w:val="20"/>
          <w:szCs w:val="20"/>
          <w:color w:val="auto"/>
        </w:rPr>
      </w:pPr>
      <w:r>
        <w:rPr>
          <w:rFonts w:ascii="Arial" w:cs="Arial" w:eastAsia="Arial" w:hAnsi="Arial"/>
          <w:sz w:val="17"/>
          <w:szCs w:val="17"/>
          <w:color w:val="auto"/>
        </w:rPr>
        <w:t>Net cash provided by financing activities was $11.5 million for the six months ended June 30, 2022. Net cash provided by financing activities was due to $15.5 million of proceeds from stock option exercises, partially offset by $4.0 million of principal payments of long-term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89"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Except as described below, there have been no material changes to our critical accounting estimates as compared to the critical accounting policies and estimates disclosed in our audited consolidated financial statements and notes thereto for the year ended December 31, 2021, included in our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Consideration</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Earnout liabilities arising from business acquisitions represent contingent consideration that may be payable in cash and recorded as a liability at fair value upon acquisition and re-measured at fair value in each subsequent reporting period. Changes in fair value are recorded in the consolidated statements of operations.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Determining the fair value of contingent consideration requires us to make assumptions and judgments. We estimate the fair value of contingent consideration using a Monte Carlo simulation model. These estimates involve inherent uncertainties and if different assumptions had been used, including but not limited to forecast inputs and discount rates, the fair value of contingent consideration could have been materially different from the amounts recorded. We have estimated the fair value of the contingent consideration associated with the acquisition of Safekeep as of the acquisition date and reassess our estimate each reporting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There have been no material changes in our market risk compared to the disclosures in Part II, Item 7A of our Annual Report on Form 10-K for the year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June 30,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2022 identified in management’s evaluation pursuant to in Rules 13a-15(d) and 15d-15(d) of the Exchange Act that materially affected, or are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risk factors relating to our business, please refer to the section entitled “Risk Factors” in our Annual Report on Form 10-K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Any of these factors could result in a significant or material adverse effect on our results of operations or financial condition.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Additional risk factors not presently known to us or that we currently deem immaterial may also impair our business or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920" w:type="dxa"/>
            <w:vAlign w:val="bottom"/>
            <w:tcBorders>
              <w:bottom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Number</w:t>
            </w:r>
          </w:p>
        </w:tc>
        <w:tc>
          <w:tcPr>
            <w:tcW w:w="10200" w:type="dxa"/>
            <w:vAlign w:val="bottom"/>
            <w:gridSpan w:val="9"/>
          </w:tcPr>
          <w:p>
            <w:pPr>
              <w:ind w:left="120"/>
              <w:spacing w:after="0" w:line="182" w:lineRule="exact"/>
              <w:rPr>
                <w:sz w:val="20"/>
                <w:szCs w:val="20"/>
                <w:color w:val="auto"/>
              </w:rPr>
            </w:pPr>
            <w:r>
              <w:rPr>
                <w:rFonts w:ascii="Arial" w:cs="Arial" w:eastAsia="Arial" w:hAnsi="Arial"/>
                <w:sz w:val="18"/>
                <w:szCs w:val="18"/>
                <w:b w:val="1"/>
                <w:bCs w:val="1"/>
                <w:color w:val="auto"/>
              </w:rPr>
              <w:t>Description</w:t>
            </w:r>
          </w:p>
        </w:tc>
      </w:tr>
      <w:tr>
        <w:trPr>
          <w:trHeight w:val="162"/>
        </w:trPr>
        <w:tc>
          <w:tcPr>
            <w:tcW w:w="92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31.1*</w:t>
            </w:r>
          </w:p>
        </w:tc>
        <w:tc>
          <w:tcPr>
            <w:tcW w:w="10200" w:type="dxa"/>
            <w:vAlign w:val="bottom"/>
            <w:gridSpan w:val="9"/>
            <w:shd w:val="clear" w:color="auto" w:fill="CCEEFF"/>
          </w:tcPr>
          <w:p>
            <w:pPr>
              <w:ind w:left="120"/>
              <w:spacing w:after="0" w:line="162" w:lineRule="exact"/>
              <w:rPr>
                <w:rFonts w:ascii="Arial" w:cs="Arial" w:eastAsia="Arial" w:hAnsi="Arial"/>
                <w:sz w:val="18"/>
                <w:szCs w:val="18"/>
                <w:color w:val="0000FF"/>
                <w:w w:val="96"/>
              </w:rPr>
            </w:pPr>
            <w:hyperlink w:anchor="page45">
              <w:r>
                <w:rPr>
                  <w:rFonts w:ascii="Arial" w:cs="Arial" w:eastAsia="Arial" w:hAnsi="Arial"/>
                  <w:sz w:val="18"/>
                  <w:szCs w:val="18"/>
                  <w:color w:val="0000FF"/>
                  <w:w w:val="96"/>
                </w:rPr>
                <w:t>Certification of Chief Executive Officer (Principal Executive Officer) Pursuant to Rules 13a-14(a) and 15d-14(a) under the Securities</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Exchange Act of 1934, as Adopted Pursuant to Section 302 of the Sarbanes-Oxley Act of 2002.</w:t>
              </w:r>
            </w:hyperlink>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55"/>
        </w:trPr>
        <w:tc>
          <w:tcPr>
            <w:tcW w:w="920" w:type="dxa"/>
            <w:vAlign w:val="bottom"/>
          </w:tcPr>
          <w:p>
            <w:pPr>
              <w:ind w:left="20"/>
              <w:spacing w:after="0" w:line="15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3"/>
                <w:szCs w:val="13"/>
                <w:color w:val="auto"/>
              </w:rPr>
            </w:pPr>
          </w:p>
        </w:tc>
        <w:tc>
          <w:tcPr>
            <w:tcW w:w="10080" w:type="dxa"/>
            <w:vAlign w:val="bottom"/>
            <w:gridSpan w:val="8"/>
          </w:tcPr>
          <w:p>
            <w:pPr>
              <w:spacing w:after="0" w:line="15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Certification of Chief Financial Officer (Principal Financial and Accounting Officer) Pursuant to Rules 13a-14(a) and 15d-14(a) under the</w:t>
              </w:r>
            </w:hyperlink>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Securities Exchange Act of 1934, as Adopted Pursuant to Section 302 of the Sarbanes-Oxley Act of 2002.</w:t>
              </w:r>
            </w:hyperlink>
          </w:p>
        </w:tc>
        <w:tc>
          <w:tcPr>
            <w:tcW w:w="23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32.1**</w:t>
            </w:r>
          </w:p>
        </w:tc>
        <w:tc>
          <w:tcPr>
            <w:tcW w:w="10200" w:type="dxa"/>
            <w:vAlign w:val="bottom"/>
            <w:gridSpan w:val="9"/>
            <w:shd w:val="clear" w:color="auto" w:fill="CCEEFF"/>
          </w:tcPr>
          <w:p>
            <w:pPr>
              <w:ind w:left="120"/>
              <w:spacing w:after="0" w:line="156"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 of Chief Executive Officer (Principal Executive Officer) Pursuant to 18 U.S.C. Section 1350, as Adopted Pursuant to Section</w:t>
              </w:r>
            </w:hyperlink>
          </w:p>
        </w:tc>
      </w:tr>
      <w:tr>
        <w:trPr>
          <w:trHeight w:val="155"/>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8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906 of the Sarbanes-Oxley Act of 2002.</w:t>
              </w:r>
            </w:hyperlink>
          </w:p>
        </w:tc>
        <w:tc>
          <w:tcPr>
            <w:tcW w:w="714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920" w:type="dxa"/>
            <w:vAlign w:val="bottom"/>
          </w:tcPr>
          <w:p>
            <w:pPr>
              <w:ind w:left="20"/>
              <w:spacing w:after="0" w:line="156" w:lineRule="exact"/>
              <w:rPr>
                <w:sz w:val="20"/>
                <w:szCs w:val="20"/>
                <w:color w:val="auto"/>
              </w:rPr>
            </w:pPr>
            <w:r>
              <w:rPr>
                <w:rFonts w:ascii="Arial" w:cs="Arial" w:eastAsia="Arial" w:hAnsi="Arial"/>
                <w:sz w:val="18"/>
                <w:szCs w:val="18"/>
                <w:color w:val="auto"/>
              </w:rPr>
              <w:t>32.2**</w:t>
            </w:r>
          </w:p>
        </w:tc>
        <w:tc>
          <w:tcPr>
            <w:tcW w:w="10200" w:type="dxa"/>
            <w:vAlign w:val="bottom"/>
            <w:gridSpan w:val="9"/>
          </w:tcPr>
          <w:p>
            <w:pPr>
              <w:ind w:left="120"/>
              <w:spacing w:after="0" w:line="15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Chief Financial Officer Pursuant to 18 U.S.C. Section 1350, as Adopted Pursuant to Section 906 of the Sarbanes-Oxley Act</w:t>
              </w:r>
            </w:hyperlink>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of 2002.</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9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14"/>
                <w:szCs w:val="14"/>
                <w:color w:val="auto"/>
              </w:rPr>
            </w:pPr>
          </w:p>
        </w:tc>
        <w:tc>
          <w:tcPr>
            <w:tcW w:w="10080" w:type="dxa"/>
            <w:vAlign w:val="bottom"/>
            <w:gridSpan w:val="8"/>
            <w:shd w:val="clear" w:color="auto" w:fill="CCEEFF"/>
          </w:tcPr>
          <w:p>
            <w:pPr>
              <w:spacing w:after="0" w:line="169" w:lineRule="exact"/>
              <w:rPr>
                <w:sz w:val="20"/>
                <w:szCs w:val="20"/>
                <w:color w:val="auto"/>
              </w:rPr>
            </w:pPr>
            <w:r>
              <w:rPr>
                <w:rFonts w:ascii="Arial" w:cs="Arial" w:eastAsia="Arial" w:hAnsi="Arial"/>
                <w:sz w:val="18"/>
                <w:szCs w:val="18"/>
                <w:color w:val="auto"/>
              </w:rPr>
              <w:t>Inline XBRL Instance Document</w:t>
            </w:r>
          </w:p>
        </w:tc>
      </w:tr>
      <w:tr>
        <w:trPr>
          <w:trHeight w:val="176"/>
        </w:trPr>
        <w:tc>
          <w:tcPr>
            <w:tcW w:w="920" w:type="dxa"/>
            <w:vAlign w:val="bottom"/>
          </w:tcPr>
          <w:p>
            <w:pPr>
              <w:ind w:left="20"/>
              <w:spacing w:after="0" w:line="176" w:lineRule="exact"/>
              <w:rPr>
                <w:sz w:val="20"/>
                <w:szCs w:val="20"/>
                <w:color w:val="auto"/>
              </w:rPr>
            </w:pPr>
            <w:r>
              <w:rPr>
                <w:rFonts w:ascii="Arial" w:cs="Arial" w:eastAsia="Arial" w:hAnsi="Arial"/>
                <w:sz w:val="18"/>
                <w:szCs w:val="18"/>
                <w:color w:val="auto"/>
              </w:rPr>
              <w:t>101.SCH*</w:t>
            </w:r>
          </w:p>
        </w:tc>
        <w:tc>
          <w:tcPr>
            <w:tcW w:w="10200" w:type="dxa"/>
            <w:vAlign w:val="bottom"/>
            <w:gridSpan w:val="9"/>
          </w:tcPr>
          <w:p>
            <w:pPr>
              <w:ind w:left="120"/>
              <w:spacing w:after="0" w:line="176" w:lineRule="exact"/>
              <w:rPr>
                <w:sz w:val="20"/>
                <w:szCs w:val="20"/>
                <w:color w:val="auto"/>
              </w:rPr>
            </w:pPr>
            <w:r>
              <w:rPr>
                <w:rFonts w:ascii="Arial" w:cs="Arial" w:eastAsia="Arial" w:hAnsi="Arial"/>
                <w:sz w:val="18"/>
                <w:szCs w:val="18"/>
                <w:color w:val="auto"/>
              </w:rPr>
              <w:t>Inline XBRL Taxonomy Extension Schema Document</w:t>
            </w:r>
          </w:p>
        </w:tc>
      </w:tr>
      <w:tr>
        <w:trPr>
          <w:trHeight w:val="175"/>
        </w:trPr>
        <w:tc>
          <w:tcPr>
            <w:tcW w:w="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101.CAL*</w:t>
            </w:r>
          </w:p>
        </w:tc>
        <w:tc>
          <w:tcPr>
            <w:tcW w:w="10200" w:type="dxa"/>
            <w:vAlign w:val="bottom"/>
            <w:gridSpan w:val="9"/>
            <w:shd w:val="clear" w:color="auto" w:fill="CCEEFF"/>
          </w:tcPr>
          <w:p>
            <w:pPr>
              <w:ind w:left="120"/>
              <w:spacing w:after="0" w:line="176"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175"/>
        </w:trPr>
        <w:tc>
          <w:tcPr>
            <w:tcW w:w="920" w:type="dxa"/>
            <w:vAlign w:val="bottom"/>
          </w:tcPr>
          <w:p>
            <w:pPr>
              <w:ind w:left="20"/>
              <w:spacing w:after="0" w:line="176" w:lineRule="exact"/>
              <w:rPr>
                <w:sz w:val="20"/>
                <w:szCs w:val="20"/>
                <w:color w:val="auto"/>
              </w:rPr>
            </w:pPr>
            <w:r>
              <w:rPr>
                <w:rFonts w:ascii="Arial" w:cs="Arial" w:eastAsia="Arial" w:hAnsi="Arial"/>
                <w:sz w:val="18"/>
                <w:szCs w:val="18"/>
                <w:color w:val="auto"/>
              </w:rPr>
              <w:t>101.DEF*</w:t>
            </w:r>
          </w:p>
        </w:tc>
        <w:tc>
          <w:tcPr>
            <w:tcW w:w="10200" w:type="dxa"/>
            <w:vAlign w:val="bottom"/>
            <w:gridSpan w:val="9"/>
          </w:tcPr>
          <w:p>
            <w:pPr>
              <w:ind w:left="120"/>
              <w:spacing w:after="0" w:line="176"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175"/>
        </w:trPr>
        <w:tc>
          <w:tcPr>
            <w:tcW w:w="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101.LAB*</w:t>
            </w:r>
          </w:p>
        </w:tc>
        <w:tc>
          <w:tcPr>
            <w:tcW w:w="10200" w:type="dxa"/>
            <w:vAlign w:val="bottom"/>
            <w:gridSpan w:val="9"/>
            <w:shd w:val="clear" w:color="auto" w:fill="CCEEFF"/>
          </w:tcPr>
          <w:p>
            <w:pPr>
              <w:ind w:left="120"/>
              <w:spacing w:after="0" w:line="176" w:lineRule="exact"/>
              <w:rPr>
                <w:sz w:val="20"/>
                <w:szCs w:val="20"/>
                <w:color w:val="auto"/>
              </w:rPr>
            </w:pPr>
            <w:r>
              <w:rPr>
                <w:rFonts w:ascii="Arial" w:cs="Arial" w:eastAsia="Arial" w:hAnsi="Arial"/>
                <w:sz w:val="18"/>
                <w:szCs w:val="18"/>
                <w:color w:val="auto"/>
              </w:rPr>
              <w:t>Inline XBRL Taxonomy Extension Label Linkbase Document</w:t>
            </w:r>
          </w:p>
        </w:tc>
      </w:tr>
      <w:tr>
        <w:trPr>
          <w:trHeight w:val="148"/>
        </w:trPr>
        <w:tc>
          <w:tcPr>
            <w:tcW w:w="920" w:type="dxa"/>
            <w:vAlign w:val="bottom"/>
          </w:tcPr>
          <w:p>
            <w:pPr>
              <w:ind w:left="20"/>
              <w:spacing w:after="0" w:line="149" w:lineRule="exact"/>
              <w:rPr>
                <w:sz w:val="20"/>
                <w:szCs w:val="20"/>
                <w:color w:val="auto"/>
              </w:rPr>
            </w:pPr>
            <w:r>
              <w:rPr>
                <w:rFonts w:ascii="Arial" w:cs="Arial" w:eastAsia="Arial" w:hAnsi="Arial"/>
                <w:sz w:val="17"/>
                <w:szCs w:val="17"/>
                <w:color w:val="auto"/>
              </w:rPr>
              <w:t>101.PRE*</w:t>
            </w:r>
          </w:p>
        </w:tc>
        <w:tc>
          <w:tcPr>
            <w:tcW w:w="10200" w:type="dxa"/>
            <w:vAlign w:val="bottom"/>
            <w:gridSpan w:val="9"/>
          </w:tcPr>
          <w:p>
            <w:pPr>
              <w:ind w:left="120"/>
              <w:spacing w:after="0" w:line="149" w:lineRule="exact"/>
              <w:rPr>
                <w:sz w:val="20"/>
                <w:szCs w:val="20"/>
                <w:color w:val="auto"/>
              </w:rPr>
            </w:pPr>
            <w:r>
              <w:rPr>
                <w:rFonts w:ascii="Arial" w:cs="Arial" w:eastAsia="Arial" w:hAnsi="Arial"/>
                <w:sz w:val="17"/>
                <w:szCs w:val="17"/>
                <w:color w:val="auto"/>
              </w:rPr>
              <w:t>Inline XBRL Taxonomy Extension Presentation Linkbase Document</w:t>
            </w:r>
          </w:p>
        </w:tc>
      </w:tr>
      <w:tr>
        <w:trPr>
          <w:trHeight w:val="191"/>
        </w:trPr>
        <w:tc>
          <w:tcPr>
            <w:tcW w:w="920" w:type="dxa"/>
            <w:vAlign w:val="bottom"/>
          </w:tcPr>
          <w:p>
            <w:pPr>
              <w:ind w:left="20"/>
              <w:spacing w:after="0" w:line="191" w:lineRule="exact"/>
              <w:rPr>
                <w:sz w:val="20"/>
                <w:szCs w:val="20"/>
                <w:color w:val="auto"/>
              </w:rPr>
            </w:pPr>
            <w:r>
              <w:rPr>
                <w:rFonts w:ascii="Arial" w:cs="Arial" w:eastAsia="Arial" w:hAnsi="Arial"/>
                <w:sz w:val="18"/>
                <w:szCs w:val="18"/>
                <w:color w:val="auto"/>
              </w:rPr>
              <w:t>104*</w:t>
            </w:r>
          </w:p>
        </w:tc>
        <w:tc>
          <w:tcPr>
            <w:tcW w:w="10200" w:type="dxa"/>
            <w:vAlign w:val="bottom"/>
            <w:gridSpan w:val="9"/>
          </w:tcPr>
          <w:p>
            <w:pPr>
              <w:ind w:left="120"/>
              <w:spacing w:after="0" w:line="191" w:lineRule="exact"/>
              <w:rPr>
                <w:sz w:val="20"/>
                <w:szCs w:val="20"/>
                <w:color w:val="auto"/>
              </w:rPr>
            </w:pPr>
            <w:r>
              <w:rPr>
                <w:rFonts w:ascii="Arial" w:cs="Arial" w:eastAsia="Arial" w:hAnsi="Arial"/>
                <w:sz w:val="18"/>
                <w:szCs w:val="18"/>
                <w:color w:val="auto"/>
                <w:w w:val="92"/>
              </w:rPr>
              <w:t>Cover Page Interactive Data File - The cover page interactive data file does not appear in the Interactive Data File because its XBRL tags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054850" cy="222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054850" cy="222885"/>
                    </a:xfrm>
                    <a:prstGeom prst="rect">
                      <a:avLst/>
                    </a:prstGeom>
                    <a:noFill/>
                  </pic:spPr>
                </pic:pic>
              </a:graphicData>
            </a:graphic>
          </wp:anchor>
        </w:drawing>
      </w:r>
    </w:p>
    <w:p>
      <w:pPr>
        <w:ind w:left="1040"/>
        <w:spacing w:after="0" w:line="219" w:lineRule="auto"/>
        <w:rPr>
          <w:sz w:val="20"/>
          <w:szCs w:val="20"/>
          <w:color w:val="auto"/>
        </w:rPr>
      </w:pPr>
      <w:r>
        <w:rPr>
          <w:rFonts w:ascii="Arial" w:cs="Arial" w:eastAsia="Arial" w:hAnsi="Arial"/>
          <w:sz w:val="18"/>
          <w:szCs w:val="18"/>
          <w:color w:val="auto"/>
        </w:rPr>
        <w:t>are embedded within the Inline XBRL document</w:t>
      </w:r>
    </w:p>
    <w:p>
      <w:pPr>
        <w:spacing w:after="0" w:line="234" w:lineRule="auto"/>
        <w:rPr>
          <w:sz w:val="20"/>
          <w:szCs w:val="20"/>
          <w:color w:val="auto"/>
        </w:rPr>
      </w:pPr>
      <w:r>
        <w:rPr>
          <w:rFonts w:ascii="Arial" w:cs="Arial" w:eastAsia="Arial" w:hAnsi="Arial"/>
          <w:sz w:val="18"/>
          <w:szCs w:val="18"/>
          <w:color w:val="auto"/>
        </w:rPr>
        <w:t>__________</w:t>
      </w:r>
    </w:p>
    <w:p>
      <w:pPr>
        <w:spacing w:after="0" w:line="235" w:lineRule="auto"/>
        <w:rPr>
          <w:sz w:val="20"/>
          <w:szCs w:val="20"/>
          <w:color w:val="auto"/>
        </w:rPr>
      </w:pPr>
      <w:r>
        <w:rPr>
          <w:rFonts w:ascii="Arial" w:cs="Arial" w:eastAsia="Arial" w:hAnsi="Arial"/>
          <w:sz w:val="18"/>
          <w:szCs w:val="18"/>
          <w:color w:val="auto"/>
        </w:rPr>
        <w:t>*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20"/>
              <w:spacing w:after="0"/>
              <w:rPr>
                <w:sz w:val="20"/>
                <w:szCs w:val="20"/>
                <w:color w:val="auto"/>
              </w:rPr>
            </w:pPr>
            <w:r>
              <w:rPr>
                <w:rFonts w:ascii="Arial" w:cs="Arial" w:eastAsia="Arial" w:hAnsi="Arial"/>
                <w:sz w:val="18"/>
                <w:szCs w:val="18"/>
                <w:color w:val="auto"/>
              </w:rPr>
              <w:t>Dated: August 4, 2022</w:t>
            </w:r>
          </w:p>
        </w:tc>
        <w:tc>
          <w:tcPr>
            <w:tcW w:w="7540" w:type="dxa"/>
            <w:vAlign w:val="bottom"/>
            <w:gridSpan w:val="2"/>
          </w:tcPr>
          <w:p>
            <w:pPr>
              <w:ind w:left="1960"/>
              <w:spacing w:after="0"/>
              <w:rPr>
                <w:sz w:val="20"/>
                <w:szCs w:val="20"/>
                <w:color w:val="auto"/>
              </w:rPr>
            </w:pPr>
            <w:r>
              <w:rPr>
                <w:rFonts w:ascii="Arial" w:cs="Arial" w:eastAsia="Arial" w:hAnsi="Arial"/>
                <w:sz w:val="18"/>
                <w:szCs w:val="18"/>
                <w:b w:val="1"/>
                <w:bCs w:val="1"/>
                <w:color w:val="auto"/>
              </w:rPr>
              <w:t>CCC INTELLIGENT SOLUTIONS HOLDINGS INC.</w:t>
            </w:r>
          </w:p>
        </w:tc>
        <w:tc>
          <w:tcPr>
            <w:tcW w:w="120" w:type="dxa"/>
            <w:vAlign w:val="bottom"/>
          </w:tcPr>
          <w:p>
            <w:pPr>
              <w:spacing w:after="0"/>
              <w:rPr>
                <w:sz w:val="20"/>
                <w:szCs w:val="20"/>
                <w:color w:val="auto"/>
              </w:rPr>
            </w:pPr>
          </w:p>
        </w:tc>
      </w:tr>
      <w:tr>
        <w:trPr>
          <w:trHeight w:val="331"/>
        </w:trPr>
        <w:tc>
          <w:tcPr>
            <w:tcW w:w="358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Githesh Ramamurthy</w:t>
            </w:r>
          </w:p>
        </w:tc>
        <w:tc>
          <w:tcPr>
            <w:tcW w:w="120" w:type="dxa"/>
            <w:vAlign w:val="bottom"/>
          </w:tcPr>
          <w:p>
            <w:pPr>
              <w:spacing w:after="0"/>
              <w:rPr>
                <w:sz w:val="24"/>
                <w:szCs w:val="24"/>
                <w:color w:val="auto"/>
              </w:rPr>
            </w:pPr>
          </w:p>
        </w:tc>
      </w:tr>
      <w:tr>
        <w:trPr>
          <w:trHeight w:val="148"/>
        </w:trPr>
        <w:tc>
          <w:tcPr>
            <w:tcW w:w="3580" w:type="dxa"/>
            <w:vAlign w:val="bottom"/>
          </w:tcPr>
          <w:p>
            <w:pPr>
              <w:spacing w:after="0"/>
              <w:rPr>
                <w:sz w:val="12"/>
                <w:szCs w:val="12"/>
                <w:color w:val="auto"/>
              </w:rPr>
            </w:pPr>
          </w:p>
        </w:tc>
        <w:tc>
          <w:tcPr>
            <w:tcW w:w="2600" w:type="dxa"/>
            <w:vAlign w:val="bottom"/>
          </w:tcPr>
          <w:p>
            <w:pPr>
              <w:ind w:left="1960"/>
              <w:spacing w:after="0" w:line="149"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49" w:lineRule="exact"/>
              <w:rPr>
                <w:sz w:val="20"/>
                <w:szCs w:val="20"/>
                <w:color w:val="auto"/>
              </w:rPr>
            </w:pPr>
            <w:r>
              <w:rPr>
                <w:rFonts w:ascii="Arial" w:cs="Arial" w:eastAsia="Arial" w:hAnsi="Arial"/>
                <w:sz w:val="17"/>
                <w:szCs w:val="17"/>
                <w:color w:val="auto"/>
              </w:rPr>
              <w:t>Githesh Ramamurthy</w:t>
            </w:r>
          </w:p>
        </w:tc>
        <w:tc>
          <w:tcPr>
            <w:tcW w:w="120" w:type="dxa"/>
            <w:vAlign w:val="bottom"/>
          </w:tcPr>
          <w:p>
            <w:pPr>
              <w:spacing w:after="0"/>
              <w:rPr>
                <w:sz w:val="12"/>
                <w:szCs w:val="12"/>
                <w:color w:val="auto"/>
              </w:rPr>
            </w:pPr>
          </w:p>
        </w:tc>
      </w:tr>
      <w:tr>
        <w:trPr>
          <w:trHeight w:val="175"/>
        </w:trPr>
        <w:tc>
          <w:tcPr>
            <w:tcW w:w="3580" w:type="dxa"/>
            <w:vAlign w:val="bottom"/>
          </w:tcPr>
          <w:p>
            <w:pPr>
              <w:spacing w:after="0"/>
              <w:rPr>
                <w:sz w:val="15"/>
                <w:szCs w:val="15"/>
                <w:color w:val="auto"/>
              </w:rPr>
            </w:pPr>
          </w:p>
        </w:tc>
        <w:tc>
          <w:tcPr>
            <w:tcW w:w="2600" w:type="dxa"/>
            <w:vAlign w:val="bottom"/>
          </w:tcPr>
          <w:p>
            <w:pPr>
              <w:ind w:left="1960"/>
              <w:spacing w:after="0" w:line="176" w:lineRule="exact"/>
              <w:rPr>
                <w:sz w:val="20"/>
                <w:szCs w:val="20"/>
                <w:color w:val="auto"/>
              </w:rPr>
            </w:pPr>
            <w:r>
              <w:rPr>
                <w:rFonts w:ascii="Arial" w:cs="Arial" w:eastAsia="Arial" w:hAnsi="Arial"/>
                <w:sz w:val="18"/>
                <w:szCs w:val="18"/>
                <w:color w:val="auto"/>
              </w:rPr>
              <w:t>Title:</w:t>
            </w:r>
          </w:p>
        </w:tc>
        <w:tc>
          <w:tcPr>
            <w:tcW w:w="4940" w:type="dxa"/>
            <w:vAlign w:val="bottom"/>
          </w:tcPr>
          <w:p>
            <w:pPr>
              <w:spacing w:after="0" w:line="176" w:lineRule="exact"/>
              <w:rPr>
                <w:sz w:val="20"/>
                <w:szCs w:val="20"/>
                <w:color w:val="auto"/>
              </w:rPr>
            </w:pPr>
            <w:r>
              <w:rPr>
                <w:rFonts w:ascii="Arial" w:cs="Arial" w:eastAsia="Arial" w:hAnsi="Arial"/>
                <w:sz w:val="18"/>
                <w:szCs w:val="18"/>
                <w:color w:val="auto"/>
                <w:w w:val="98"/>
              </w:rPr>
              <w:t>Chief Executive Officer and Chairman of the Board of Directors</w:t>
            </w:r>
          </w:p>
        </w:tc>
        <w:tc>
          <w:tcPr>
            <w:tcW w:w="120" w:type="dxa"/>
            <w:vAlign w:val="bottom"/>
          </w:tcPr>
          <w:p>
            <w:pPr>
              <w:spacing w:after="0"/>
              <w:rPr>
                <w:sz w:val="15"/>
                <w:szCs w:val="15"/>
                <w:color w:val="auto"/>
              </w:rPr>
            </w:pP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20"/>
                <w:szCs w:val="20"/>
                <w:color w:val="auto"/>
              </w:rPr>
            </w:pPr>
          </w:p>
        </w:tc>
      </w:tr>
      <w:tr>
        <w:trPr>
          <w:trHeight w:val="350"/>
        </w:trPr>
        <w:tc>
          <w:tcPr>
            <w:tcW w:w="3580" w:type="dxa"/>
            <w:vAlign w:val="bottom"/>
          </w:tcPr>
          <w:p>
            <w:pPr>
              <w:ind w:left="20"/>
              <w:spacing w:after="0"/>
              <w:rPr>
                <w:sz w:val="20"/>
                <w:szCs w:val="20"/>
                <w:color w:val="auto"/>
              </w:rPr>
            </w:pPr>
            <w:r>
              <w:rPr>
                <w:rFonts w:ascii="Arial" w:cs="Arial" w:eastAsia="Arial" w:hAnsi="Arial"/>
                <w:sz w:val="18"/>
                <w:szCs w:val="18"/>
                <w:color w:val="auto"/>
              </w:rPr>
              <w:t>Dated: August 4, 2022</w:t>
            </w:r>
          </w:p>
        </w:tc>
        <w:tc>
          <w:tcPr>
            <w:tcW w:w="26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358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Herb</w:t>
            </w:r>
          </w:p>
        </w:tc>
        <w:tc>
          <w:tcPr>
            <w:tcW w:w="120" w:type="dxa"/>
            <w:vAlign w:val="bottom"/>
          </w:tcPr>
          <w:p>
            <w:pPr>
              <w:spacing w:after="0"/>
              <w:rPr>
                <w:sz w:val="24"/>
                <w:szCs w:val="24"/>
                <w:color w:val="auto"/>
              </w:rPr>
            </w:pPr>
          </w:p>
        </w:tc>
      </w:tr>
      <w:tr>
        <w:trPr>
          <w:trHeight w:val="148"/>
        </w:trPr>
        <w:tc>
          <w:tcPr>
            <w:tcW w:w="3580" w:type="dxa"/>
            <w:vAlign w:val="bottom"/>
          </w:tcPr>
          <w:p>
            <w:pPr>
              <w:spacing w:after="0"/>
              <w:rPr>
                <w:sz w:val="12"/>
                <w:szCs w:val="12"/>
                <w:color w:val="auto"/>
              </w:rPr>
            </w:pPr>
          </w:p>
        </w:tc>
        <w:tc>
          <w:tcPr>
            <w:tcW w:w="2600" w:type="dxa"/>
            <w:vAlign w:val="bottom"/>
          </w:tcPr>
          <w:p>
            <w:pPr>
              <w:ind w:left="1960"/>
              <w:spacing w:after="0" w:line="149"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49" w:lineRule="exact"/>
              <w:rPr>
                <w:sz w:val="20"/>
                <w:szCs w:val="20"/>
                <w:color w:val="auto"/>
              </w:rPr>
            </w:pPr>
            <w:r>
              <w:rPr>
                <w:rFonts w:ascii="Arial" w:cs="Arial" w:eastAsia="Arial" w:hAnsi="Arial"/>
                <w:sz w:val="17"/>
                <w:szCs w:val="17"/>
                <w:color w:val="auto"/>
              </w:rPr>
              <w:t>Brian Herb</w:t>
            </w:r>
          </w:p>
        </w:tc>
        <w:tc>
          <w:tcPr>
            <w:tcW w:w="120" w:type="dxa"/>
            <w:vAlign w:val="bottom"/>
          </w:tcPr>
          <w:p>
            <w:pPr>
              <w:spacing w:after="0"/>
              <w:rPr>
                <w:sz w:val="12"/>
                <w:szCs w:val="12"/>
                <w:color w:val="auto"/>
              </w:rPr>
            </w:pPr>
          </w:p>
        </w:tc>
      </w:tr>
      <w:tr>
        <w:trPr>
          <w:trHeight w:val="176"/>
        </w:trPr>
        <w:tc>
          <w:tcPr>
            <w:tcW w:w="3580" w:type="dxa"/>
            <w:vAlign w:val="bottom"/>
          </w:tcPr>
          <w:p>
            <w:pPr>
              <w:spacing w:after="0"/>
              <w:rPr>
                <w:sz w:val="15"/>
                <w:szCs w:val="15"/>
                <w:color w:val="auto"/>
              </w:rPr>
            </w:pPr>
          </w:p>
        </w:tc>
        <w:tc>
          <w:tcPr>
            <w:tcW w:w="2600" w:type="dxa"/>
            <w:vAlign w:val="bottom"/>
          </w:tcPr>
          <w:p>
            <w:pPr>
              <w:ind w:left="1960"/>
              <w:spacing w:after="0" w:line="176" w:lineRule="exact"/>
              <w:rPr>
                <w:sz w:val="20"/>
                <w:szCs w:val="20"/>
                <w:color w:val="auto"/>
              </w:rPr>
            </w:pPr>
            <w:r>
              <w:rPr>
                <w:rFonts w:ascii="Arial" w:cs="Arial" w:eastAsia="Arial" w:hAnsi="Arial"/>
                <w:sz w:val="18"/>
                <w:szCs w:val="18"/>
                <w:color w:val="auto"/>
              </w:rPr>
              <w:t>Title:</w:t>
            </w:r>
          </w:p>
        </w:tc>
        <w:tc>
          <w:tcPr>
            <w:tcW w:w="4940" w:type="dxa"/>
            <w:vAlign w:val="bottom"/>
          </w:tcPr>
          <w:p>
            <w:pPr>
              <w:spacing w:after="0" w:line="176" w:lineRule="exact"/>
              <w:rPr>
                <w:sz w:val="20"/>
                <w:szCs w:val="20"/>
                <w:color w:val="auto"/>
              </w:rPr>
            </w:pPr>
            <w:r>
              <w:rPr>
                <w:rFonts w:ascii="Arial" w:cs="Arial" w:eastAsia="Arial" w:hAnsi="Arial"/>
                <w:sz w:val="18"/>
                <w:szCs w:val="18"/>
                <w:color w:val="auto"/>
              </w:rPr>
              <w:t>Executive Vice President, Chief Financial and Administrative</w:t>
            </w:r>
          </w:p>
        </w:tc>
        <w:tc>
          <w:tcPr>
            <w:tcW w:w="120" w:type="dxa"/>
            <w:vAlign w:val="bottom"/>
          </w:tcPr>
          <w:p>
            <w:pPr>
              <w:spacing w:after="0"/>
              <w:rPr>
                <w:sz w:val="15"/>
                <w:szCs w:val="15"/>
                <w:color w:val="auto"/>
              </w:rPr>
            </w:pPr>
          </w:p>
        </w:tc>
      </w:tr>
      <w:tr>
        <w:trPr>
          <w:trHeight w:val="176"/>
        </w:trPr>
        <w:tc>
          <w:tcPr>
            <w:tcW w:w="3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940" w:type="dxa"/>
            <w:vAlign w:val="bottom"/>
          </w:tcPr>
          <w:p>
            <w:pPr>
              <w:spacing w:after="0" w:line="176" w:lineRule="exact"/>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5"/>
                <w:szCs w:val="15"/>
                <w:color w:val="auto"/>
              </w:rPr>
            </w:pP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20" w:type="dxa"/>
            <w:vAlign w:val="bottom"/>
          </w:tcPr>
          <w:p>
            <w:pPr>
              <w:spacing w:after="0"/>
              <w:rPr>
                <w:sz w:val="20"/>
                <w:szCs w:val="20"/>
                <w:color w:val="auto"/>
              </w:rPr>
            </w:pPr>
          </w:p>
        </w:tc>
      </w:tr>
      <w:tr>
        <w:trPr>
          <w:trHeight w:val="607"/>
        </w:trPr>
        <w:tc>
          <w:tcPr>
            <w:tcW w:w="358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44</w:t>
            </w: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35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Githesh Ramamurthy, certify that:</w:t>
      </w:r>
    </w:p>
    <w:p>
      <w:pPr>
        <w:spacing w:after="0" w:line="198"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198"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80" w:right="600" w:hanging="372"/>
        <w:spacing w:after="0" w:line="261"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7" w:lineRule="exact"/>
        <w:rPr>
          <w:rFonts w:ascii="Arial" w:cs="Arial" w:eastAsia="Arial" w:hAnsi="Arial"/>
          <w:sz w:val="18"/>
          <w:szCs w:val="18"/>
          <w:color w:val="auto"/>
        </w:rPr>
      </w:pPr>
    </w:p>
    <w:p>
      <w:pPr>
        <w:ind w:left="760" w:right="100" w:hanging="3"/>
        <w:spacing w:after="0" w:line="248"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760" w:right="320" w:hanging="3"/>
        <w:spacing w:after="0" w:line="248"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760" w:right="420" w:hanging="3"/>
        <w:spacing w:after="0" w:line="324" w:lineRule="auto"/>
        <w:tabs>
          <w:tab w:leader="none" w:pos="11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760" w:right="400" w:hanging="3"/>
        <w:spacing w:after="0" w:line="248"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380" w:right="280" w:hanging="372"/>
        <w:spacing w:after="0" w:line="291"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760" w:right="640" w:hanging="3"/>
        <w:spacing w:after="0" w:line="291" w:lineRule="auto"/>
        <w:tabs>
          <w:tab w:leader="none" w:pos="11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760" w:right="340" w:hanging="3"/>
        <w:spacing w:after="0" w:line="261"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Dated: August 4, 2022</w:t>
            </w:r>
          </w:p>
        </w:tc>
        <w:tc>
          <w:tcPr>
            <w:tcW w:w="6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Githesh Ramamurthy</w:t>
            </w:r>
          </w:p>
        </w:tc>
        <w:tc>
          <w:tcPr>
            <w:tcW w:w="100" w:type="dxa"/>
            <w:vAlign w:val="bottom"/>
          </w:tcPr>
          <w:p>
            <w:pPr>
              <w:spacing w:after="0"/>
              <w:rPr>
                <w:sz w:val="20"/>
                <w:szCs w:val="20"/>
                <w:color w:val="auto"/>
              </w:rPr>
            </w:pPr>
          </w:p>
        </w:tc>
      </w:tr>
      <w:tr>
        <w:trPr>
          <w:trHeight w:val="222"/>
        </w:trPr>
        <w:tc>
          <w:tcPr>
            <w:tcW w:w="4360" w:type="dxa"/>
            <w:vAlign w:val="bottom"/>
          </w:tcPr>
          <w:p>
            <w:pPr>
              <w:spacing w:after="0"/>
              <w:rPr>
                <w:sz w:val="19"/>
                <w:szCs w:val="19"/>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Githesh Ramamurthy</w:t>
            </w:r>
          </w:p>
        </w:tc>
        <w:tc>
          <w:tcPr>
            <w:tcW w:w="100" w:type="dxa"/>
            <w:vAlign w:val="bottom"/>
          </w:tcPr>
          <w:p>
            <w:pPr>
              <w:spacing w:after="0"/>
              <w:rPr>
                <w:sz w:val="19"/>
                <w:szCs w:val="19"/>
                <w:color w:val="auto"/>
              </w:rPr>
            </w:pPr>
          </w:p>
        </w:tc>
      </w:tr>
      <w:tr>
        <w:trPr>
          <w:trHeight w:val="230"/>
        </w:trPr>
        <w:tc>
          <w:tcPr>
            <w:tcW w:w="4360" w:type="dxa"/>
            <w:vAlign w:val="bottom"/>
          </w:tcPr>
          <w:p>
            <w:pPr>
              <w:spacing w:after="0"/>
              <w:rPr>
                <w:sz w:val="20"/>
                <w:szCs w:val="20"/>
                <w:color w:val="auto"/>
              </w:rPr>
            </w:pPr>
          </w:p>
        </w:tc>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100" w:type="dxa"/>
            <w:vAlign w:val="bottom"/>
          </w:tcPr>
          <w:p>
            <w:pPr>
              <w:spacing w:after="0"/>
              <w:rPr>
                <w:sz w:val="20"/>
                <w:szCs w:val="20"/>
                <w:color w:val="auto"/>
              </w:rPr>
            </w:pPr>
          </w:p>
        </w:tc>
      </w:tr>
      <w:tr>
        <w:trPr>
          <w:trHeight w:val="318"/>
        </w:trPr>
        <w:tc>
          <w:tcPr>
            <w:tcW w:w="436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Brian Herb, certify that:</w:t>
      </w:r>
    </w:p>
    <w:p>
      <w:pPr>
        <w:spacing w:after="0" w:line="198"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198"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80" w:right="600" w:hanging="372"/>
        <w:spacing w:after="0" w:line="261"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7" w:lineRule="exact"/>
        <w:rPr>
          <w:rFonts w:ascii="Arial" w:cs="Arial" w:eastAsia="Arial" w:hAnsi="Arial"/>
          <w:sz w:val="18"/>
          <w:szCs w:val="18"/>
          <w:color w:val="auto"/>
        </w:rPr>
      </w:pPr>
    </w:p>
    <w:p>
      <w:pPr>
        <w:ind w:left="760" w:right="100" w:hanging="3"/>
        <w:spacing w:after="0" w:line="248"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760" w:right="320" w:hanging="3"/>
        <w:spacing w:after="0" w:line="248"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760" w:right="420" w:hanging="3"/>
        <w:spacing w:after="0" w:line="324" w:lineRule="auto"/>
        <w:tabs>
          <w:tab w:leader="none" w:pos="11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760" w:right="400" w:hanging="3"/>
        <w:spacing w:after="0" w:line="248"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380" w:right="280" w:hanging="372"/>
        <w:spacing w:after="0" w:line="291"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760" w:right="640" w:hanging="3"/>
        <w:spacing w:after="0" w:line="291" w:lineRule="auto"/>
        <w:tabs>
          <w:tab w:leader="none" w:pos="11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760" w:right="340" w:hanging="3"/>
        <w:spacing w:after="0" w:line="261"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Dated: August 4, 2022</w:t>
            </w:r>
          </w:p>
        </w:tc>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Herb</w:t>
            </w:r>
          </w:p>
        </w:tc>
        <w:tc>
          <w:tcPr>
            <w:tcW w:w="100" w:type="dxa"/>
            <w:vAlign w:val="bottom"/>
          </w:tcPr>
          <w:p>
            <w:pPr>
              <w:spacing w:after="0"/>
              <w:rPr>
                <w:sz w:val="20"/>
                <w:szCs w:val="20"/>
                <w:color w:val="auto"/>
              </w:rPr>
            </w:pPr>
          </w:p>
        </w:tc>
      </w:tr>
      <w:tr>
        <w:trPr>
          <w:trHeight w:val="222"/>
        </w:trPr>
        <w:tc>
          <w:tcPr>
            <w:tcW w:w="434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Brian Herb</w:t>
            </w:r>
          </w:p>
        </w:tc>
        <w:tc>
          <w:tcPr>
            <w:tcW w:w="10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Chief Financial and Administrative Officer</w:t>
            </w:r>
          </w:p>
        </w:tc>
        <w:tc>
          <w:tcPr>
            <w:tcW w:w="100" w:type="dxa"/>
            <w:vAlign w:val="bottom"/>
          </w:tcPr>
          <w:p>
            <w:pPr>
              <w:spacing w:after="0"/>
              <w:rPr>
                <w:sz w:val="20"/>
                <w:szCs w:val="20"/>
                <w:color w:val="auto"/>
              </w:rPr>
            </w:pPr>
          </w:p>
        </w:tc>
      </w:tr>
      <w:tr>
        <w:trPr>
          <w:trHeight w:val="317"/>
        </w:trPr>
        <w:tc>
          <w:tcPr>
            <w:tcW w:w="434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Certification of Chief Executive Officer</w:t>
      </w:r>
    </w:p>
    <w:p>
      <w:pPr>
        <w:ind w:left="406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18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June 30, 2022,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4680" w:val="left"/>
        </w:tabs>
        <w:rPr>
          <w:sz w:val="20"/>
          <w:szCs w:val="20"/>
          <w:color w:val="auto"/>
        </w:rPr>
      </w:pPr>
      <w:r>
        <w:rPr>
          <w:rFonts w:ascii="Arial" w:cs="Arial" w:eastAsia="Arial" w:hAnsi="Arial"/>
          <w:sz w:val="18"/>
          <w:szCs w:val="18"/>
          <w:color w:val="auto"/>
        </w:rPr>
        <w:t>Dated: August 4, 2022</w:t>
      </w:r>
      <w:r>
        <w:rPr>
          <w:sz w:val="20"/>
          <w:szCs w:val="20"/>
          <w:color w:val="auto"/>
        </w:rPr>
        <w:tab/>
      </w: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14605</wp:posOffset>
            </wp:positionV>
            <wp:extent cx="410591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Githesh Ramamurthy</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Certification of Chief Financial Officer</w:t>
      </w:r>
    </w:p>
    <w:p>
      <w:pPr>
        <w:ind w:left="406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18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June 30, 2022,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4340" w:val="left"/>
        </w:tabs>
        <w:rPr>
          <w:sz w:val="20"/>
          <w:szCs w:val="20"/>
          <w:color w:val="auto"/>
        </w:rPr>
      </w:pPr>
      <w:r>
        <w:rPr>
          <w:rFonts w:ascii="Arial" w:cs="Arial" w:eastAsia="Arial" w:hAnsi="Arial"/>
          <w:sz w:val="18"/>
          <w:szCs w:val="18"/>
          <w:color w:val="auto"/>
        </w:rPr>
        <w:t>Dated: August 4, 2022</w:t>
      </w:r>
      <w:r>
        <w:rPr>
          <w:sz w:val="20"/>
          <w:szCs w:val="20"/>
          <w:color w:val="auto"/>
        </w:rPr>
        <w:tab/>
      </w:r>
      <w:r>
        <w:rPr>
          <w:rFonts w:ascii="Arial" w:cs="Arial" w:eastAsia="Arial" w:hAnsi="Arial"/>
          <w:sz w:val="17"/>
          <w:szCs w:val="17"/>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14605</wp:posOffset>
            </wp:positionV>
            <wp:extent cx="43116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Brian Herb</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upperLetter"/>
      <w:start w:val="55"/>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upperLetter"/>
      <w:start w:val="55"/>
    </w:lvl>
  </w:abstractNum>
  <w:abstractNum w:abstractNumId="6">
    <w:nsid w:val="436C6125"/>
    <w:multiLevelType w:val="hybridMultilevel"/>
    <w:lvl w:ilvl="0">
      <w:lvlJc w:val="left"/>
      <w:lvlText w:val="%1"/>
      <w:numFmt w:val="upperLetter"/>
      <w:start w:val="55"/>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upperLetter"/>
      <w:start w:val="55"/>
    </w:lvl>
  </w:abstractNum>
  <w:abstractNum w:abstractNumId="9">
    <w:nsid w:val="721DA317"/>
    <w:multiLevelType w:val="hybridMultilevel"/>
    <w:lvl w:ilvl="0">
      <w:lvlJc w:val="left"/>
      <w:lvlText w:val="%1."/>
      <w:numFmt w:val="decimal"/>
      <w:start w:val="2"/>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1."/>
      <w:numFmt w:val="decimal"/>
      <w:start w:val="6"/>
    </w:lvl>
  </w:abstractNum>
  <w:abstractNum w:abstractNumId="15">
    <w:nsid w:val="79838CB2"/>
    <w:multiLevelType w:val="hybridMultilevel"/>
    <w:lvl w:ilvl="0">
      <w:lvlJc w:val="left"/>
      <w:lvlText w:val="%1."/>
      <w:numFmt w:val="decimal"/>
      <w:start w:val="7"/>
    </w:lvl>
  </w:abstractNum>
  <w:abstractNum w:abstractNumId="16">
    <w:nsid w:val="4353D0CD"/>
    <w:multiLevelType w:val="hybridMultilevel"/>
    <w:lvl w:ilvl="0">
      <w:lvlJc w:val="left"/>
      <w:lvlText w:val="%1."/>
      <w:numFmt w:val="decimal"/>
      <w:start w:val="9"/>
    </w:lvl>
  </w:abstractNum>
  <w:abstractNum w:abstractNumId="17">
    <w:nsid w:val="B03E0C6"/>
    <w:multiLevelType w:val="hybridMultilevel"/>
    <w:lvl w:ilvl="0">
      <w:lvlJc w:val="left"/>
      <w:lvlText w:val="%1."/>
      <w:numFmt w:val="decimal"/>
      <w:start w:val="10"/>
    </w:lvl>
  </w:abstractNum>
  <w:abstractNum w:abstractNumId="18">
    <w:nsid w:val="189A769B"/>
    <w:multiLevelType w:val="hybridMultilevel"/>
    <w:lvl w:ilvl="0">
      <w:lvlJc w:val="left"/>
      <w:lvlText w:val="%1."/>
      <w:numFmt w:val="decimal"/>
      <w:start w:val="11"/>
    </w:lvl>
  </w:abstractNum>
  <w:abstractNum w:abstractNumId="19">
    <w:nsid w:val="54E49EB4"/>
    <w:multiLevelType w:val="hybridMultilevel"/>
    <w:lvl w:ilvl="0">
      <w:lvlJc w:val="left"/>
      <w:lvlText w:val="%1."/>
      <w:numFmt w:val="decimal"/>
      <w:start w:val="12"/>
    </w:lvl>
  </w:abstractNum>
  <w:abstractNum w:abstractNumId="20">
    <w:nsid w:val="71F32454"/>
    <w:multiLevelType w:val="hybridMultilevel"/>
    <w:lvl w:ilvl="0">
      <w:lvlJc w:val="left"/>
      <w:lvlText w:val="%1."/>
      <w:numFmt w:val="decimal"/>
      <w:start w:val="13"/>
    </w:lvl>
  </w:abstractNum>
  <w:abstractNum w:abstractNumId="21">
    <w:nsid w:val="2CA88611"/>
    <w:multiLevelType w:val="hybridMultilevel"/>
    <w:lvl w:ilvl="0">
      <w:lvlJc w:val="left"/>
      <w:lvlText w:val="%1."/>
      <w:numFmt w:val="decimal"/>
      <w:start w:val="14"/>
    </w:lvl>
  </w:abstractNum>
  <w:abstractNum w:abstractNumId="22">
    <w:nsid w:val="836C40E"/>
    <w:multiLevelType w:val="hybridMultilevel"/>
    <w:lvl w:ilvl="0">
      <w:lvlJc w:val="left"/>
      <w:lvlText w:val="%1."/>
      <w:numFmt w:val="decimal"/>
      <w:start w:val="15"/>
    </w:lvl>
  </w:abstractNum>
  <w:abstractNum w:abstractNumId="23">
    <w:nsid w:val="2901D82"/>
    <w:multiLevelType w:val="hybridMultilevel"/>
    <w:lvl w:ilvl="0">
      <w:lvlJc w:val="left"/>
      <w:lvlText w:val="%1."/>
      <w:numFmt w:val="decimal"/>
      <w:start w:val="16"/>
    </w:lvl>
  </w:abstractNum>
  <w:abstractNum w:abstractNumId="24">
    <w:nsid w:val="3A95F874"/>
    <w:multiLevelType w:val="hybridMultilevel"/>
    <w:lvl w:ilvl="0">
      <w:lvlJc w:val="left"/>
      <w:lvlText w:val="%1."/>
      <w:numFmt w:val="decimal"/>
      <w:start w:val="18"/>
    </w:lvl>
  </w:abstractNum>
  <w:abstractNum w:abstractNumId="25">
    <w:nsid w:val="8138641"/>
    <w:multiLevelType w:val="hybridMultilevel"/>
    <w:lvl w:ilvl="0">
      <w:lvlJc w:val="left"/>
      <w:lvlText w:val="%1."/>
      <w:numFmt w:val="decimal"/>
      <w:start w:val="20"/>
    </w:lvl>
  </w:abstractNum>
  <w:abstractNum w:abstractNumId="26">
    <w:nsid w:val="1E7FF521"/>
    <w:multiLevelType w:val="hybridMultilevel"/>
    <w:lvl w:ilvl="0">
      <w:lvlJc w:val="left"/>
      <w:lvlText w:val="%1."/>
      <w:numFmt w:val="decimal"/>
      <w:start w:val="23"/>
    </w:lvl>
  </w:abstractNum>
  <w:abstractNum w:abstractNumId="27">
    <w:nsid w:val="7C3DBD3D"/>
    <w:multiLevelType w:val="hybridMultilevel"/>
    <w:lvl w:ilvl="0">
      <w:lvlJc w:val="left"/>
      <w:lvlText w:val="%1."/>
      <w:numFmt w:val="decimal"/>
      <w:start w:val="24"/>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2022-08-05T05:24:22Z</dcterms:created>
  <dcterms:modified xsi:type="dcterms:W3CDTF">2022-08-05T05:24:22Z</dcterms:modified>
</cp:coreProperties>
</file>