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66" w:lineRule="exact"/>
        <w:rPr>
          <w:sz w:val="24"/>
          <w:szCs w:val="24"/>
          <w:color w:val="auto"/>
        </w:rPr>
      </w:pPr>
    </w:p>
    <w:p>
      <w:pPr>
        <w:ind w:left="3820" w:right="1680" w:hanging="3799"/>
        <w:spacing w:after="0" w:line="295" w:lineRule="auto"/>
        <w:tabs>
          <w:tab w:leader="none" w:pos="4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62" w:lineRule="exact"/>
        <w:rPr>
          <w:sz w:val="24"/>
          <w:szCs w:val="24"/>
          <w:color w:val="auto"/>
        </w:rPr>
      </w:pPr>
    </w:p>
    <w:p>
      <w:pPr>
        <w:ind w:left="2880" w:right="1660" w:hanging="2859"/>
        <w:spacing w:after="0" w:line="295" w:lineRule="auto"/>
        <w:tabs>
          <w:tab w:leader="none" w:pos="48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CCC INTELLIGENT SOLUTIONS HOLDINGS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tcPr>
          <w:p>
            <w:pPr>
              <w:ind w:left="780"/>
              <w:spacing w:after="0"/>
              <w:rPr>
                <w:sz w:val="20"/>
                <w:szCs w:val="20"/>
                <w:color w:val="auto"/>
              </w:rPr>
            </w:pPr>
            <w:r>
              <w:rPr>
                <w:rFonts w:ascii="Arial" w:cs="Arial" w:eastAsia="Arial" w:hAnsi="Arial"/>
                <w:sz w:val="18"/>
                <w:szCs w:val="18"/>
                <w:b w:val="1"/>
                <w:bCs w:val="1"/>
                <w:color w:val="auto"/>
              </w:rPr>
              <w:t>001-39447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jc w:val="center"/>
              <w:ind w:left="751"/>
              <w:spacing w:after="0"/>
              <w:rPr>
                <w:sz w:val="20"/>
                <w:szCs w:val="20"/>
                <w:color w:val="auto"/>
              </w:rPr>
            </w:pPr>
            <w:r>
              <w:rPr>
                <w:rFonts w:ascii="Arial" w:cs="Arial" w:eastAsia="Arial" w:hAnsi="Arial"/>
                <w:sz w:val="18"/>
                <w:szCs w:val="18"/>
                <w:b w:val="1"/>
                <w:bCs w:val="1"/>
                <w:color w:val="auto"/>
                <w:w w:val="89"/>
              </w:rPr>
              <w:t>98-1546280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0"/>
              </w:rPr>
              <w:t>(State or other jurisdiction</w:t>
            </w:r>
          </w:p>
        </w:tc>
        <w:tc>
          <w:tcPr>
            <w:tcW w:w="2220" w:type="dxa"/>
            <w:vAlign w:val="bottom"/>
            <w:gridSpan w:val="3"/>
          </w:tcPr>
          <w:p>
            <w:pPr>
              <w:ind w:left="660"/>
              <w:spacing w:after="0"/>
              <w:rPr>
                <w:sz w:val="20"/>
                <w:szCs w:val="20"/>
                <w:color w:val="auto"/>
              </w:rPr>
            </w:pPr>
            <w:r>
              <w:rPr>
                <w:rFonts w:ascii="Arial" w:cs="Arial" w:eastAsia="Arial" w:hAnsi="Arial"/>
                <w:sz w:val="18"/>
                <w:szCs w:val="18"/>
                <w:b w:val="1"/>
                <w:bCs w:val="1"/>
                <w:color w:val="auto"/>
              </w:rPr>
              <w:t>(Commission</w:t>
            </w:r>
          </w:p>
        </w:tc>
        <w:tc>
          <w:tcPr>
            <w:tcW w:w="4500" w:type="dxa"/>
            <w:vAlign w:val="bottom"/>
          </w:tcPr>
          <w:p>
            <w:pPr>
              <w:jc w:val="center"/>
              <w:ind w:left="711"/>
              <w:spacing w:after="0"/>
              <w:rPr>
                <w:sz w:val="20"/>
                <w:szCs w:val="20"/>
                <w:color w:val="auto"/>
              </w:rPr>
            </w:pPr>
            <w:r>
              <w:rPr>
                <w:rFonts w:ascii="Arial" w:cs="Arial" w:eastAsia="Arial" w:hAnsi="Arial"/>
                <w:sz w:val="18"/>
                <w:szCs w:val="18"/>
                <w:b w:val="1"/>
                <w:bCs w:val="1"/>
                <w:color w:val="auto"/>
                <w:w w:val="92"/>
              </w:rPr>
              <w:t>(IRS Employer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of incorporation or organization)</w:t>
            </w:r>
          </w:p>
        </w:tc>
        <w:tc>
          <w:tcPr>
            <w:tcW w:w="2220" w:type="dxa"/>
            <w:vAlign w:val="bottom"/>
            <w:gridSpan w:val="3"/>
          </w:tcPr>
          <w:p>
            <w:pPr>
              <w:ind w:left="660"/>
              <w:spacing w:after="0"/>
              <w:rPr>
                <w:sz w:val="20"/>
                <w:szCs w:val="20"/>
                <w:color w:val="auto"/>
              </w:rPr>
            </w:pPr>
            <w:r>
              <w:rPr>
                <w:rFonts w:ascii="Arial" w:cs="Arial" w:eastAsia="Arial" w:hAnsi="Arial"/>
                <w:sz w:val="18"/>
                <w:szCs w:val="18"/>
                <w:b w:val="1"/>
                <w:bCs w:val="1"/>
                <w:color w:val="auto"/>
              </w:rPr>
              <w:t>File Number)</w:t>
            </w:r>
          </w:p>
        </w:tc>
        <w:tc>
          <w:tcPr>
            <w:tcW w:w="4500" w:type="dxa"/>
            <w:vAlign w:val="bottom"/>
          </w:tcPr>
          <w:p>
            <w:pPr>
              <w:jc w:val="center"/>
              <w:ind w:left="771"/>
              <w:spacing w:after="0"/>
              <w:rPr>
                <w:sz w:val="20"/>
                <w:szCs w:val="20"/>
                <w:color w:val="auto"/>
              </w:rPr>
            </w:pPr>
            <w:r>
              <w:rPr>
                <w:rFonts w:ascii="Arial" w:cs="Arial" w:eastAsia="Arial" w:hAnsi="Arial"/>
                <w:sz w:val="18"/>
                <w:szCs w:val="18"/>
                <w:b w:val="1"/>
                <w:bCs w:val="1"/>
                <w:color w:val="auto"/>
                <w:w w:val="92"/>
              </w:rPr>
              <w:t>Identification No.)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400" w:type="dxa"/>
            <w:vAlign w:val="bottom"/>
            <w:gridSpan w:val="2"/>
          </w:tcPr>
          <w:p>
            <w:pPr>
              <w:jc w:val="center"/>
              <w:ind w:left="971"/>
              <w:spacing w:after="0"/>
              <w:rPr>
                <w:sz w:val="20"/>
                <w:szCs w:val="20"/>
                <w:color w:val="auto"/>
              </w:rPr>
            </w:pPr>
            <w:r>
              <w:rPr>
                <w:rFonts w:ascii="Arial" w:cs="Arial" w:eastAsia="Arial" w:hAnsi="Arial"/>
                <w:sz w:val="18"/>
                <w:szCs w:val="18"/>
                <w:b w:val="1"/>
                <w:bCs w:val="1"/>
                <w:color w:val="auto"/>
                <w:w w:val="90"/>
              </w:rPr>
              <w:t>167 N. Green Street, 9th Floor</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vMerge w:val="restart"/>
          </w:tcPr>
          <w:p>
            <w:pPr>
              <w:jc w:val="right"/>
              <w:ind w:right="2431"/>
              <w:spacing w:after="0"/>
              <w:rPr>
                <w:sz w:val="20"/>
                <w:szCs w:val="20"/>
                <w:color w:val="auto"/>
              </w:rPr>
            </w:pPr>
            <w:r>
              <w:rPr>
                <w:rFonts w:ascii="Arial" w:cs="Arial" w:eastAsia="Arial" w:hAnsi="Arial"/>
                <w:sz w:val="18"/>
                <w:szCs w:val="18"/>
                <w:b w:val="1"/>
                <w:bCs w:val="1"/>
                <w:color w:val="auto"/>
              </w:rPr>
              <w:t>60607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00" w:type="dxa"/>
            <w:vAlign w:val="bottom"/>
            <w:gridSpan w:val="2"/>
            <w:vMerge w:val="restart"/>
          </w:tcPr>
          <w:p>
            <w:pPr>
              <w:jc w:val="center"/>
              <w:ind w:left="951"/>
              <w:spacing w:after="0"/>
              <w:rPr>
                <w:sz w:val="20"/>
                <w:szCs w:val="20"/>
                <w:color w:val="auto"/>
              </w:rPr>
            </w:pPr>
            <w:r>
              <w:rPr>
                <w:rFonts w:ascii="Arial" w:cs="Arial" w:eastAsia="Arial" w:hAnsi="Arial"/>
                <w:sz w:val="18"/>
                <w:szCs w:val="18"/>
                <w:b w:val="1"/>
                <w:bCs w:val="1"/>
                <w:color w:val="auto"/>
                <w:w w:val="89"/>
              </w:rPr>
              <w:t>Chicago, Illinois</w:t>
            </w: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0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restart"/>
          </w:tcPr>
          <w:p>
            <w:pPr>
              <w:jc w:val="center"/>
              <w:ind w:right="831"/>
              <w:spacing w:after="0"/>
              <w:rPr>
                <w:sz w:val="20"/>
                <w:szCs w:val="20"/>
                <w:color w:val="auto"/>
              </w:rPr>
            </w:pPr>
            <w:r>
              <w:rPr>
                <w:rFonts w:ascii="Arial" w:cs="Arial" w:eastAsia="Arial" w:hAnsi="Arial"/>
                <w:sz w:val="18"/>
                <w:szCs w:val="18"/>
                <w:b w:val="1"/>
                <w:bCs w:val="1"/>
                <w:color w:val="auto"/>
                <w:w w:val="92"/>
              </w:rPr>
              <w:t>(Zip Code)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00" w:type="dxa"/>
            <w:vAlign w:val="bottom"/>
            <w:gridSpan w:val="2"/>
            <w:vMerge w:val="restart"/>
          </w:tcPr>
          <w:p>
            <w:pPr>
              <w:jc w:val="center"/>
              <w:ind w:left="991"/>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auto"/>
            </w:tcBorders>
            <w:gridSpan w:val="2"/>
            <w:vMerge w:val="continue"/>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660"/>
              <w:spacing w:after="0" w:line="196" w:lineRule="exact"/>
              <w:rPr>
                <w:sz w:val="20"/>
                <w:szCs w:val="20"/>
                <w:color w:val="auto"/>
              </w:rPr>
            </w:pPr>
            <w:r>
              <w:rPr>
                <w:rFonts w:ascii="Arial" w:cs="Arial" w:eastAsia="Arial" w:hAnsi="Arial"/>
                <w:sz w:val="18"/>
                <w:szCs w:val="18"/>
                <w:b w:val="1"/>
                <w:bCs w:val="1"/>
                <w:color w:val="auto"/>
                <w:w w:val="90"/>
              </w:rPr>
              <w:t>(800) 621-8070</w:t>
            </w:r>
          </w:p>
        </w:tc>
        <w:tc>
          <w:tcPr>
            <w:tcW w:w="4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120" w:type="dxa"/>
            <w:vAlign w:val="bottom"/>
            <w:gridSpan w:val="6"/>
          </w:tcPr>
          <w:p>
            <w:pPr>
              <w:jc w:val="center"/>
              <w:ind w:left="31"/>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ind w:left="660"/>
              <w:spacing w:after="0"/>
              <w:rPr>
                <w:sz w:val="20"/>
                <w:szCs w:val="20"/>
                <w:color w:val="auto"/>
              </w:rPr>
            </w:pPr>
            <w:r>
              <w:rPr>
                <w:rFonts w:ascii="Arial" w:cs="Arial" w:eastAsia="Arial" w:hAnsi="Arial"/>
                <w:sz w:val="18"/>
                <w:szCs w:val="18"/>
                <w:b w:val="1"/>
                <w:bCs w:val="1"/>
                <w:color w:val="auto"/>
              </w:rPr>
              <w:t>Not Applicable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120" w:type="dxa"/>
            <w:vAlign w:val="bottom"/>
            <w:gridSpan w:val="6"/>
          </w:tcPr>
          <w:p>
            <w:pPr>
              <w:jc w:val="center"/>
              <w:ind w:left="51"/>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Trading</w:t>
            </w: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2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Symbol(s)</w:t>
            </w:r>
          </w:p>
        </w:tc>
        <w:tc>
          <w:tcPr>
            <w:tcW w:w="4500" w:type="dxa"/>
            <w:vAlign w:val="bottom"/>
          </w:tcPr>
          <w:p>
            <w:pPr>
              <w:jc w:val="center"/>
              <w:ind w:right="211"/>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CCCS</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211"/>
              <w:spacing w:after="0"/>
              <w:rPr>
                <w:sz w:val="20"/>
                <w:szCs w:val="20"/>
                <w:color w:val="auto"/>
              </w:rPr>
            </w:pPr>
            <w:r>
              <w:rPr>
                <w:rFonts w:ascii="Arial" w:cs="Arial" w:eastAsia="Arial" w:hAnsi="Arial"/>
                <w:sz w:val="18"/>
                <w:szCs w:val="18"/>
                <w:color w:val="auto"/>
                <w:w w:val="91"/>
              </w:rPr>
              <w:t>The Nasdaq Stock Market LLC</w:t>
            </w: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82"/>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9"/>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9"/>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6"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0" w:lineRule="exact"/>
        <w:rPr>
          <w:sz w:val="24"/>
          <w:szCs w:val="24"/>
          <w:color w:val="auto"/>
        </w:rPr>
      </w:pPr>
    </w:p>
    <w:p>
      <w:pPr>
        <w:ind w:right="212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28, 2023, 628,313,971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192405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 w:name="page2"/>
    <w:bookmarkEnd w:id="1"/>
    <w:p>
      <w:pPr>
        <w:ind w:left="5200" w:right="3520" w:hanging="1676"/>
        <w:spacing w:after="0" w:line="259" w:lineRule="auto"/>
        <w:tabs>
          <w:tab w:leader="none" w:pos="395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Page</w:t>
            </w:r>
          </w:p>
        </w:tc>
      </w:tr>
      <w:tr>
        <w:trPr>
          <w:trHeight w:val="201"/>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gridSpan w:val="18"/>
          </w:tcPr>
          <w:p>
            <w:pPr>
              <w:spacing w:after="0" w:line="201" w:lineRule="exact"/>
              <w:rPr>
                <w:sz w:val="20"/>
                <w:szCs w:val="20"/>
                <w:color w:val="auto"/>
              </w:rPr>
            </w:pPr>
            <w:r>
              <w:rPr>
                <w:rFonts w:ascii="Arial" w:cs="Arial" w:eastAsia="Arial" w:hAnsi="Arial"/>
                <w:sz w:val="18"/>
                <w:szCs w:val="18"/>
                <w:b w:val="1"/>
                <w:bCs w:val="1"/>
                <w:color w:val="0000FF"/>
              </w:rPr>
              <w:t>PART I. FINANCIAL INFORMATION</w:t>
            </w:r>
            <w:r>
              <w:rPr>
                <w:rFonts w:ascii="Arial" w:cs="Arial" w:eastAsia="Arial" w:hAnsi="Arial"/>
                <w:sz w:val="18"/>
                <w:szCs w:val="18"/>
                <w:b w:val="1"/>
                <w:bCs w:val="1"/>
                <w:color w:val="000000"/>
              </w:rPr>
              <w:t>`</w:t>
            </w:r>
          </w:p>
        </w:tc>
        <w:tc>
          <w:tcPr>
            <w:tcW w:w="7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rPr>
              <w:t>Cautionary Statement Regarding Forward-Looking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36"/>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as of March 31, 2023 (unaudited) and December 31, 2022</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w w:val="88"/>
              </w:rPr>
              <w:t>Unaudited Condensed Consolidated Statements of Operations and Comprehensive Income for the three months ended March 31, 2023</w:t>
            </w:r>
          </w:p>
        </w:tc>
        <w:tc>
          <w:tcPr>
            <w:tcW w:w="7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580" w:type="dxa"/>
            <w:vAlign w:val="bottom"/>
            <w:gridSpan w:val="17"/>
          </w:tcPr>
          <w:p>
            <w:pPr>
              <w:spacing w:after="0" w:line="195" w:lineRule="exact"/>
              <w:rPr>
                <w:sz w:val="20"/>
                <w:szCs w:val="20"/>
                <w:color w:val="auto"/>
              </w:rPr>
            </w:pPr>
            <w:r>
              <w:rPr>
                <w:rFonts w:ascii="Arial" w:cs="Arial" w:eastAsia="Arial" w:hAnsi="Arial"/>
                <w:sz w:val="18"/>
                <w:szCs w:val="18"/>
                <w:color w:val="0000FF"/>
              </w:rPr>
              <w:t>and 2022</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w w:val="89"/>
              </w:rPr>
              <w:t>Unaudited Condensed Consolidated Statements of Mezzanine Equity and Stockholders’ Equity for the three months ended March 31,</w:t>
            </w:r>
          </w:p>
        </w:tc>
        <w:tc>
          <w:tcPr>
            <w:tcW w:w="7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5"/>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580" w:type="dxa"/>
            <w:vAlign w:val="bottom"/>
            <w:gridSpan w:val="17"/>
          </w:tcPr>
          <w:p>
            <w:pPr>
              <w:spacing w:after="0" w:line="195" w:lineRule="exact"/>
              <w:rPr>
                <w:sz w:val="20"/>
                <w:szCs w:val="20"/>
                <w:color w:val="auto"/>
              </w:rPr>
            </w:pPr>
            <w:r>
              <w:rPr>
                <w:rFonts w:ascii="Arial" w:cs="Arial" w:eastAsia="Arial" w:hAnsi="Arial"/>
                <w:sz w:val="18"/>
                <w:szCs w:val="18"/>
                <w:color w:val="0000FF"/>
              </w:rPr>
              <w:t>2023 and 2022</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Cash Flows for the three months ended March 31, 2023 and 2022</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8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0" w:type="dxa"/>
            <w:vAlign w:val="bottom"/>
          </w:tcPr>
          <w:p>
            <w:pPr>
              <w:spacing w:after="0" w:line="20" w:lineRule="exact"/>
              <w:rPr>
                <w:sz w:val="1"/>
                <w:szCs w:val="1"/>
                <w:color w:val="auto"/>
              </w:rPr>
            </w:pPr>
          </w:p>
        </w:tc>
        <w:tc>
          <w:tcPr>
            <w:tcW w:w="840" w:type="dxa"/>
            <w:vAlign w:val="bottom"/>
            <w:tcBorders>
              <w:right w:val="single" w:sz="8" w:color="0000EE"/>
            </w:tcBorders>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0"/>
        </w:trPr>
        <w:tc>
          <w:tcPr>
            <w:tcW w:w="10480" w:type="dxa"/>
            <w:vAlign w:val="bottom"/>
            <w:gridSpan w:val="20"/>
          </w:tcPr>
          <w:p>
            <w:pPr>
              <w:ind w:left="60"/>
              <w:spacing w:after="0"/>
              <w:rPr>
                <w:sz w:val="20"/>
                <w:szCs w:val="20"/>
                <w:color w:val="auto"/>
              </w:rPr>
            </w:pPr>
            <w:r>
              <w:rPr>
                <w:rFonts w:ascii="Arial" w:cs="Arial" w:eastAsia="Arial" w:hAnsi="Arial"/>
                <w:sz w:val="18"/>
                <w:szCs w:val="18"/>
                <w:b w:val="1"/>
                <w:bCs w:val="1"/>
                <w:color w:val="0000FF"/>
              </w:rPr>
              <w:t>PART II. OTHER INFORMATION</w:t>
            </w:r>
          </w:p>
        </w:tc>
        <w:tc>
          <w:tcPr>
            <w:tcW w:w="760" w:type="dxa"/>
            <w:vAlign w:val="bottom"/>
          </w:tcPr>
          <w:p>
            <w:pPr>
              <w:spacing w:after="0"/>
              <w:rPr>
                <w:sz w:val="24"/>
                <w:szCs w:val="24"/>
                <w:color w:val="auto"/>
              </w:rPr>
            </w:pPr>
          </w:p>
        </w:tc>
      </w:tr>
      <w:tr>
        <w:trPr>
          <w:trHeight w:val="450"/>
        </w:trPr>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9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Legal Proceedings</w:t>
            </w:r>
          </w:p>
        </w:tc>
        <w:tc>
          <w:tcPr>
            <w:tcW w:w="768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 from Registered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30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920"/>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600" w:type="dxa"/>
            <w:vAlign w:val="bottom"/>
            <w:gridSpan w:val="12"/>
          </w:tcPr>
          <w:p>
            <w:pPr>
              <w:jc w:val="right"/>
              <w:ind w:right="14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4"/>
        </w:trPr>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as well as other parts of this Quarterly Report on Form 10-Q and certain information incorporated herein by reference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w:t>
      </w:r>
    </w:p>
    <w:p>
      <w:pPr>
        <w:spacing w:after="0" w:line="115"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revenues, the concentration of our customers and the ability to retain our current customers;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with our customers on favorable terms;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brand and reputation cost-effectively;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of our growth strategy;</w:t>
      </w:r>
    </w:p>
    <w:p>
      <w:pPr>
        <w:spacing w:after="0" w:line="115" w:lineRule="exact"/>
        <w:rPr>
          <w:rFonts w:ascii="Arial" w:cs="Arial" w:eastAsia="Arial" w:hAnsi="Arial"/>
          <w:sz w:val="18"/>
          <w:szCs w:val="18"/>
          <w:color w:val="auto"/>
        </w:rPr>
      </w:pPr>
    </w:p>
    <w:p>
      <w:pPr>
        <w:ind w:left="1020" w:right="400" w:hanging="504"/>
        <w:spacing w:after="0" w:line="27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public health outbreaks, epidemics or pandemics, including the global COVID-19 pandemic, on our business and results of operations;</w:t>
      </w:r>
    </w:p>
    <w:p>
      <w:pPr>
        <w:spacing w:after="0" w:line="6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projected financial information, growth rate and market opportunity;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of our industry, claim volumes, and market conditions;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insurance and automotive collision industries, including the adoption of new technologies;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and geopolitical events;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our market and our ability to retain and grow market share;</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introduce and market new enhanced versions of our solutions;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implementation cycles;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research and development efforts to create significant new revenue streams;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5" w:lineRule="exact"/>
        <w:rPr>
          <w:rFonts w:ascii="Arial" w:cs="Arial" w:eastAsia="Arial" w:hAnsi="Arial"/>
          <w:sz w:val="18"/>
          <w:szCs w:val="18"/>
          <w:color w:val="auto"/>
        </w:rPr>
      </w:pPr>
    </w:p>
    <w:p>
      <w:pPr>
        <w:ind w:left="1020" w:right="220" w:hanging="504"/>
        <w:spacing w:after="0" w:line="27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international economic, political, social and governmental conditions and policies, including corruption risks in China and other countries;</w:t>
      </w:r>
    </w:p>
    <w:p>
      <w:pPr>
        <w:spacing w:after="0" w:line="6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data, technology and intellectual property;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our data and information systems secure from data security breaches;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or invest in companies or pursue business partnerships;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 and improve our capital structure;</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or maintain our existing customer base; and</w:t>
      </w:r>
    </w:p>
    <w:p>
      <w:pPr>
        <w:spacing w:after="0" w:line="115"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7"/>
          <w:szCs w:val="17"/>
          <w:color w:val="auto"/>
        </w:rPr>
        <w:t>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447"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4" w:lineRule="exact"/>
        <w:rPr>
          <w:sz w:val="20"/>
          <w:szCs w:val="20"/>
          <w:color w:val="auto"/>
        </w:rPr>
      </w:pPr>
    </w:p>
    <w:p>
      <w:pPr>
        <w:ind w:left="3500" w:right="2640" w:hanging="846"/>
        <w:spacing w:after="0" w:line="259" w:lineRule="auto"/>
        <w:tabs>
          <w:tab w:leader="none" w:pos="309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BALANCE SHEETS</w:t>
      </w:r>
    </w:p>
    <w:p>
      <w:pPr>
        <w:spacing w:after="0" w:line="1"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December 31,</w:t>
            </w:r>
          </w:p>
        </w:tc>
      </w:tr>
      <w:tr>
        <w:trPr>
          <w:trHeight w:val="241"/>
        </w:trPr>
        <w:tc>
          <w:tcPr>
            <w:tcW w:w="8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r>
      <w:tr>
        <w:trPr>
          <w:trHeight w:val="219"/>
        </w:trPr>
        <w:tc>
          <w:tcPr>
            <w:tcW w:w="8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338,354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323,788</w:t>
            </w:r>
          </w:p>
        </w:tc>
        <w:tc>
          <w:tcPr>
            <w:tcW w:w="100" w:type="dxa"/>
            <w:vAlign w:val="bottom"/>
            <w:shd w:val="clear" w:color="auto" w:fill="CFF0FC"/>
          </w:tcPr>
          <w:p>
            <w:pPr>
              <w:spacing w:after="0"/>
              <w:rPr>
                <w:sz w:val="20"/>
                <w:szCs w:val="20"/>
                <w:color w:val="auto"/>
              </w:rPr>
            </w:pPr>
          </w:p>
        </w:tc>
      </w:tr>
      <w:tr>
        <w:trPr>
          <w:trHeight w:val="205"/>
        </w:trPr>
        <w:tc>
          <w:tcPr>
            <w:tcW w:w="8040" w:type="dxa"/>
            <w:vAlign w:val="bottom"/>
          </w:tcPr>
          <w:p>
            <w:pPr>
              <w:ind w:left="200"/>
              <w:spacing w:after="0"/>
              <w:rPr>
                <w:sz w:val="20"/>
                <w:szCs w:val="20"/>
                <w:color w:val="auto"/>
              </w:rPr>
            </w:pPr>
            <w:r>
              <w:rPr>
                <w:rFonts w:ascii="Arial" w:cs="Arial" w:eastAsia="Arial" w:hAnsi="Arial"/>
                <w:sz w:val="16"/>
                <w:szCs w:val="16"/>
                <w:color w:val="auto"/>
              </w:rPr>
              <w:t>Accounts receivable—Net of allowances of $6,866 and $5,339 as of March 31, 2023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040" w:type="dxa"/>
            <w:vAlign w:val="bottom"/>
          </w:tcPr>
          <w:p>
            <w:pPr>
              <w:ind w:left="320"/>
              <w:spacing w:after="0"/>
              <w:rPr>
                <w:sz w:val="20"/>
                <w:szCs w:val="20"/>
                <w:color w:val="auto"/>
              </w:rPr>
            </w:pPr>
            <w:r>
              <w:rPr>
                <w:rFonts w:ascii="Arial" w:cs="Arial" w:eastAsia="Arial" w:hAnsi="Arial"/>
                <w:sz w:val="16"/>
                <w:szCs w:val="16"/>
                <w:color w:val="auto"/>
              </w:rPr>
              <w:t>December 31, 2022, respectively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92,268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98,353</w:t>
            </w:r>
          </w:p>
        </w:tc>
        <w:tc>
          <w:tcPr>
            <w:tcW w:w="100" w:type="dxa"/>
            <w:vAlign w:val="bottom"/>
          </w:tcPr>
          <w:p>
            <w:pPr>
              <w:spacing w:after="0"/>
              <w:rPr>
                <w:sz w:val="18"/>
                <w:szCs w:val="18"/>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16,556</w:t>
            </w:r>
          </w:p>
        </w:tc>
        <w:tc>
          <w:tcPr>
            <w:tcW w:w="100" w:type="dxa"/>
            <w:vAlign w:val="bottom"/>
          </w:tcPr>
          <w:p>
            <w:pPr>
              <w:spacing w:after="0"/>
              <w:rPr>
                <w:sz w:val="19"/>
                <w:szCs w:val="19"/>
                <w:color w:val="auto"/>
              </w:rPr>
            </w:pPr>
          </w:p>
        </w:tc>
      </w:tr>
      <w:tr>
        <w:trPr>
          <w:trHeight w:val="231"/>
        </w:trPr>
        <w:tc>
          <w:tcPr>
            <w:tcW w:w="8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34,766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804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485,043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479,070</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SOFTWARE, EQUIPMENT, AND PROPERTY—Net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150,496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146,443</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32,874</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ASSETS—Net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1,094,068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1,118,819</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1,495,129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1,495,129</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 REVOLVER—Net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DEFERRED CONTRACT COSTS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20,161</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METHOD INVESTMENT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shd w:val="clear" w:color="auto" w:fill="CFF0FC"/>
          </w:tcPr>
          <w:p>
            <w:pPr>
              <w:spacing w:after="0"/>
              <w:rPr>
                <w:sz w:val="20"/>
                <w:szCs w:val="20"/>
                <w:color w:val="auto"/>
              </w:rPr>
            </w:pPr>
          </w:p>
        </w:tc>
      </w:tr>
      <w:tr>
        <w:trPr>
          <w:trHeight w:val="222"/>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45,911</w:t>
            </w:r>
          </w:p>
        </w:tc>
        <w:tc>
          <w:tcPr>
            <w:tcW w:w="100" w:type="dxa"/>
            <w:vAlign w:val="bottom"/>
            <w:tcBorders>
              <w:bottom w:val="single" w:sz="8" w:color="CFF0FC"/>
            </w:tcBorders>
          </w:tcPr>
          <w:p>
            <w:pPr>
              <w:spacing w:after="0"/>
              <w:rPr>
                <w:sz w:val="19"/>
                <w:szCs w:val="19"/>
                <w:color w:val="auto"/>
              </w:rPr>
            </w:pPr>
          </w:p>
        </w:tc>
      </w:tr>
      <w:tr>
        <w:trPr>
          <w:trHeight w:val="262"/>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3,341,425</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LIABILITIES, MEZZANINE EQUITY AND STOCKHOLDERS’ EQUITY</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15,795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27,599</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45,972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71,445</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0"/>
              <w:spacing w:after="0"/>
              <w:rPr>
                <w:sz w:val="20"/>
                <w:szCs w:val="20"/>
                <w:color w:val="auto"/>
              </w:rPr>
            </w:pPr>
            <w:r>
              <w:rPr>
                <w:rFonts w:ascii="Arial" w:cs="Arial" w:eastAsia="Arial" w:hAnsi="Arial"/>
                <w:sz w:val="16"/>
                <w:szCs w:val="16"/>
                <w:color w:val="auto"/>
              </w:rPr>
              <w:t>Current portion of long-term licensing agreement—Net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w:t>
            </w:r>
          </w:p>
        </w:tc>
        <w:tc>
          <w:tcPr>
            <w:tcW w:w="100" w:type="dxa"/>
            <w:vAlign w:val="bottom"/>
            <w:shd w:val="clear" w:color="auto" w:fill="CFF0FC"/>
          </w:tcPr>
          <w:p>
            <w:pPr>
              <w:spacing w:after="0"/>
              <w:rPr>
                <w:sz w:val="20"/>
                <w:szCs w:val="20"/>
                <w:color w:val="auto"/>
              </w:rPr>
            </w:pPr>
          </w:p>
        </w:tc>
      </w:tr>
      <w:tr>
        <w:trPr>
          <w:trHeight w:val="222"/>
        </w:trPr>
        <w:tc>
          <w:tcPr>
            <w:tcW w:w="804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35,239</w:t>
            </w:r>
          </w:p>
        </w:tc>
        <w:tc>
          <w:tcPr>
            <w:tcW w:w="100" w:type="dxa"/>
            <w:vAlign w:val="bottom"/>
          </w:tcPr>
          <w:p>
            <w:pPr>
              <w:spacing w:after="0"/>
              <w:rPr>
                <w:sz w:val="19"/>
                <w:szCs w:val="19"/>
                <w:color w:val="auto"/>
              </w:rPr>
            </w:pPr>
          </w:p>
        </w:tc>
      </w:tr>
      <w:tr>
        <w:trPr>
          <w:trHeight w:val="228"/>
        </w:trPr>
        <w:tc>
          <w:tcPr>
            <w:tcW w:w="8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151,565</w:t>
            </w:r>
          </w:p>
        </w:tc>
        <w:tc>
          <w:tcPr>
            <w:tcW w:w="100" w:type="dxa"/>
            <w:vAlign w:val="bottom"/>
            <w:shd w:val="clear" w:color="auto" w:fill="CFF0FC"/>
          </w:tcPr>
          <w:p>
            <w:pPr>
              <w:spacing w:after="0"/>
              <w:rPr>
                <w:sz w:val="19"/>
                <w:szCs w:val="19"/>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LONG-TERM DEBT—Net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772,461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774,132</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TAXES—Net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234,935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241,698</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LONG-TERM LICENSING AGREEMENT—Net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30,752</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53,329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54,245</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36,405</w:t>
            </w: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1,975</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2,658</w:t>
            </w:r>
          </w:p>
        </w:tc>
        <w:tc>
          <w:tcPr>
            <w:tcW w:w="100" w:type="dxa"/>
            <w:vAlign w:val="bottom"/>
            <w:shd w:val="clear" w:color="auto" w:fill="CFF0FC"/>
          </w:tcPr>
          <w:p>
            <w:pPr>
              <w:spacing w:after="0"/>
              <w:rPr>
                <w:sz w:val="20"/>
                <w:szCs w:val="20"/>
                <w:color w:val="auto"/>
              </w:rPr>
            </w:pPr>
          </w:p>
        </w:tc>
      </w:tr>
      <w:tr>
        <w:trPr>
          <w:trHeight w:val="215"/>
        </w:trPr>
        <w:tc>
          <w:tcPr>
            <w:tcW w:w="80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1,252,691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1,291,455</w:t>
            </w:r>
          </w:p>
        </w:tc>
        <w:tc>
          <w:tcPr>
            <w:tcW w:w="100" w:type="dxa"/>
            <w:vAlign w:val="bottom"/>
          </w:tcPr>
          <w:p>
            <w:pPr>
              <w:spacing w:after="0"/>
              <w:rPr>
                <w:sz w:val="18"/>
                <w:szCs w:val="18"/>
                <w:color w:val="auto"/>
              </w:rPr>
            </w:pPr>
          </w:p>
        </w:tc>
      </w:tr>
      <w:tr>
        <w:trPr>
          <w:trHeight w:val="228"/>
        </w:trPr>
        <w:tc>
          <w:tcPr>
            <w:tcW w:w="8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(Notes 18 and 19)</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stock—$0.0001 par; 100,000,000 shares authorized; no shares issued or outstanding</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5"/>
        </w:trPr>
        <w:tc>
          <w:tcPr>
            <w:tcW w:w="8040" w:type="dxa"/>
            <w:vAlign w:val="bottom"/>
          </w:tcPr>
          <w:p>
            <w:pPr>
              <w:ind w:left="200"/>
              <w:spacing w:after="0"/>
              <w:rPr>
                <w:sz w:val="20"/>
                <w:szCs w:val="20"/>
                <w:color w:val="auto"/>
              </w:rPr>
            </w:pPr>
            <w:r>
              <w:rPr>
                <w:rFonts w:ascii="Arial" w:cs="Arial" w:eastAsia="Arial" w:hAnsi="Arial"/>
                <w:sz w:val="16"/>
                <w:szCs w:val="16"/>
                <w:color w:val="auto"/>
              </w:rPr>
              <w:t>Common stock—$0.0001 par; 5,000,000,000 shares authorized; 627,683,715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040" w:type="dxa"/>
            <w:vAlign w:val="bottom"/>
          </w:tcPr>
          <w:p>
            <w:pPr>
              <w:ind w:left="320"/>
              <w:spacing w:after="0"/>
              <w:rPr>
                <w:sz w:val="20"/>
                <w:szCs w:val="20"/>
                <w:color w:val="auto"/>
              </w:rPr>
            </w:pPr>
            <w:r>
              <w:rPr>
                <w:rFonts w:ascii="Arial" w:cs="Arial" w:eastAsia="Arial" w:hAnsi="Arial"/>
                <w:sz w:val="16"/>
                <w:szCs w:val="16"/>
                <w:color w:val="auto"/>
              </w:rPr>
              <w:t>622,072,905 shares issued and outstanding at March 31, 2023 and December 31,</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040" w:type="dxa"/>
            <w:vAlign w:val="bottom"/>
          </w:tcPr>
          <w:p>
            <w:pPr>
              <w:ind w:left="320"/>
              <w:spacing w:after="0"/>
              <w:rPr>
                <w:sz w:val="20"/>
                <w:szCs w:val="20"/>
                <w:color w:val="auto"/>
              </w:rPr>
            </w:pPr>
            <w:r>
              <w:rPr>
                <w:rFonts w:ascii="Arial" w:cs="Arial" w:eastAsia="Arial" w:hAnsi="Arial"/>
                <w:sz w:val="16"/>
                <w:szCs w:val="16"/>
                <w:color w:val="auto"/>
              </w:rPr>
              <w:t>2022, respectively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2,781,104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2,754,055</w:t>
            </w:r>
          </w:p>
        </w:tc>
        <w:tc>
          <w:tcPr>
            <w:tcW w:w="100" w:type="dxa"/>
            <w:vAlign w:val="bottom"/>
            <w:shd w:val="clear" w:color="auto" w:fill="CFF0FC"/>
          </w:tcPr>
          <w:p>
            <w:pPr>
              <w:spacing w:after="0"/>
              <w:rPr>
                <w:sz w:val="20"/>
                <w:szCs w:val="20"/>
                <w:color w:val="auto"/>
              </w:rPr>
            </w:pPr>
          </w:p>
        </w:tc>
      </w:tr>
      <w:tr>
        <w:trPr>
          <w:trHeight w:val="219"/>
        </w:trPr>
        <w:tc>
          <w:tcPr>
            <w:tcW w:w="80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(705,762 )</w:t>
            </w:r>
          </w:p>
        </w:tc>
        <w:tc>
          <w:tcPr>
            <w:tcW w:w="1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(707,946 )</w:t>
            </w:r>
          </w:p>
        </w:tc>
      </w:tr>
      <w:tr>
        <w:trPr>
          <w:trHeight w:val="238"/>
        </w:trPr>
        <w:tc>
          <w:tcPr>
            <w:tcW w:w="80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(850 )</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(884 )</w:t>
            </w:r>
          </w:p>
        </w:tc>
      </w:tr>
      <w:tr>
        <w:trPr>
          <w:trHeight w:val="215"/>
        </w:trPr>
        <w:tc>
          <w:tcPr>
            <w:tcW w:w="80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2,074,555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2,045,287</w:t>
            </w:r>
          </w:p>
        </w:tc>
        <w:tc>
          <w:tcPr>
            <w:tcW w:w="100" w:type="dxa"/>
            <w:vAlign w:val="bottom"/>
          </w:tcPr>
          <w:p>
            <w:pPr>
              <w:spacing w:after="0"/>
              <w:rPr>
                <w:sz w:val="18"/>
                <w:szCs w:val="18"/>
                <w:color w:val="auto"/>
              </w:rPr>
            </w:pPr>
          </w:p>
        </w:tc>
      </w:tr>
      <w:tr>
        <w:trPr>
          <w:trHeight w:val="262"/>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3,341,425</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3,350,921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6055360</wp:posOffset>
            </wp:positionH>
            <wp:positionV relativeFrom="paragraph">
              <wp:posOffset>-5871210</wp:posOffset>
            </wp:positionV>
            <wp:extent cx="67945" cy="15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45"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-5871210</wp:posOffset>
            </wp:positionV>
            <wp:extent cx="67945"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153670"/>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-4558665</wp:posOffset>
            </wp:positionV>
            <wp:extent cx="1082040" cy="323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2040" cy="32385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-2065655</wp:posOffset>
            </wp:positionV>
            <wp:extent cx="1107440" cy="187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7440" cy="18732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-344170</wp:posOffset>
            </wp:positionV>
            <wp:extent cx="1107440" cy="18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7440" cy="18732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-24765</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6055360</wp:posOffset>
            </wp:positionH>
            <wp:positionV relativeFrom="paragraph">
              <wp:posOffset>-7620</wp:posOffset>
            </wp:positionV>
            <wp:extent cx="6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ind w:left="1480" w:right="1520" w:firstLine="1174"/>
        <w:spacing w:after="0" w:line="275" w:lineRule="auto"/>
        <w:tabs>
          <w:tab w:leader="none" w:pos="30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INTELLIGENT SOLUTIONS HOLDINGS INC. AND SUBSIDIARIES CONDENSED CONSOLIDATED 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41"/>
        </w:trPr>
        <w:tc>
          <w:tcPr>
            <w:tcW w:w="7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204,919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revenues, exclusive of amortization of acquired technologies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50,447</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0"/>
              <w:spacing w:after="0"/>
              <w:rPr>
                <w:sz w:val="20"/>
                <w:szCs w:val="20"/>
                <w:color w:val="auto"/>
              </w:rPr>
            </w:pPr>
            <w:r>
              <w:rPr>
                <w:rFonts w:ascii="Arial" w:cs="Arial" w:eastAsia="Arial" w:hAnsi="Arial"/>
                <w:sz w:val="16"/>
                <w:szCs w:val="16"/>
                <w:color w:val="auto"/>
              </w:rPr>
              <w:t>Amortization of acquired technologies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cost of revenues</w:t>
            </w: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57,132</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147,787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40,996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and marketing</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41,865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18,066</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880" w:type="dxa"/>
            <w:vAlign w:val="bottom"/>
          </w:tcPr>
          <w:p>
            <w:pPr>
              <w:ind w:left="5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134,458</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(13,832 )</w:t>
            </w:r>
          </w:p>
        </w:tc>
        <w:tc>
          <w:tcPr>
            <w:tcW w:w="3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(7,341 )</w:t>
            </w: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3,259</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6"/>
                <w:szCs w:val="16"/>
                <w:color w:val="auto"/>
              </w:rPr>
              <w:t>CHANGE IN FAIR VALUE OF DERIVATIVE INSTRUMENTS</w:t>
            </w: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(2,604 )</w:t>
            </w:r>
          </w:p>
        </w:tc>
        <w:tc>
          <w:tcPr>
            <w:tcW w:w="3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WARRANT LIABILITIES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6"/>
                <w:szCs w:val="16"/>
                <w:color w:val="auto"/>
              </w:rPr>
              <w:t>GAIN ON SALE OF COST METHOD INVESTMENT</w:t>
            </w:r>
          </w:p>
        </w:tc>
        <w:tc>
          <w:tcPr>
            <w:tcW w:w="3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INCOME—Net</w:t>
            </w: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PRETAX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880" w:type="dxa"/>
            <w:vAlign w:val="bottom"/>
          </w:tcPr>
          <w:p>
            <w:pPr>
              <w:ind w:left="20"/>
              <w:spacing w:after="0"/>
              <w:rPr>
                <w:sz w:val="20"/>
                <w:szCs w:val="20"/>
                <w:color w:val="auto"/>
              </w:rPr>
            </w:pPr>
            <w:r>
              <w:rPr>
                <w:rFonts w:ascii="Arial" w:cs="Arial" w:eastAsia="Arial" w:hAnsi="Arial"/>
                <w:sz w:val="16"/>
                <w:szCs w:val="16"/>
                <w:color w:val="auto"/>
              </w:rPr>
              <w:t>NET INCOME INCLUDING NON-CONTROLLING</w:t>
            </w: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2,184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7880" w:type="dxa"/>
            <w:vAlign w:val="bottom"/>
            <w:vMerge w:val="restart"/>
          </w:tcPr>
          <w:p>
            <w:pPr>
              <w:ind w:left="140"/>
              <w:spacing w:after="0"/>
              <w:rPr>
                <w:sz w:val="20"/>
                <w:szCs w:val="20"/>
                <w:color w:val="auto"/>
              </w:rPr>
            </w:pPr>
            <w:r>
              <w:rPr>
                <w:rFonts w:ascii="Arial" w:cs="Arial" w:eastAsia="Arial" w:hAnsi="Arial"/>
                <w:sz w:val="16"/>
                <w:szCs w:val="16"/>
                <w:color w:val="auto"/>
              </w:rPr>
              <w:t>INTEREST</w:t>
            </w:r>
          </w:p>
        </w:tc>
        <w:tc>
          <w:tcPr>
            <w:tcW w:w="3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8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7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net income attributable to non-controlling interest</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8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INCOME ATTRIBUTABLE TO CCC INTELLIGENT</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140"/>
              <w:spacing w:after="0"/>
              <w:rPr>
                <w:sz w:val="20"/>
                <w:szCs w:val="20"/>
                <w:color w:val="auto"/>
              </w:rPr>
            </w:pPr>
            <w:r>
              <w:rPr>
                <w:rFonts w:ascii="Arial" w:cs="Arial" w:eastAsia="Arial" w:hAnsi="Arial"/>
                <w:sz w:val="16"/>
                <w:szCs w:val="16"/>
                <w:color w:val="auto"/>
              </w:rPr>
              <w:t>SOLUTIONS HOLDINGS INC.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2,184</w:t>
            </w:r>
          </w:p>
        </w:tc>
        <w:tc>
          <w:tcPr>
            <w:tcW w:w="28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per share attributable to common stockholders: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-3502025</wp:posOffset>
            </wp:positionV>
            <wp:extent cx="67945" cy="161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-3502025</wp:posOffset>
            </wp:positionV>
            <wp:extent cx="67945" cy="161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-2615565</wp:posOffset>
            </wp:positionV>
            <wp:extent cx="67945"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-2615565</wp:posOffset>
            </wp:positionV>
            <wp:extent cx="67945" cy="16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-1439545</wp:posOffset>
            </wp:positionV>
            <wp:extent cx="67945"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45"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-1439545</wp:posOffset>
            </wp:positionV>
            <wp:extent cx="67945" cy="15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45" cy="153670"/>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-1141095</wp:posOffset>
            </wp:positionV>
            <wp:extent cx="67945" cy="281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2813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-1141095</wp:posOffset>
            </wp:positionV>
            <wp:extent cx="67945" cy="281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281305"/>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-715010</wp:posOffset>
            </wp:positionV>
            <wp:extent cx="67945" cy="281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45" cy="2813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-715010</wp:posOffset>
            </wp:positionV>
            <wp:extent cx="67945" cy="281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28130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p>
      <w:pPr>
        <w:spacing w:after="0" w:line="4" w:lineRule="exact"/>
        <w:rPr>
          <w:sz w:val="20"/>
          <w:szCs w:val="20"/>
          <w:color w:val="auto"/>
        </w:rPr>
      </w:pPr>
    </w:p>
    <w:p>
      <w:pPr>
        <w:ind w:left="140" w:right="620" w:hanging="120"/>
        <w:spacing w:after="0" w:line="280" w:lineRule="auto"/>
        <w:rPr>
          <w:sz w:val="20"/>
          <w:szCs w:val="20"/>
          <w:color w:val="auto"/>
        </w:rPr>
      </w:pPr>
      <w:r>
        <w:rPr>
          <w:rFonts w:ascii="Arial" w:cs="Arial" w:eastAsia="Arial" w:hAnsi="Arial"/>
          <w:sz w:val="16"/>
          <w:szCs w:val="16"/>
          <w:color w:val="auto"/>
        </w:rPr>
        <w:t>Weighted-average shares used in computing net income per share attributable to common stockholders:</w:t>
      </w:r>
    </w:p>
    <w:p>
      <w:pPr>
        <w:ind w:left="380"/>
        <w:spacing w:after="0"/>
        <w:rPr>
          <w:sz w:val="20"/>
          <w:szCs w:val="20"/>
          <w:color w:val="auto"/>
        </w:rPr>
      </w:pPr>
      <w:r>
        <w:rPr>
          <w:rFonts w:ascii="Arial" w:cs="Arial" w:eastAsia="Arial" w:hAnsi="Arial"/>
          <w:sz w:val="16"/>
          <w:szCs w:val="16"/>
          <w:color w:val="auto"/>
        </w:rPr>
        <w:t>Basic</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including non-controlling interest</w:t>
      </w:r>
    </w:p>
    <w:p>
      <w:pPr>
        <w:spacing w:after="0" w:line="44" w:lineRule="exact"/>
        <w:rPr>
          <w:sz w:val="20"/>
          <w:szCs w:val="20"/>
          <w:color w:val="auto"/>
        </w:rPr>
      </w:pPr>
    </w:p>
    <w:p>
      <w:pPr>
        <w:ind w:left="320" w:right="780" w:hanging="120"/>
        <w:spacing w:after="0" w:line="280" w:lineRule="auto"/>
        <w:rPr>
          <w:sz w:val="20"/>
          <w:szCs w:val="20"/>
          <w:color w:val="auto"/>
        </w:rPr>
      </w:pPr>
      <w:r>
        <w:rPr>
          <w:rFonts w:ascii="Arial" w:cs="Arial" w:eastAsia="Arial" w:hAnsi="Arial"/>
          <w:sz w:val="16"/>
          <w:szCs w:val="16"/>
          <w:color w:val="auto"/>
        </w:rPr>
        <w:t>Other comprehensive income—Foreign currency translation adjustment</w:t>
      </w:r>
    </w:p>
    <w:p>
      <w:pPr>
        <w:ind w:left="20"/>
        <w:spacing w:after="0"/>
        <w:rPr>
          <w:sz w:val="20"/>
          <w:szCs w:val="20"/>
          <w:color w:val="auto"/>
        </w:rPr>
      </w:pPr>
      <w:r>
        <w:rPr>
          <w:rFonts w:ascii="Arial" w:cs="Arial" w:eastAsia="Arial" w:hAnsi="Arial"/>
          <w:sz w:val="16"/>
          <w:szCs w:val="16"/>
          <w:color w:val="auto"/>
        </w:rPr>
        <w:t>COMPREHENSIVE INCOME INCLUDING</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NON-CONTROLLING INTEREST</w:t>
      </w:r>
    </w:p>
    <w:p>
      <w:pPr>
        <w:spacing w:after="0" w:line="40" w:lineRule="exact"/>
        <w:rPr>
          <w:sz w:val="20"/>
          <w:szCs w:val="20"/>
          <w:color w:val="auto"/>
        </w:rPr>
      </w:pPr>
    </w:p>
    <w:p>
      <w:pPr>
        <w:ind w:left="320" w:right="800" w:hanging="120"/>
        <w:spacing w:after="0" w:line="280" w:lineRule="auto"/>
        <w:rPr>
          <w:sz w:val="20"/>
          <w:szCs w:val="20"/>
          <w:color w:val="auto"/>
        </w:rPr>
      </w:pPr>
      <w:r>
        <w:rPr>
          <w:rFonts w:ascii="Arial" w:cs="Arial" w:eastAsia="Arial" w:hAnsi="Arial"/>
          <w:sz w:val="16"/>
          <w:szCs w:val="16"/>
          <w:color w:val="auto"/>
        </w:rPr>
        <w:t>Less: comprehensive income attributable to non-controlling interest</w:t>
      </w:r>
    </w:p>
    <w:p>
      <w:pPr>
        <w:ind w:left="140" w:right="980" w:hanging="120"/>
        <w:spacing w:after="0" w:line="290" w:lineRule="auto"/>
        <w:rPr>
          <w:sz w:val="20"/>
          <w:szCs w:val="20"/>
          <w:color w:val="auto"/>
        </w:rPr>
      </w:pPr>
      <w:r>
        <w:rPr>
          <w:rFonts w:ascii="Arial" w:cs="Arial" w:eastAsia="Arial" w:hAnsi="Arial"/>
          <w:sz w:val="16"/>
          <w:szCs w:val="16"/>
          <w:color w:val="auto"/>
        </w:rPr>
        <w:t>COMPREHENSIVE INCOME ATTRIBUTABLE TO CCC INTELLIGENT SOLUTIONS HOLDINGS INC.</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230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616,217,176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603,104,839</w:t>
            </w:r>
          </w:p>
        </w:tc>
      </w:tr>
      <w:tr>
        <w:trPr>
          <w:trHeight w:val="228"/>
        </w:trPr>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646,380,961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641,028,410</w:t>
            </w:r>
          </w:p>
        </w:tc>
      </w:tr>
      <w:tr>
        <w:trPr>
          <w:trHeight w:val="456"/>
        </w:trPr>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11,975</w:t>
            </w:r>
          </w:p>
        </w:tc>
      </w:tr>
      <w:tr>
        <w:trPr>
          <w:trHeight w:val="322"/>
        </w:trPr>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13"/>
        </w:trPr>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296"/>
        </w:trPr>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11,984</w:t>
            </w:r>
          </w:p>
        </w:tc>
      </w:tr>
      <w:tr>
        <w:trPr>
          <w:trHeight w:val="429"/>
        </w:trPr>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13"/>
        </w:trPr>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76"/>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2,218</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11,984</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-1669415</wp:posOffset>
            </wp:positionV>
            <wp:extent cx="7132955" cy="144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-1379855</wp:posOffset>
            </wp:positionV>
            <wp:extent cx="7132955"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-1090295</wp:posOffset>
            </wp:positionV>
            <wp:extent cx="7132955" cy="1090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0909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69215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4860" w:space="720"/>
            <w:col w:w="5660"/>
          </w:cols>
          <w:pgMar w:left="320" w:top="33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6"/>
              </w:rPr>
              <w:t>Redeem</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7"/>
              </w:rPr>
              <w:t>able</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Preferred Stock—</w:t>
            </w:r>
          </w:p>
        </w:tc>
        <w:tc>
          <w:tcPr>
            <w:tcW w:w="24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Common Stock—</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4"/>
              </w:rPr>
              <w:t>Controll</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w w:val="88"/>
              </w:rPr>
              <w:t>Issued and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86"/>
              </w:rPr>
              <w:t>Issued and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1"/>
              </w:rPr>
              <w:t>ing</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left="139"/>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0" w:type="dxa"/>
            <w:vAlign w:val="bottom"/>
          </w:tcPr>
          <w:p>
            <w:pPr>
              <w:spacing w:after="0"/>
              <w:rPr>
                <w:sz w:val="19"/>
                <w:szCs w:val="19"/>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Additiona</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9"/>
                <w:szCs w:val="1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l</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7"/>
                <w:szCs w:val="17"/>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Par</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7"/>
              </w:rPr>
              <w:t>Paid-In</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w:t>
            </w:r>
          </w:p>
        </w:tc>
        <w:tc>
          <w:tcPr>
            <w:tcW w:w="11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Comprehensi</w:t>
            </w: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of</w:t>
            </w:r>
          </w:p>
        </w:tc>
        <w:tc>
          <w:tcPr>
            <w:tcW w:w="24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ted</w:t>
            </w:r>
          </w:p>
        </w:tc>
        <w:tc>
          <w:tcPr>
            <w:tcW w:w="200" w:type="dxa"/>
            <w:vAlign w:val="bottom"/>
          </w:tcPr>
          <w:p>
            <w:pPr>
              <w:spacing w:after="0"/>
              <w:rPr>
                <w:sz w:val="8"/>
                <w:szCs w:val="8"/>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78"/>
              </w:rPr>
              <w:t>ve</w:t>
            </w: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Capital</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0"/>
              </w:rPr>
              <w:t>Loss</w:t>
            </w:r>
          </w:p>
        </w:tc>
        <w:tc>
          <w:tcPr>
            <w:tcW w:w="1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622,072,9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2,754,05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$ 14,179</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5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 (707,946 )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(884 )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2,045,287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0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200"/>
              <w:spacing w:after="0"/>
              <w:rPr>
                <w:sz w:val="20"/>
                <w:szCs w:val="20"/>
                <w:color w:val="auto"/>
              </w:rPr>
            </w:pPr>
            <w:r>
              <w:rPr>
                <w:rFonts w:ascii="Arial" w:cs="Arial" w:eastAsia="Arial" w:hAnsi="Arial"/>
                <w:sz w:val="16"/>
                <w:szCs w:val="16"/>
                <w:color w:val="auto"/>
              </w:rPr>
              <w:t>expense</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28,930</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Exercise of stock options</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3,214,093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8,242</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600" w:type="dxa"/>
            <w:vAlign w:val="bottom"/>
          </w:tcPr>
          <w:p>
            <w:pPr>
              <w:ind w:left="280"/>
              <w:spacing w:after="0"/>
              <w:rPr>
                <w:sz w:val="20"/>
                <w:szCs w:val="20"/>
                <w:color w:val="auto"/>
              </w:rPr>
            </w:pPr>
            <w:r>
              <w:rPr>
                <w:rFonts w:ascii="Arial" w:cs="Arial" w:eastAsia="Arial" w:hAnsi="Arial"/>
                <w:sz w:val="16"/>
                <w:szCs w:val="16"/>
                <w:color w:val="auto"/>
                <w:w w:val="97"/>
              </w:rPr>
              <w:t>Issuance of common stock under</w:t>
            </w: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320"/>
              <w:spacing w:after="0"/>
              <w:rPr>
                <w:sz w:val="20"/>
                <w:szCs w:val="20"/>
                <w:color w:val="auto"/>
              </w:rPr>
            </w:pPr>
            <w:r>
              <w:rPr>
                <w:rFonts w:ascii="Arial" w:cs="Arial" w:eastAsia="Arial" w:hAnsi="Arial"/>
                <w:sz w:val="16"/>
                <w:szCs w:val="16"/>
                <w:color w:val="auto"/>
              </w:rPr>
              <w:t>employee stock purchase plan</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179,338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Issuance of common stock upon</w:t>
            </w: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2,217,379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(11,449 )</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(11,449 )</w:t>
            </w:r>
          </w:p>
        </w:tc>
        <w:tc>
          <w:tcPr>
            <w:tcW w:w="0" w:type="dxa"/>
            <w:vAlign w:val="bottom"/>
          </w:tcPr>
          <w:p>
            <w:pPr>
              <w:spacing w:after="0"/>
              <w:rPr>
                <w:sz w:val="1"/>
                <w:szCs w:val="1"/>
                <w:color w:val="auto"/>
              </w:rPr>
            </w:pPr>
          </w:p>
        </w:tc>
      </w:tr>
      <w:tr>
        <w:trPr>
          <w:trHeight w:val="205"/>
        </w:trPr>
        <w:tc>
          <w:tcPr>
            <w:tcW w:w="2600" w:type="dxa"/>
            <w:vAlign w:val="bottom"/>
          </w:tcPr>
          <w:p>
            <w:pPr>
              <w:ind w:left="280"/>
              <w:spacing w:after="0"/>
              <w:rPr>
                <w:sz w:val="20"/>
                <w:szCs w:val="20"/>
                <w:color w:val="auto"/>
              </w:rPr>
            </w:pPr>
            <w:r>
              <w:rPr>
                <w:rFonts w:ascii="Arial" w:cs="Arial" w:eastAsia="Arial" w:hAnsi="Arial"/>
                <w:sz w:val="16"/>
                <w:szCs w:val="16"/>
                <w:color w:val="auto"/>
              </w:rPr>
              <w:t>Foreign currency translation</w:t>
            </w: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20"/>
              <w:spacing w:after="0"/>
              <w:rPr>
                <w:sz w:val="20"/>
                <w:szCs w:val="20"/>
                <w:color w:val="auto"/>
              </w:rPr>
            </w:pPr>
            <w:r>
              <w:rPr>
                <w:rFonts w:ascii="Arial" w:cs="Arial" w:eastAsia="Arial" w:hAnsi="Arial"/>
                <w:sz w:val="16"/>
                <w:szCs w:val="16"/>
                <w:color w:val="auto"/>
              </w:rPr>
              <w:t>BALANCE—March 31, 2023</w:t>
            </w: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627,683,7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2,781,10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$ 14,179</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5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 (705,762 )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(850 )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2,074,555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-306070</wp:posOffset>
            </wp:positionV>
            <wp:extent cx="76835" cy="306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-306070</wp:posOffset>
            </wp:positionV>
            <wp:extent cx="76835" cy="306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-306070</wp:posOffset>
            </wp:positionV>
            <wp:extent cx="76835" cy="306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-306070</wp:posOffset>
            </wp:positionV>
            <wp:extent cx="67945" cy="306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-306070</wp:posOffset>
            </wp:positionV>
            <wp:extent cx="67945" cy="306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-306070</wp:posOffset>
            </wp:positionV>
            <wp:extent cx="67945" cy="306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-306070</wp:posOffset>
            </wp:positionV>
            <wp:extent cx="67945" cy="306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-306070</wp:posOffset>
            </wp:positionV>
            <wp:extent cx="67945" cy="306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-306070</wp:posOffset>
            </wp:positionV>
            <wp:extent cx="67945" cy="306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30670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40" w:type="dxa"/>
            <w:vAlign w:val="bottom"/>
          </w:tcPr>
          <w:p>
            <w:pPr>
              <w:spacing w:after="0"/>
              <w:rPr>
                <w:sz w:val="17"/>
                <w:szCs w:val="17"/>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Redee</w:t>
            </w:r>
          </w:p>
        </w:tc>
        <w:tc>
          <w:tcPr>
            <w:tcW w:w="2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Preferred Stock—</w:t>
            </w:r>
          </w:p>
        </w:tc>
        <w:tc>
          <w:tcPr>
            <w:tcW w:w="220" w:type="dxa"/>
            <w:vAlign w:val="bottom"/>
          </w:tcPr>
          <w:p>
            <w:pPr>
              <w:spacing w:after="0"/>
              <w:rPr>
                <w:sz w:val="17"/>
                <w:szCs w:val="17"/>
                <w:color w:val="auto"/>
              </w:rPr>
            </w:pPr>
          </w:p>
        </w:tc>
        <w:tc>
          <w:tcPr>
            <w:tcW w:w="1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restart"/>
          </w:tcPr>
          <w:p>
            <w:pPr>
              <w:jc w:val="center"/>
              <w:ind w:left="99"/>
              <w:spacing w:after="0"/>
              <w:rPr>
                <w:sz w:val="20"/>
                <w:szCs w:val="20"/>
                <w:color w:val="auto"/>
              </w:rPr>
            </w:pPr>
            <w:r>
              <w:rPr>
                <w:rFonts w:ascii="Arial" w:cs="Arial" w:eastAsia="Arial" w:hAnsi="Arial"/>
                <w:sz w:val="16"/>
                <w:szCs w:val="16"/>
                <w:b w:val="1"/>
                <w:bCs w:val="1"/>
                <w:color w:val="auto"/>
                <w:w w:val="88"/>
              </w:rPr>
              <w:t>Issued and</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3"/>
            <w:vMerge w:val="restart"/>
          </w:tcPr>
          <w:p>
            <w:pPr>
              <w:jc w:val="center"/>
              <w:ind w:left="279"/>
              <w:spacing w:after="0"/>
              <w:rPr>
                <w:sz w:val="20"/>
                <w:szCs w:val="20"/>
                <w:color w:val="auto"/>
              </w:rPr>
            </w:pPr>
            <w:r>
              <w:rPr>
                <w:rFonts w:ascii="Arial" w:cs="Arial" w:eastAsia="Arial" w:hAnsi="Arial"/>
                <w:sz w:val="16"/>
                <w:szCs w:val="16"/>
                <w:b w:val="1"/>
                <w:bCs w:val="1"/>
                <w:color w:val="auto"/>
                <w:w w:val="88"/>
              </w:rPr>
              <w:t>Issued and</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mable</w:t>
            </w: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restart"/>
          </w:tcPr>
          <w:p>
            <w:pPr>
              <w:jc w:val="center"/>
              <w:ind w:left="139"/>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3"/>
            <w:vMerge w:val="restart"/>
          </w:tcPr>
          <w:p>
            <w:pPr>
              <w:jc w:val="center"/>
              <w:ind w:left="319"/>
              <w:spacing w:after="0"/>
              <w:rPr>
                <w:sz w:val="20"/>
                <w:szCs w:val="20"/>
                <w:color w:val="auto"/>
              </w:rPr>
            </w:pPr>
            <w:r>
              <w:rPr>
                <w:rFonts w:ascii="Arial" w:cs="Arial" w:eastAsia="Arial" w:hAnsi="Arial"/>
                <w:sz w:val="16"/>
                <w:szCs w:val="16"/>
                <w:b w:val="1"/>
                <w:bCs w:val="1"/>
                <w:color w:val="auto"/>
                <w:w w:val="91"/>
              </w:rPr>
              <w:t>Outstanding</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6"/>
                <w:szCs w:val="16"/>
                <w:b w:val="1"/>
                <w:bCs w:val="1"/>
                <w:color w:val="auto"/>
                <w:w w:val="91"/>
              </w:rPr>
              <w:t>Accumula</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Control</w:t>
            </w: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560"/>
              <w:spacing w:after="0"/>
              <w:rPr>
                <w:sz w:val="20"/>
                <w:szCs w:val="20"/>
                <w:color w:val="auto"/>
              </w:rPr>
            </w:pPr>
            <w:r>
              <w:rPr>
                <w:rFonts w:ascii="Arial" w:cs="Arial" w:eastAsia="Arial" w:hAnsi="Arial"/>
                <w:sz w:val="16"/>
                <w:szCs w:val="16"/>
                <w:b w:val="1"/>
                <w:bCs w:val="1"/>
                <w:color w:val="auto"/>
                <w:w w:val="91"/>
              </w:rPr>
              <w:t>ted</w:t>
            </w: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ling</w:t>
            </w: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540" w:type="dxa"/>
            <w:vAlign w:val="bottom"/>
          </w:tcPr>
          <w:p>
            <w:pPr>
              <w:spacing w:after="0"/>
              <w:rPr>
                <w:sz w:val="19"/>
                <w:szCs w:val="19"/>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Additiona</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center"/>
              <w:ind w:right="5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9"/>
                <w:szCs w:val="19"/>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l</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7"/>
                <w:szCs w:val="17"/>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Par</w:t>
            </w: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2"/>
              </w:rPr>
              <w:t>Par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w:t>
            </w:r>
          </w:p>
        </w:tc>
        <w:tc>
          <w:tcPr>
            <w:tcW w:w="11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Comprehe</w:t>
            </w:r>
          </w:p>
        </w:tc>
        <w:tc>
          <w:tcPr>
            <w:tcW w:w="1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of</w:t>
            </w:r>
          </w:p>
        </w:tc>
        <w:tc>
          <w:tcPr>
            <w:tcW w:w="24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ted</w:t>
            </w:r>
          </w:p>
        </w:tc>
        <w:tc>
          <w:tcPr>
            <w:tcW w:w="120" w:type="dxa"/>
            <w:vAlign w:val="bottom"/>
          </w:tcPr>
          <w:p>
            <w:pPr>
              <w:spacing w:after="0"/>
              <w:rPr>
                <w:sz w:val="8"/>
                <w:szCs w:val="8"/>
                <w:color w:val="auto"/>
              </w:rPr>
            </w:pPr>
          </w:p>
        </w:tc>
        <w:tc>
          <w:tcPr>
            <w:tcW w:w="1060" w:type="dxa"/>
            <w:vAlign w:val="bottom"/>
            <w:gridSpan w:val="2"/>
            <w:vMerge w:val="restart"/>
          </w:tcPr>
          <w:p>
            <w:pPr>
              <w:jc w:val="center"/>
              <w:ind w:right="560"/>
              <w:spacing w:after="0"/>
              <w:rPr>
                <w:sz w:val="20"/>
                <w:szCs w:val="20"/>
                <w:color w:val="auto"/>
              </w:rPr>
            </w:pPr>
            <w:r>
              <w:rPr>
                <w:rFonts w:ascii="Arial" w:cs="Arial" w:eastAsia="Arial" w:hAnsi="Arial"/>
                <w:sz w:val="16"/>
                <w:szCs w:val="16"/>
                <w:b w:val="1"/>
                <w:bCs w:val="1"/>
                <w:color w:val="auto"/>
                <w:w w:val="82"/>
              </w:rPr>
              <w:t>nsive</w:t>
            </w: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Value</w:t>
            </w:r>
          </w:p>
        </w:tc>
        <w:tc>
          <w:tcPr>
            <w:tcW w:w="22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20"/>
                <w:szCs w:val="20"/>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609,768,29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2,618,92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FF0FC"/>
          </w:tcPr>
          <w:p>
            <w:pPr>
              <w:ind w:left="25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(746,352 )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(315 )</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4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ind w:left="200"/>
              <w:spacing w:after="0"/>
              <w:rPr>
                <w:sz w:val="20"/>
                <w:szCs w:val="20"/>
                <w:color w:val="auto"/>
              </w:rPr>
            </w:pPr>
            <w:r>
              <w:rPr>
                <w:rFonts w:ascii="Arial" w:cs="Arial" w:eastAsia="Arial" w:hAnsi="Arial"/>
                <w:sz w:val="16"/>
                <w:szCs w:val="16"/>
                <w:color w:val="auto"/>
              </w:rPr>
              <w:t>expense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23,644</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Exercise of stock options—net</w:t>
            </w:r>
          </w:p>
        </w:tc>
        <w:tc>
          <w:tcPr>
            <w:tcW w:w="4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of tax</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3,961,270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Exercise of warrants—net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Issuance of common stock upon</w:t>
            </w:r>
          </w:p>
        </w:tc>
        <w:tc>
          <w:tcPr>
            <w:tcW w:w="46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vesting of RSUs—net of tax</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Foreign currency translation</w:t>
            </w:r>
          </w:p>
        </w:tc>
        <w:tc>
          <w:tcPr>
            <w:tcW w:w="4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40" w:type="dxa"/>
            <w:vAlign w:val="bottom"/>
            <w:gridSpan w:val="2"/>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BALANCE—March 31, 2022</w:t>
            </w:r>
          </w:p>
        </w:tc>
        <w:tc>
          <w:tcPr>
            <w:tcW w:w="460" w:type="dxa"/>
            <w:vAlign w:val="bottom"/>
          </w:tcPr>
          <w:p>
            <w:pPr>
              <w:jc w:val="right"/>
              <w:spacing w:after="0"/>
              <w:rPr>
                <w:sz w:val="20"/>
                <w:szCs w:val="20"/>
                <w:color w:val="auto"/>
              </w:rPr>
            </w:pPr>
            <w:r>
              <w:rPr>
                <w:rFonts w:ascii="Arial" w:cs="Arial" w:eastAsia="Arial" w:hAnsi="Arial"/>
                <w:sz w:val="16"/>
                <w:szCs w:val="16"/>
                <w:color w:val="auto"/>
              </w:rPr>
              <w:t>14,17</w:t>
            </w:r>
          </w:p>
        </w:tc>
        <w:tc>
          <w:tcPr>
            <w:tcW w:w="2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613,758,12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9"/>
              </w:rPr>
              <w:t>2,653,20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tcPr>
          <w:p>
            <w:pPr>
              <w:ind w:left="25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 (734,377 )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1,918,579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-306070</wp:posOffset>
            </wp:positionV>
            <wp:extent cx="76835" cy="306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-306070</wp:posOffset>
            </wp:positionV>
            <wp:extent cx="76835" cy="306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-306070</wp:posOffset>
            </wp:positionV>
            <wp:extent cx="76835" cy="306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30670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-306070</wp:posOffset>
            </wp:positionV>
            <wp:extent cx="67945" cy="306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-306070</wp:posOffset>
            </wp:positionV>
            <wp:extent cx="67945" cy="306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4956175</wp:posOffset>
            </wp:positionH>
            <wp:positionV relativeFrom="paragraph">
              <wp:posOffset>-306070</wp:posOffset>
            </wp:positionV>
            <wp:extent cx="67945" cy="306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-306070</wp:posOffset>
            </wp:positionV>
            <wp:extent cx="67945" cy="306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6174740</wp:posOffset>
            </wp:positionH>
            <wp:positionV relativeFrom="paragraph">
              <wp:posOffset>-306070</wp:posOffset>
            </wp:positionV>
            <wp:extent cx="67945" cy="306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306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-306070</wp:posOffset>
            </wp:positionV>
            <wp:extent cx="67945" cy="306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45" cy="30670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106045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9" w:name="page10"/>
    <w:bookmarkEnd w:id="9"/>
    <w:p>
      <w:pPr>
        <w:ind w:left="2940" w:right="2640" w:hanging="286"/>
        <w:spacing w:after="0" w:line="259" w:lineRule="auto"/>
        <w:tabs>
          <w:tab w:leader="none" w:pos="308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2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w w:val="88"/>
              </w:rPr>
              <w:t>For the 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8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March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82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w w:val="81"/>
              </w:rPr>
              <w:t>2022</w:t>
            </w:r>
          </w:p>
        </w:tc>
        <w:tc>
          <w:tcPr>
            <w:tcW w:w="100" w:type="dxa"/>
            <w:vAlign w:val="bottom"/>
          </w:tcPr>
          <w:p>
            <w:pPr>
              <w:spacing w:after="0"/>
              <w:rPr>
                <w:sz w:val="12"/>
                <w:szCs w:val="12"/>
                <w:color w:val="auto"/>
              </w:rPr>
            </w:pPr>
          </w:p>
        </w:tc>
      </w:tr>
      <w:tr>
        <w:trPr>
          <w:trHeight w:val="145"/>
        </w:trPr>
        <w:tc>
          <w:tcPr>
            <w:tcW w:w="82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FLOWS FROM OPERATING ACTIVITIES:</w:t>
            </w:r>
          </w:p>
        </w:tc>
        <w:tc>
          <w:tcPr>
            <w:tcW w:w="7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780" w:type="dxa"/>
            <w:vAlign w:val="bottom"/>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2,184</w:t>
            </w:r>
          </w:p>
        </w:tc>
        <w:tc>
          <w:tcPr>
            <w:tcW w:w="22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11,975</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Depreciation and amortization of software, equipment, and property</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9,206</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6,807</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intangible assets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24,751</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24,775</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Deferred income taxes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(6,763 )</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(21,223 )</w:t>
            </w: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Stock-based compensation</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29,234</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23,644</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Amortization of deferred financing fees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427</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474</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discount on debt</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Change in fair value of derivative instruments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2,604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Change in fair value of warrant liabilities</w:t>
            </w:r>
          </w:p>
        </w:tc>
        <w:tc>
          <w:tcPr>
            <w:tcW w:w="7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(1,195 )</w:t>
            </w:r>
          </w:p>
        </w:tc>
        <w:tc>
          <w:tcPr>
            <w:tcW w:w="5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(2,136 )</w:t>
            </w: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Non-cash lease expense</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1,228</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Loss on disposal of software, equipment and property</w:t>
            </w:r>
          </w:p>
        </w:tc>
        <w:tc>
          <w:tcPr>
            <w:tcW w:w="7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Gain on sale of cost method investment</w:t>
            </w:r>
          </w:p>
        </w:tc>
        <w:tc>
          <w:tcPr>
            <w:tcW w:w="7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(3,578 )</w:t>
            </w:r>
          </w:p>
        </w:tc>
      </w:tr>
      <w:tr>
        <w:trPr>
          <w:trHeight w:val="152"/>
        </w:trPr>
        <w:tc>
          <w:tcPr>
            <w:tcW w:w="8240" w:type="dxa"/>
            <w:vAlign w:val="bottom"/>
            <w:shd w:val="clear" w:color="auto" w:fill="CFF0FC"/>
          </w:tcPr>
          <w:p>
            <w:pPr>
              <w:ind w:left="380"/>
              <w:spacing w:after="0"/>
              <w:rPr>
                <w:sz w:val="20"/>
                <w:szCs w:val="20"/>
                <w:color w:val="auto"/>
              </w:rPr>
            </w:pPr>
            <w:r>
              <w:rPr>
                <w:rFonts w:ascii="Arial" w:cs="Arial" w:eastAsia="Arial" w:hAnsi="Arial"/>
                <w:sz w:val="11"/>
                <w:szCs w:val="11"/>
                <w:color w:val="auto"/>
              </w:rPr>
              <w:t>Other</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380"/>
              <w:spacing w:after="0"/>
              <w:rPr>
                <w:sz w:val="20"/>
                <w:szCs w:val="20"/>
                <w:color w:val="auto"/>
              </w:rPr>
            </w:pPr>
            <w:r>
              <w:rPr>
                <w:rFonts w:ascii="Arial" w:cs="Arial" w:eastAsia="Arial" w:hAnsi="Arial"/>
                <w:sz w:val="11"/>
                <w:szCs w:val="11"/>
                <w:color w:val="auto"/>
              </w:rPr>
              <w:t>Changes in:</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Accounts receivable—Net</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6,084</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2,043</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Deferred contract costs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(783 )</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(576 )</w:t>
            </w: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current assets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1,726</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2,187</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Deferred contract costs—Non-current</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(51 )</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814</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assets</w:t>
            </w:r>
          </w:p>
        </w:tc>
        <w:tc>
          <w:tcPr>
            <w:tcW w:w="7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(8,519 )</w:t>
            </w:r>
          </w:p>
        </w:tc>
        <w:tc>
          <w:tcPr>
            <w:tcW w:w="5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(10,805 )</w:t>
            </w: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Operating lease assets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(417 )</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1,316</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Income taxes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5,778</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20,370</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Accounts payable</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(11,897 )</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4,825</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Accrued expenses</w:t>
            </w:r>
          </w:p>
        </w:tc>
        <w:tc>
          <w:tcPr>
            <w:tcW w:w="7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(25,690 )</w:t>
            </w:r>
          </w:p>
        </w:tc>
        <w:tc>
          <w:tcPr>
            <w:tcW w:w="5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(16,460 )</w:t>
            </w: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Operating lease liabilities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415</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(1,986 )</w:t>
            </w:r>
          </w:p>
        </w:tc>
      </w:tr>
      <w:tr>
        <w:trPr>
          <w:trHeight w:val="152"/>
        </w:trPr>
        <w:tc>
          <w:tcPr>
            <w:tcW w:w="8240" w:type="dxa"/>
            <w:vAlign w:val="bottom"/>
            <w:shd w:val="clear" w:color="auto" w:fill="CFF0FC"/>
          </w:tcPr>
          <w:p>
            <w:pPr>
              <w:ind w:left="560"/>
              <w:spacing w:after="0"/>
              <w:rPr>
                <w:sz w:val="20"/>
                <w:szCs w:val="20"/>
                <w:color w:val="auto"/>
              </w:rPr>
            </w:pPr>
            <w:r>
              <w:rPr>
                <w:rFonts w:ascii="Arial" w:cs="Arial" w:eastAsia="Arial" w:hAnsi="Arial"/>
                <w:sz w:val="11"/>
                <w:szCs w:val="11"/>
                <w:color w:val="auto"/>
              </w:rPr>
              <w:t>Deferred revenues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5,033</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2,353</w:t>
            </w: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560"/>
              <w:spacing w:after="0"/>
              <w:rPr>
                <w:sz w:val="20"/>
                <w:szCs w:val="20"/>
                <w:color w:val="auto"/>
              </w:rPr>
            </w:pPr>
            <w:r>
              <w:rPr>
                <w:rFonts w:ascii="Arial" w:cs="Arial" w:eastAsia="Arial" w:hAnsi="Arial"/>
                <w:sz w:val="11"/>
                <w:szCs w:val="11"/>
                <w:color w:val="auto"/>
              </w:rPr>
              <w:t>Other liabilities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(105 )</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(68 )</w:t>
            </w:r>
          </w:p>
        </w:tc>
      </w:tr>
      <w:tr>
        <w:trPr>
          <w:trHeight w:val="141"/>
        </w:trPr>
        <w:tc>
          <w:tcPr>
            <w:tcW w:w="8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1"/>
                <w:szCs w:val="11"/>
                <w:color w:val="auto"/>
              </w:rPr>
              <w:t>Net cash provided by operating activities</w:t>
            </w:r>
          </w:p>
        </w:tc>
        <w:tc>
          <w:tcPr>
            <w:tcW w:w="7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33,078</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46,865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1"/>
        </w:trPr>
        <w:tc>
          <w:tcPr>
            <w:tcW w:w="824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Purchases of software, equipment, and property</w:t>
            </w:r>
          </w:p>
        </w:tc>
        <w:tc>
          <w:tcPr>
            <w:tcW w:w="7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(14,534 )</w:t>
            </w:r>
          </w:p>
        </w:tc>
        <w:tc>
          <w:tcPr>
            <w:tcW w:w="5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(14,280 )</w:t>
            </w: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Acquisition of Safekeep, Inc., net of cash acquired</w:t>
            </w:r>
          </w:p>
        </w:tc>
        <w:tc>
          <w:tcPr>
            <w:tcW w:w="7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(32,227 )</w:t>
            </w:r>
          </w:p>
        </w:tc>
      </w:tr>
      <w:tr>
        <w:trPr>
          <w:trHeight w:val="148"/>
        </w:trPr>
        <w:tc>
          <w:tcPr>
            <w:tcW w:w="8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Proceeds from sale of cost method investment</w:t>
            </w:r>
          </w:p>
        </w:tc>
        <w:tc>
          <w:tcPr>
            <w:tcW w:w="7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3,892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1"/>
        </w:trPr>
        <w:tc>
          <w:tcPr>
            <w:tcW w:w="8240" w:type="dxa"/>
            <w:vAlign w:val="bottom"/>
          </w:tcPr>
          <w:p>
            <w:pPr>
              <w:ind w:left="740"/>
              <w:spacing w:after="0"/>
              <w:rPr>
                <w:sz w:val="20"/>
                <w:szCs w:val="20"/>
                <w:color w:val="auto"/>
              </w:rPr>
            </w:pPr>
            <w:r>
              <w:rPr>
                <w:rFonts w:ascii="Arial" w:cs="Arial" w:eastAsia="Arial" w:hAnsi="Arial"/>
                <w:sz w:val="11"/>
                <w:szCs w:val="11"/>
                <w:color w:val="auto"/>
              </w:rPr>
              <w:t>Net cash used in investing activities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(14,534 )</w:t>
            </w:r>
          </w:p>
        </w:tc>
        <w:tc>
          <w:tcPr>
            <w:tcW w:w="5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(42,615 )</w:t>
            </w:r>
          </w:p>
        </w:tc>
      </w:tr>
      <w:tr>
        <w:trPr>
          <w:trHeight w:val="145"/>
        </w:trPr>
        <w:tc>
          <w:tcPr>
            <w:tcW w:w="82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FLOWS FROM FINANCING ACTIVITIES:</w:t>
            </w:r>
          </w:p>
        </w:tc>
        <w:tc>
          <w:tcPr>
            <w:tcW w:w="7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Proceeds from exercise of stock options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8,109</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10,691</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Proceeds from employee stock purchase plan</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1,326</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Payments for employee taxes withheld upon vesting of equity awards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(11,449 )</w:t>
            </w:r>
          </w:p>
        </w:tc>
        <w:tc>
          <w:tcPr>
            <w:tcW w:w="5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8"/>
        </w:trPr>
        <w:tc>
          <w:tcPr>
            <w:tcW w:w="82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Principal payments on long-term debt</w:t>
            </w:r>
          </w:p>
        </w:tc>
        <w:tc>
          <w:tcPr>
            <w:tcW w:w="7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(2,000 )</w:t>
            </w:r>
          </w:p>
        </w:tc>
        <w:tc>
          <w:tcPr>
            <w:tcW w:w="5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(2,000 )</w:t>
            </w:r>
          </w:p>
        </w:tc>
      </w:tr>
      <w:tr>
        <w:trPr>
          <w:trHeight w:val="20"/>
        </w:trPr>
        <w:tc>
          <w:tcPr>
            <w:tcW w:w="8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1"/>
        </w:trPr>
        <w:tc>
          <w:tcPr>
            <w:tcW w:w="8240" w:type="dxa"/>
            <w:vAlign w:val="bottom"/>
          </w:tcPr>
          <w:p>
            <w:pPr>
              <w:ind w:left="740"/>
              <w:spacing w:after="0"/>
              <w:rPr>
                <w:sz w:val="20"/>
                <w:szCs w:val="20"/>
                <w:color w:val="auto"/>
              </w:rPr>
            </w:pPr>
            <w:r>
              <w:rPr>
                <w:rFonts w:ascii="Arial" w:cs="Arial" w:eastAsia="Arial" w:hAnsi="Arial"/>
                <w:sz w:val="11"/>
                <w:szCs w:val="11"/>
                <w:color w:val="auto"/>
              </w:rPr>
              <w:t>Net cash (used in) provided by financing activities</w:t>
            </w:r>
          </w:p>
        </w:tc>
        <w:tc>
          <w:tcPr>
            <w:tcW w:w="7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(4,014 )</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8,691</w:t>
            </w:r>
          </w:p>
        </w:tc>
        <w:tc>
          <w:tcPr>
            <w:tcW w:w="100" w:type="dxa"/>
            <w:vAlign w:val="bottom"/>
          </w:tcPr>
          <w:p>
            <w:pPr>
              <w:spacing w:after="0"/>
              <w:rPr>
                <w:sz w:val="12"/>
                <w:szCs w:val="12"/>
                <w:color w:val="auto"/>
              </w:rPr>
            </w:pPr>
          </w:p>
        </w:tc>
      </w:tr>
      <w:tr>
        <w:trPr>
          <w:trHeight w:val="141"/>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EFFECT OF EXCHANGE RATE CHANGES ON CASH AND CASH EQUIVALENTS</w:t>
            </w:r>
          </w:p>
        </w:tc>
        <w:tc>
          <w:tcPr>
            <w:tcW w:w="7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1"/>
        </w:trPr>
        <w:tc>
          <w:tcPr>
            <w:tcW w:w="8240" w:type="dxa"/>
            <w:vAlign w:val="bottom"/>
          </w:tcPr>
          <w:p>
            <w:pPr>
              <w:ind w:left="20"/>
              <w:spacing w:after="0"/>
              <w:rPr>
                <w:sz w:val="20"/>
                <w:szCs w:val="20"/>
                <w:color w:val="auto"/>
              </w:rPr>
            </w:pPr>
            <w:r>
              <w:rPr>
                <w:rFonts w:ascii="Arial" w:cs="Arial" w:eastAsia="Arial" w:hAnsi="Arial"/>
                <w:sz w:val="11"/>
                <w:szCs w:val="11"/>
                <w:color w:val="auto"/>
              </w:rPr>
              <w:t>NET CHANGE IN CASH AND CASH EQUIVALENTS</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14,566</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12,953</w:t>
            </w:r>
          </w:p>
        </w:tc>
        <w:tc>
          <w:tcPr>
            <w:tcW w:w="100" w:type="dxa"/>
            <w:vAlign w:val="bottom"/>
          </w:tcPr>
          <w:p>
            <w:pPr>
              <w:spacing w:after="0"/>
              <w:rPr>
                <w:sz w:val="12"/>
                <w:szCs w:val="12"/>
                <w:color w:val="auto"/>
              </w:rPr>
            </w:pPr>
          </w:p>
        </w:tc>
      </w:tr>
      <w:tr>
        <w:trPr>
          <w:trHeight w:val="152"/>
        </w:trPr>
        <w:tc>
          <w:tcPr>
            <w:tcW w:w="82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AND CASH EQUIVALENTS:</w:t>
            </w:r>
          </w:p>
        </w:tc>
        <w:tc>
          <w:tcPr>
            <w:tcW w:w="7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Beginning of period</w:t>
            </w:r>
          </w:p>
        </w:tc>
        <w:tc>
          <w:tcPr>
            <w:tcW w:w="7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323,788</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182,544</w:t>
            </w:r>
          </w:p>
        </w:tc>
        <w:tc>
          <w:tcPr>
            <w:tcW w:w="100" w:type="dxa"/>
            <w:vAlign w:val="bottom"/>
          </w:tcPr>
          <w:p>
            <w:pPr>
              <w:spacing w:after="0"/>
              <w:rPr>
                <w:sz w:val="12"/>
                <w:szCs w:val="12"/>
                <w:color w:val="auto"/>
              </w:rPr>
            </w:pPr>
          </w:p>
        </w:tc>
      </w:tr>
      <w:tr>
        <w:trPr>
          <w:trHeight w:val="181"/>
        </w:trPr>
        <w:tc>
          <w:tcPr>
            <w:tcW w:w="8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End of period</w:t>
            </w:r>
          </w:p>
        </w:tc>
        <w:tc>
          <w:tcPr>
            <w:tcW w:w="78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338,354</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195,497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8"/>
        </w:trPr>
        <w:tc>
          <w:tcPr>
            <w:tcW w:w="8240" w:type="dxa"/>
            <w:vAlign w:val="bottom"/>
          </w:tcPr>
          <w:p>
            <w:pPr>
              <w:ind w:left="20"/>
              <w:spacing w:after="0"/>
              <w:rPr>
                <w:sz w:val="20"/>
                <w:szCs w:val="20"/>
                <w:color w:val="auto"/>
              </w:rPr>
            </w:pPr>
            <w:r>
              <w:rPr>
                <w:rFonts w:ascii="Arial" w:cs="Arial" w:eastAsia="Arial" w:hAnsi="Arial"/>
                <w:sz w:val="11"/>
                <w:szCs w:val="11"/>
                <w:color w:val="auto"/>
              </w:rPr>
              <w:t>NONCASH INVESTING AND FINANCING ACTIVITIES:</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8"/>
        </w:trPr>
        <w:tc>
          <w:tcPr>
            <w:tcW w:w="8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Noncash purchases of software, equipment, and property</w:t>
            </w:r>
          </w:p>
        </w:tc>
        <w:tc>
          <w:tcPr>
            <w:tcW w:w="78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626</w:t>
            </w:r>
          </w:p>
        </w:tc>
        <w:tc>
          <w:tcPr>
            <w:tcW w:w="2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28"/>
        </w:trPr>
        <w:tc>
          <w:tcPr>
            <w:tcW w:w="8240" w:type="dxa"/>
            <w:vAlign w:val="bottom"/>
          </w:tcPr>
          <w:p>
            <w:pPr>
              <w:ind w:left="200"/>
              <w:spacing w:after="0"/>
              <w:rPr>
                <w:sz w:val="20"/>
                <w:szCs w:val="20"/>
                <w:color w:val="auto"/>
              </w:rPr>
            </w:pPr>
            <w:r>
              <w:rPr>
                <w:rFonts w:ascii="Arial" w:cs="Arial" w:eastAsia="Arial" w:hAnsi="Arial"/>
                <w:sz w:val="11"/>
                <w:szCs w:val="11"/>
                <w:color w:val="auto"/>
              </w:rPr>
              <w:t>Contingent consideration related to business acquisition</w:t>
            </w:r>
          </w:p>
        </w:tc>
        <w:tc>
          <w:tcPr>
            <w:tcW w:w="780" w:type="dxa"/>
            <w:vAlign w:val="bottom"/>
          </w:tcPr>
          <w:p>
            <w:pPr>
              <w:jc w:val="right"/>
              <w:ind w:right="646"/>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1"/>
                <w:szCs w:val="11"/>
                <w:color w:val="auto"/>
              </w:rPr>
            </w:pPr>
          </w:p>
        </w:tc>
      </w:tr>
      <w:tr>
        <w:trPr>
          <w:trHeight w:val="20"/>
        </w:trPr>
        <w:tc>
          <w:tcPr>
            <w:tcW w:w="8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82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8240" w:type="dxa"/>
            <w:vAlign w:val="bottom"/>
          </w:tcPr>
          <w:p>
            <w:pPr>
              <w:ind w:left="200"/>
              <w:spacing w:after="0"/>
              <w:rPr>
                <w:sz w:val="20"/>
                <w:szCs w:val="20"/>
                <w:color w:val="auto"/>
              </w:rPr>
            </w:pPr>
            <w:r>
              <w:rPr>
                <w:rFonts w:ascii="Arial" w:cs="Arial" w:eastAsia="Arial" w:hAnsi="Arial"/>
                <w:sz w:val="11"/>
                <w:szCs w:val="11"/>
                <w:color w:val="auto"/>
              </w:rPr>
              <w:t>Cash paid for interest</w:t>
            </w:r>
          </w:p>
        </w:tc>
        <w:tc>
          <w:tcPr>
            <w:tcW w:w="78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13,446</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6,783</w:t>
            </w:r>
          </w:p>
        </w:tc>
        <w:tc>
          <w:tcPr>
            <w:tcW w:w="100" w:type="dxa"/>
            <w:vAlign w:val="bottom"/>
          </w:tcPr>
          <w:p>
            <w:pPr>
              <w:spacing w:after="0"/>
              <w:rPr>
                <w:sz w:val="12"/>
                <w:szCs w:val="12"/>
                <w:color w:val="auto"/>
              </w:rPr>
            </w:pPr>
          </w:p>
        </w:tc>
      </w:tr>
      <w:tr>
        <w:trPr>
          <w:trHeight w:val="20"/>
        </w:trPr>
        <w:tc>
          <w:tcPr>
            <w:tcW w:w="8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8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Cash paid for income taxes—Net</w:t>
            </w:r>
          </w:p>
        </w:tc>
        <w:tc>
          <w:tcPr>
            <w:tcW w:w="78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202</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-2249170</wp:posOffset>
            </wp:positionV>
            <wp:extent cx="67945" cy="102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-2249170</wp:posOffset>
            </wp:positionV>
            <wp:extent cx="67945" cy="102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-1865630</wp:posOffset>
            </wp:positionV>
            <wp:extent cx="67945" cy="110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1104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-1865630</wp:posOffset>
            </wp:positionV>
            <wp:extent cx="67945" cy="110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11049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-1286510</wp:posOffset>
            </wp:positionV>
            <wp:extent cx="67945" cy="110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1104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-1286510</wp:posOffset>
            </wp:positionV>
            <wp:extent cx="67945" cy="1104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11049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-1081405</wp:posOffset>
            </wp:positionV>
            <wp:extent cx="67945" cy="102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-1081405</wp:posOffset>
            </wp:positionV>
            <wp:extent cx="67945" cy="102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-689610</wp:posOffset>
            </wp:positionV>
            <wp:extent cx="1056640" cy="119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56640" cy="11938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-476885</wp:posOffset>
            </wp:positionV>
            <wp:extent cx="1056640" cy="144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56640" cy="14478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-24765</wp:posOffset>
            </wp:positionV>
            <wp:extent cx="6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-7620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 w:name="page11"/>
    <w:bookmarkEnd w:id="10"/>
    <w:p>
      <w:pPr>
        <w:jc w:val="center"/>
        <w:ind w:right="-12"/>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i w:val="1"/>
          <w:iCs w:val="1"/>
          <w:color w:val="auto"/>
        </w:rPr>
        <w:t>(Unaudited)</w:t>
      </w:r>
    </w:p>
    <w:p>
      <w:pPr>
        <w:spacing w:after="0" w:line="204" w:lineRule="exact"/>
        <w:rPr>
          <w:sz w:val="20"/>
          <w:szCs w:val="20"/>
          <w:color w:val="auto"/>
        </w:rPr>
      </w:pPr>
    </w:p>
    <w:p>
      <w:pPr>
        <w:ind w:left="513" w:hanging="513"/>
        <w:spacing w:after="0"/>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19" w:lineRule="exact"/>
        <w:rPr>
          <w:sz w:val="20"/>
          <w:szCs w:val="20"/>
          <w:color w:val="auto"/>
        </w:rPr>
      </w:pPr>
    </w:p>
    <w:p>
      <w:pPr>
        <w:ind w:left="513" w:right="40" w:hanging="3"/>
        <w:spacing w:after="0" w:line="255"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Intelligent Solutions Holdings Inc. (the "Company"),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81" w:lineRule="exact"/>
        <w:rPr>
          <w:sz w:val="20"/>
          <w:szCs w:val="20"/>
          <w:color w:val="auto"/>
        </w:rPr>
      </w:pPr>
    </w:p>
    <w:p>
      <w:pPr>
        <w:ind w:left="513" w:right="20"/>
        <w:spacing w:after="0" w:line="274" w:lineRule="auto"/>
        <w:rPr>
          <w:sz w:val="20"/>
          <w:szCs w:val="20"/>
          <w:color w:val="auto"/>
        </w:rPr>
      </w:pPr>
      <w:r>
        <w:rPr>
          <w:rFonts w:ascii="Arial" w:cs="Arial" w:eastAsia="Arial" w:hAnsi="Arial"/>
          <w:sz w:val="18"/>
          <w:szCs w:val="18"/>
          <w:color w:val="auto"/>
        </w:rPr>
        <w:t>The Company is headquartered in Chicago, Illinois. The Company’s primary operations are in the United States (“U.S.”) and it also has operations in China.</w:t>
      </w:r>
    </w:p>
    <w:p>
      <w:pPr>
        <w:spacing w:after="0" w:line="64" w:lineRule="exact"/>
        <w:rPr>
          <w:sz w:val="20"/>
          <w:szCs w:val="20"/>
          <w:color w:val="auto"/>
        </w:rPr>
      </w:pPr>
    </w:p>
    <w:p>
      <w:pPr>
        <w:ind w:left="513" w:right="120"/>
        <w:spacing w:after="0" w:line="291" w:lineRule="auto"/>
        <w:rPr>
          <w:sz w:val="20"/>
          <w:szCs w:val="20"/>
          <w:color w:val="auto"/>
        </w:rPr>
      </w:pPr>
      <w:r>
        <w:rPr>
          <w:rFonts w:ascii="Arial" w:cs="Arial" w:eastAsia="Arial" w:hAnsi="Arial"/>
          <w:sz w:val="16"/>
          <w:szCs w:val="16"/>
          <w:color w:val="auto"/>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(the "Closing") of the transactions contemplated by the Business Combination Agreement (the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268" w:lineRule="exact"/>
        <w:rPr>
          <w:sz w:val="20"/>
          <w:szCs w:val="20"/>
          <w:color w:val="auto"/>
        </w:rPr>
      </w:pPr>
    </w:p>
    <w:p>
      <w:pPr>
        <w:ind w:left="513" w:hanging="513"/>
        <w:spacing w:after="0"/>
        <w:tabs>
          <w:tab w:leader="none" w:pos="51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5" w:lineRule="exact"/>
        <w:rPr>
          <w:rFonts w:ascii="Arial" w:cs="Arial" w:eastAsia="Arial" w:hAnsi="Arial"/>
          <w:sz w:val="18"/>
          <w:szCs w:val="18"/>
          <w:b w:val="1"/>
          <w:bCs w:val="1"/>
          <w:color w:val="auto"/>
        </w:rPr>
      </w:pPr>
    </w:p>
    <w:p>
      <w:pPr>
        <w:ind w:left="513" w:right="240"/>
        <w:spacing w:after="0" w:line="290" w:lineRule="auto"/>
        <w:rPr>
          <w:rFonts w:ascii="Arial" w:cs="Arial" w:eastAsia="Arial" w:hAnsi="Arial"/>
          <w:sz w:val="18"/>
          <w:szCs w:val="18"/>
          <w:b w:val="1"/>
          <w:bCs w:val="1"/>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condensed consolidated balance sheets as of March 31, 2023 and December 31, 2022, the condensed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operations and comprehensive income for the three months ended March 31, 2023 and 2022, the condensed consolidated statements of mezzanine equity and stockholders’ equity for the three months ended March 31, 2023 and 2022, and the condensed consolidated statements of cash flows for the three months ended March 31, 2023 and 2022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58" w:lineRule="exact"/>
        <w:rPr>
          <w:rFonts w:ascii="Arial" w:cs="Arial" w:eastAsia="Arial" w:hAnsi="Arial"/>
          <w:sz w:val="18"/>
          <w:szCs w:val="18"/>
          <w:b w:val="1"/>
          <w:bCs w:val="1"/>
          <w:color w:val="auto"/>
        </w:rPr>
      </w:pPr>
    </w:p>
    <w:p>
      <w:pPr>
        <w:ind w:left="513" w:right="3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71" w:lineRule="exact"/>
        <w:rPr>
          <w:rFonts w:ascii="Arial" w:cs="Arial" w:eastAsia="Arial" w:hAnsi="Arial"/>
          <w:sz w:val="18"/>
          <w:szCs w:val="18"/>
          <w:b w:val="1"/>
          <w:bCs w:val="1"/>
          <w:color w:val="auto"/>
        </w:rPr>
      </w:pPr>
    </w:p>
    <w:p>
      <w:pPr>
        <w:ind w:left="513"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2022.</w:t>
      </w:r>
    </w:p>
    <w:p>
      <w:pPr>
        <w:spacing w:after="0" w:line="54" w:lineRule="exact"/>
        <w:rPr>
          <w:rFonts w:ascii="Arial" w:cs="Arial" w:eastAsia="Arial" w:hAnsi="Arial"/>
          <w:sz w:val="18"/>
          <w:szCs w:val="18"/>
          <w:b w:val="1"/>
          <w:bCs w:val="1"/>
          <w:color w:val="auto"/>
        </w:rPr>
      </w:pPr>
    </w:p>
    <w:p>
      <w:pPr>
        <w:ind w:left="513"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2022. There have been no material changes to the significant accounting policies since December 31, 2022.</w:t>
      </w:r>
    </w:p>
    <w:p>
      <w:pPr>
        <w:spacing w:after="0" w:line="72" w:lineRule="exact"/>
        <w:rPr>
          <w:rFonts w:ascii="Arial" w:cs="Arial" w:eastAsia="Arial" w:hAnsi="Arial"/>
          <w:sz w:val="18"/>
          <w:szCs w:val="18"/>
          <w:b w:val="1"/>
          <w:bCs w:val="1"/>
          <w:color w:val="auto"/>
        </w:rPr>
      </w:pPr>
    </w:p>
    <w:p>
      <w:pPr>
        <w:ind w:left="513" w:right="4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color w:val="auto"/>
        </w:rPr>
        <w:t>Basis of Accounting</w:t>
      </w:r>
      <w:r>
        <w:rPr>
          <w:rFonts w:ascii="Arial" w:cs="Arial" w:eastAsia="Arial" w:hAnsi="Arial"/>
          <w:sz w:val="17"/>
          <w:szCs w:val="17"/>
          <w:color w:val="auto"/>
        </w:rPr>
        <w:t>—The accompanying condensed consolidated financial statements are prepared in accordance with GAAP and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p>
    <w:p>
      <w:pPr>
        <w:spacing w:after="0" w:line="57" w:lineRule="exact"/>
        <w:rPr>
          <w:rFonts w:ascii="Arial" w:cs="Arial" w:eastAsia="Arial" w:hAnsi="Arial"/>
          <w:sz w:val="18"/>
          <w:szCs w:val="18"/>
          <w:b w:val="1"/>
          <w:bCs w:val="1"/>
          <w:color w:val="auto"/>
        </w:rPr>
      </w:pPr>
    </w:p>
    <w:p>
      <w:pPr>
        <w:ind w:left="513"/>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the condensed consolidated financial statements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and the disclosures of contingent amounts in the Company’s condensed consolidated financial statements and the accompanying notes. Although the Company regularly assesses these estimates, actual results could differ from those estimates. Changes in estimates are recorded in the period in which they become known. The</w:t>
      </w:r>
    </w:p>
    <w:p>
      <w:pPr>
        <w:spacing w:after="0" w:line="18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13"/>
          </w:cols>
          <w:pgMar w:left="327" w:top="443" w:right="359" w:bottom="1440" w:gutter="0" w:footer="0" w:header="0"/>
        </w:sectPr>
      </w:pPr>
    </w:p>
    <w:bookmarkStart w:id="11" w:name="page12"/>
    <w:bookmarkEnd w:id="11"/>
    <w:p>
      <w:pPr>
        <w:ind w:left="520" w:right="40"/>
        <w:spacing w:after="0" w:line="294" w:lineRule="auto"/>
        <w:rPr>
          <w:sz w:val="20"/>
          <w:szCs w:val="20"/>
          <w:color w:val="auto"/>
        </w:rPr>
      </w:pPr>
      <w:r>
        <w:rPr>
          <w:rFonts w:ascii="Arial" w:cs="Arial" w:eastAsia="Arial" w:hAnsi="Arial"/>
          <w:sz w:val="16"/>
          <w:szCs w:val="16"/>
          <w:color w:val="auto"/>
        </w:rPr>
        <w:t>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measurement of expected contingent consideration in connection with business acquisitions.</w:t>
      </w:r>
    </w:p>
    <w:p>
      <w:pPr>
        <w:spacing w:after="0" w:line="50" w:lineRule="exact"/>
        <w:rPr>
          <w:sz w:val="20"/>
          <w:szCs w:val="20"/>
          <w:color w:val="auto"/>
        </w:rPr>
      </w:pPr>
    </w:p>
    <w:p>
      <w:pPr>
        <w:ind w:left="520" w:right="60"/>
        <w:spacing w:after="0" w:line="289" w:lineRule="auto"/>
        <w:rPr>
          <w:sz w:val="20"/>
          <w:szCs w:val="20"/>
          <w:color w:val="auto"/>
        </w:rPr>
      </w:pPr>
      <w:r>
        <w:rPr>
          <w:rFonts w:ascii="Arial" w:cs="Arial" w:eastAsia="Arial" w:hAnsi="Arial"/>
          <w:sz w:val="16"/>
          <w:szCs w:val="16"/>
          <w:b w:val="1"/>
          <w:bCs w:val="1"/>
          <w:color w:val="auto"/>
        </w:rPr>
        <w:t>Recently Issued Accounting Pronouncements</w:t>
      </w:r>
      <w:r>
        <w:rPr>
          <w:rFonts w:ascii="Arial" w:cs="Arial" w:eastAsia="Arial" w:hAnsi="Arial"/>
          <w:sz w:val="16"/>
          <w:szCs w:val="16"/>
          <w:color w:val="auto"/>
        </w:rPr>
        <w:t>—In March 2020, the FASB issued Accounting Standards Update ("ASU") 2020-04,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Reference Rate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Reform (Topic 848): Facilitation of the Effects of Reference Rate Reform on Financial Reporting</w:t>
      </w:r>
      <w:r>
        <w:rPr>
          <w:rFonts w:ascii="Arial" w:cs="Arial" w:eastAsia="Arial" w:hAnsi="Arial"/>
          <w:sz w:val="16"/>
          <w:szCs w:val="16"/>
          <w:color w:val="auto"/>
        </w:rPr>
        <w:t>, and in January 2021 subsequently issued ASU</w:t>
      </w:r>
      <w:r>
        <w:rPr>
          <w:rFonts w:ascii="Arial" w:cs="Arial" w:eastAsia="Arial" w:hAnsi="Arial"/>
          <w:sz w:val="16"/>
          <w:szCs w:val="16"/>
          <w:i w:val="1"/>
          <w:iCs w:val="1"/>
          <w:color w:val="auto"/>
        </w:rPr>
        <w:t xml:space="preserve"> </w:t>
      </w:r>
      <w:r>
        <w:rPr>
          <w:rFonts w:ascii="Arial" w:cs="Arial" w:eastAsia="Arial" w:hAnsi="Arial"/>
          <w:sz w:val="16"/>
          <w:szCs w:val="16"/>
          <w:color w:val="auto"/>
        </w:rPr>
        <w:t>2021-01, which refines the scope of Topic 848. These ASUs provide optional 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In December 2022, the FASB issued ASU 2022-06 that defers the sunset date for applying the reference rate reform relief in Accounting Standards Codification ("ASC") 848 to December 31, 2024. While there has been no material effect to our condensed consolidated financial statements, the guidance will potentially be applicable when we modify the current reference rate of LIBOR to another reference rate in our First Lien Credit Agreement and related interest rate cap agreements (see Note 14).</w:t>
      </w:r>
    </w:p>
    <w:p>
      <w:pPr>
        <w:spacing w:after="0" w:line="268" w:lineRule="exact"/>
        <w:rPr>
          <w:sz w:val="20"/>
          <w:szCs w:val="20"/>
          <w:color w:val="auto"/>
        </w:rPr>
      </w:pPr>
    </w:p>
    <w:p>
      <w:pPr>
        <w:ind w:left="520" w:hanging="513"/>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19" w:lineRule="exact"/>
        <w:rPr>
          <w:rFonts w:ascii="Arial" w:cs="Arial" w:eastAsia="Arial" w:hAnsi="Arial"/>
          <w:sz w:val="18"/>
          <w:szCs w:val="18"/>
          <w:b w:val="1"/>
          <w:bCs w:val="1"/>
          <w:color w:val="auto"/>
        </w:rPr>
      </w:pPr>
    </w:p>
    <w:p>
      <w:pPr>
        <w:ind w:left="520" w:right="2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broadens the Company’s portfolio of cloud-based solutions available to its insurance customers.</w:t>
      </w:r>
    </w:p>
    <w:p>
      <w:pPr>
        <w:spacing w:after="0" w:line="79" w:lineRule="exact"/>
        <w:rPr>
          <w:rFonts w:ascii="Arial" w:cs="Arial" w:eastAsia="Arial" w:hAnsi="Arial"/>
          <w:sz w:val="18"/>
          <w:szCs w:val="18"/>
          <w:b w:val="1"/>
          <w:bCs w:val="1"/>
          <w:color w:val="auto"/>
        </w:rPr>
      </w:pPr>
    </w:p>
    <w:p>
      <w:pPr>
        <w:jc w:val="both"/>
        <w:ind w:left="520" w:right="6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w:t>
      </w:r>
    </w:p>
    <w:p>
      <w:pPr>
        <w:spacing w:after="0" w:line="57" w:lineRule="exact"/>
        <w:rPr>
          <w:rFonts w:ascii="Arial" w:cs="Arial" w:eastAsia="Arial" w:hAnsi="Arial"/>
          <w:sz w:val="18"/>
          <w:szCs w:val="18"/>
          <w:b w:val="1"/>
          <w:bCs w:val="1"/>
          <w:color w:val="auto"/>
        </w:rPr>
      </w:pPr>
    </w:p>
    <w:p>
      <w:pPr>
        <w:ind w:left="52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8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acquisition date fair value of the consideration transferred was $32.5 million, which consisted of the following (in thousands):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42"/>
        </w:trPr>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Cash paid through closing</w:t>
            </w:r>
          </w:p>
        </w:tc>
        <w:tc>
          <w:tcPr>
            <w:tcW w:w="700" w:type="dxa"/>
            <w:vAlign w:val="bottom"/>
            <w:shd w:val="clear" w:color="auto" w:fill="CFF0FC"/>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100" w:type="dxa"/>
            <w:vAlign w:val="bottom"/>
            <w:shd w:val="clear" w:color="auto" w:fill="CFF0FC"/>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Arial" w:cs="Arial" w:eastAsia="Arial" w:hAnsi="Arial"/>
                <w:sz w:val="18"/>
                <w:szCs w:val="18"/>
                <w:color w:val="auto"/>
              </w:rPr>
              <w:t>Fair value of contingent earnout consideration</w:t>
            </w:r>
          </w:p>
        </w:tc>
        <w:tc>
          <w:tcPr>
            <w:tcW w:w="7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r>
        <w:trPr>
          <w:trHeight w:val="275"/>
        </w:trPr>
        <w:tc>
          <w:tcPr>
            <w:tcW w:w="8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700" w:type="dxa"/>
            <w:vAlign w:val="bottom"/>
            <w:tcBorders>
              <w:bottom w:val="single" w:sz="8" w:color="auto"/>
            </w:tcBorders>
            <w:shd w:val="clear" w:color="auto" w:fill="CFF0FC"/>
          </w:tcPr>
          <w:p>
            <w:pPr>
              <w:jc w:val="right"/>
              <w:ind w:right="51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right="20"/>
        <w:spacing w:after="0" w:line="299" w:lineRule="auto"/>
        <w:rPr>
          <w:sz w:val="20"/>
          <w:szCs w:val="20"/>
          <w:color w:val="auto"/>
        </w:rPr>
      </w:pPr>
      <w:r>
        <w:rPr>
          <w:rFonts w:ascii="Arial" w:cs="Arial" w:eastAsia="Arial" w:hAnsi="Arial"/>
          <w:sz w:val="16"/>
          <w:szCs w:val="16"/>
          <w:color w:val="auto"/>
        </w:rPr>
        <w:t xml:space="preserve">The acquisition was accounted for as a business combination and reflects the application of acquisition accounting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total purchase consideration was allocated to the assets acquired and liabilities assumed based on their fair values as of the acquisition date with the excess purchase price assigned to goodwill. The goodwill was primarily attributable to the expected synergies from the combined service offerings and the value of the acquired workforce. The goodwill is not deductible for tax purposes.</w:t>
      </w:r>
    </w:p>
    <w:p>
      <w:pPr>
        <w:spacing w:after="0" w:line="49" w:lineRule="exact"/>
        <w:rPr>
          <w:sz w:val="20"/>
          <w:szCs w:val="20"/>
          <w:color w:val="auto"/>
        </w:rPr>
      </w:pPr>
    </w:p>
    <w:p>
      <w:pPr>
        <w:ind w:left="520" w:right="40"/>
        <w:spacing w:after="0" w:line="289" w:lineRule="auto"/>
        <w:rPr>
          <w:sz w:val="20"/>
          <w:szCs w:val="20"/>
          <w:color w:val="auto"/>
        </w:rPr>
      </w:pPr>
      <w:r>
        <w:rPr>
          <w:rFonts w:ascii="Arial" w:cs="Arial" w:eastAsia="Arial" w:hAnsi="Arial"/>
          <w:sz w:val="16"/>
          <w:szCs w:val="16"/>
          <w:color w:val="auto"/>
        </w:rPr>
        <w:t>The Company’s estimates of the fair values of the assets acquired, liabilities assumed and contingent consideration were based on information that was available at the date of the acquisition.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In December 2022, the Company recorded a measurement period adjustment to reflect the facts and circumstances in existence at the acquisition date. The adjustment related to the valuation of the deferred tax liabilities for $0.9 million, with a corresponding increase in goodwill. There were no other significant changes to the preliminary purchase price allocation. The purchase price allocation of estimated fair values was finalized as of December 31, 2022.</w:t>
      </w:r>
    </w:p>
    <w:p>
      <w:pPr>
        <w:spacing w:after="0" w:line="60" w:lineRule="exact"/>
        <w:rPr>
          <w:sz w:val="20"/>
          <w:szCs w:val="20"/>
          <w:color w:val="auto"/>
        </w:rPr>
      </w:pPr>
    </w:p>
    <w:p>
      <w:pPr>
        <w:ind w:left="520" w:right="620"/>
        <w:spacing w:after="0" w:line="274" w:lineRule="auto"/>
        <w:rPr>
          <w:sz w:val="20"/>
          <w:szCs w:val="20"/>
          <w:color w:val="auto"/>
        </w:rPr>
      </w:pPr>
      <w:r>
        <w:rPr>
          <w:rFonts w:ascii="Arial" w:cs="Arial" w:eastAsia="Arial" w:hAnsi="Arial"/>
          <w:sz w:val="18"/>
          <w:szCs w:val="18"/>
          <w:color w:val="auto"/>
        </w:rPr>
        <w:t>The following table summarizes the final allocation of the consideration to the fair values of the assets acquired and liabilities assumed at the acquisition date (in thousands):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242"/>
        </w:trPr>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7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87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700" w:type="dxa"/>
            <w:vAlign w:val="bottom"/>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r>
      <w:tr>
        <w:trPr>
          <w:trHeight w:val="248"/>
        </w:trPr>
        <w:tc>
          <w:tcPr>
            <w:tcW w:w="8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Intangible asset - acquired technology</w:t>
            </w:r>
          </w:p>
        </w:tc>
        <w:tc>
          <w:tcPr>
            <w:tcW w:w="7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r>
      <w:tr>
        <w:trPr>
          <w:trHeight w:val="248"/>
        </w:trPr>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7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87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r>
      <w:tr>
        <w:trPr>
          <w:trHeight w:val="248"/>
        </w:trPr>
        <w:tc>
          <w:tcPr>
            <w:tcW w:w="8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tax liabilities</w:t>
            </w:r>
          </w:p>
        </w:tc>
        <w:tc>
          <w:tcPr>
            <w:tcW w:w="7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876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r>
      <w:tr>
        <w:trPr>
          <w:trHeight w:val="235"/>
        </w:trPr>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7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FF0FC"/>
          </w:tcPr>
          <w:p>
            <w:pPr>
              <w:spacing w:after="0"/>
              <w:rPr>
                <w:sz w:val="20"/>
                <w:szCs w:val="20"/>
                <w:color w:val="auto"/>
              </w:rPr>
            </w:pPr>
          </w:p>
        </w:tc>
      </w:tr>
      <w:tr>
        <w:trPr>
          <w:trHeight w:val="242"/>
        </w:trPr>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28,245</w:t>
            </w:r>
          </w:p>
        </w:tc>
        <w:tc>
          <w:tcPr>
            <w:tcW w:w="100" w:type="dxa"/>
            <w:vAlign w:val="bottom"/>
          </w:tcPr>
          <w:p>
            <w:pPr>
              <w:spacing w:after="0"/>
              <w:rPr>
                <w:sz w:val="21"/>
                <w:szCs w:val="21"/>
                <w:color w:val="auto"/>
              </w:rPr>
            </w:pPr>
          </w:p>
        </w:tc>
      </w:tr>
      <w:tr>
        <w:trPr>
          <w:trHeight w:val="275"/>
        </w:trPr>
        <w:tc>
          <w:tcPr>
            <w:tcW w:w="8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700" w:type="dxa"/>
            <w:vAlign w:val="bottom"/>
            <w:tcBorders>
              <w:bottom w:val="single" w:sz="8" w:color="auto"/>
            </w:tcBorders>
            <w:shd w:val="clear" w:color="auto" w:fill="CFF0FC"/>
          </w:tcPr>
          <w:p>
            <w:pPr>
              <w:jc w:val="right"/>
              <w:ind w:right="49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-1286510</wp:posOffset>
            </wp:positionV>
            <wp:extent cx="59690" cy="161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619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-664210</wp:posOffset>
            </wp:positionV>
            <wp:extent cx="59690" cy="170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acquired technology intangible asset has an estimated useful life of seven years and is being amortized on a straight-line basis.</w:t>
      </w:r>
    </w:p>
    <w:p>
      <w:pPr>
        <w:spacing w:after="0" w:line="115" w:lineRule="exact"/>
        <w:rPr>
          <w:sz w:val="20"/>
          <w:szCs w:val="20"/>
          <w:color w:val="auto"/>
        </w:rPr>
      </w:pPr>
    </w:p>
    <w:p>
      <w:pPr>
        <w:ind w:left="520" w:right="80"/>
        <w:spacing w:after="0" w:line="261" w:lineRule="auto"/>
        <w:rPr>
          <w:sz w:val="20"/>
          <w:szCs w:val="20"/>
          <w:color w:val="auto"/>
        </w:rPr>
      </w:pPr>
      <w:r>
        <w:rPr>
          <w:rFonts w:ascii="Arial" w:cs="Arial" w:eastAsia="Arial" w:hAnsi="Arial"/>
          <w:sz w:val="18"/>
          <w:szCs w:val="18"/>
          <w:color w:val="auto"/>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p>
    <w:p>
      <w:pPr>
        <w:spacing w:after="0" w:line="76"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color w:val="auto"/>
        </w:rPr>
        <w:t>The transaction costs associated with the acquisition totaled $1.2 million, of which $1.1 million were incurred during the three months ended March 31, 2022 and are included in general and administrative expenses within the accompanying condensed consolidated statement of operations and comprehensive income.</w:t>
      </w:r>
    </w:p>
    <w:p>
      <w:pPr>
        <w:spacing w:after="0" w:line="113"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9" w:lineRule="exact"/>
        <w:rPr>
          <w:rFonts w:ascii="Arial" w:cs="Arial" w:eastAsia="Arial" w:hAnsi="Arial"/>
          <w:sz w:val="18"/>
          <w:szCs w:val="18"/>
          <w:b w:val="1"/>
          <w:bCs w:val="1"/>
          <w:color w:val="auto"/>
        </w:rPr>
      </w:pPr>
    </w:p>
    <w:p>
      <w:pPr>
        <w:ind w:left="520" w:right="280"/>
        <w:spacing w:after="0" w:line="274" w:lineRule="auto"/>
        <w:rPr>
          <w:rFonts w:ascii="Arial" w:cs="Arial" w:eastAsia="Arial" w:hAnsi="Arial"/>
          <w:sz w:val="18"/>
          <w:szCs w:val="18"/>
          <w:b w:val="1"/>
          <w:bCs w:val="1"/>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—The Company provides disaggregation of revenue based on type of service as it believes these categories best depict</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nature, amount, timing and uncertainty of revenue and cash flows are affected by economic factors.</w:t>
      </w:r>
    </w:p>
    <w:p>
      <w:pPr>
        <w:spacing w:after="0" w:line="6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revenue by type of service for the three months ended March 31, 2023 and 2022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4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2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6"/>
              </w:rPr>
              <w:t>For the Three Months Ended</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468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771"/>
              <w:spacing w:after="0"/>
              <w:rPr>
                <w:sz w:val="20"/>
                <w:szCs w:val="20"/>
                <w:color w:val="auto"/>
              </w:rPr>
            </w:pPr>
            <w:r>
              <w:rPr>
                <w:rFonts w:ascii="Arial" w:cs="Arial" w:eastAsia="Arial" w:hAnsi="Arial"/>
                <w:sz w:val="18"/>
                <w:szCs w:val="18"/>
                <w:b w:val="1"/>
                <w:bCs w:val="1"/>
                <w:color w:val="auto"/>
              </w:rPr>
              <w:t>March 31,</w:t>
            </w:r>
          </w:p>
        </w:tc>
        <w:tc>
          <w:tcPr>
            <w:tcW w:w="1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68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Software subscriptions</w:t>
            </w:r>
          </w:p>
        </w:tc>
        <w:tc>
          <w:tcPr>
            <w:tcW w:w="1680" w:type="dxa"/>
            <w:vAlign w:val="bottom"/>
            <w:shd w:val="clear" w:color="auto" w:fill="CFF0FC"/>
          </w:tcPr>
          <w:p>
            <w:pPr>
              <w:jc w:val="right"/>
              <w:ind w:right="14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196,256</w:t>
            </w:r>
          </w:p>
        </w:tc>
        <w:tc>
          <w:tcPr>
            <w:tcW w:w="4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179,818</w:t>
            </w:r>
          </w:p>
        </w:tc>
        <w:tc>
          <w:tcPr>
            <w:tcW w:w="100" w:type="dxa"/>
            <w:vAlign w:val="bottom"/>
            <w:shd w:val="clear" w:color="auto" w:fill="CFF0FC"/>
          </w:tcPr>
          <w:p>
            <w:pPr>
              <w:spacing w:after="0"/>
              <w:rPr>
                <w:sz w:val="20"/>
                <w:szCs w:val="20"/>
                <w:color w:val="auto"/>
              </w:rPr>
            </w:pPr>
          </w:p>
        </w:tc>
      </w:tr>
      <w:tr>
        <w:trPr>
          <w:trHeight w:val="242"/>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c>
          <w:tcPr>
            <w:tcW w:w="4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21"/>
                <w:szCs w:val="21"/>
                <w:color w:val="auto"/>
              </w:rPr>
            </w:pPr>
          </w:p>
        </w:tc>
      </w:tr>
      <w:tr>
        <w:trPr>
          <w:trHeight w:val="275"/>
        </w:trPr>
        <w:tc>
          <w:tcPr>
            <w:tcW w:w="4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1680" w:type="dxa"/>
            <w:vAlign w:val="bottom"/>
            <w:tcBorders>
              <w:bottom w:val="single" w:sz="8" w:color="auto"/>
            </w:tcBorders>
            <w:shd w:val="clear" w:color="auto" w:fill="CFF0FC"/>
          </w:tcPr>
          <w:p>
            <w:pPr>
              <w:jc w:val="right"/>
              <w:ind w:right="14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204,919</w:t>
            </w:r>
          </w:p>
        </w:tc>
        <w:tc>
          <w:tcPr>
            <w:tcW w:w="4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831"/>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186,823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-24765</wp:posOffset>
            </wp:positionV>
            <wp:extent cx="6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-7620</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0" w:lineRule="exact"/>
        <w:rPr>
          <w:sz w:val="20"/>
          <w:szCs w:val="20"/>
          <w:color w:val="auto"/>
        </w:rPr>
      </w:pPr>
    </w:p>
    <w:p>
      <w:pPr>
        <w:ind w:left="520" w:right="120"/>
        <w:spacing w:after="0" w:line="271" w:lineRule="auto"/>
        <w:rPr>
          <w:sz w:val="20"/>
          <w:szCs w:val="20"/>
          <w:color w:val="auto"/>
        </w:rPr>
      </w:pPr>
      <w:r>
        <w:rPr>
          <w:rFonts w:ascii="Arial" w:cs="Arial" w:eastAsia="Arial" w:hAnsi="Arial"/>
          <w:sz w:val="17"/>
          <w:szCs w:val="17"/>
          <w:i w:val="1"/>
          <w:iCs w:val="1"/>
          <w:color w:val="auto"/>
        </w:rPr>
        <w:t>Transaction Price Allocated to the Remaining Performance Obligations</w:t>
      </w:r>
      <w:r>
        <w:rPr>
          <w:rFonts w:ascii="Arial" w:cs="Arial" w:eastAsia="Arial" w:hAnsi="Arial"/>
          <w:sz w:val="17"/>
          <w:szCs w:val="17"/>
          <w:color w:val="auto"/>
        </w:rPr>
        <w:t>—Remaining performance obligations represent contracted revenue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yet been recognized, which includes deferred revenue and amounts that will be invoiced and recognized as revenue in future periods. As of March 31, 2023, approximately $1,519 million of revenue is expected to be recognized from remaining performance obligations in the amount of approximately $554 million during the following twelve months, and approximately $965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71"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i w:val="1"/>
          <w:iCs w:val="1"/>
          <w:color w:val="auto"/>
        </w:rPr>
        <w:t>Deferred Revenue</w:t>
      </w:r>
      <w:r>
        <w:rPr>
          <w:rFonts w:ascii="Arial" w:cs="Arial" w:eastAsia="Arial" w:hAnsi="Arial"/>
          <w:sz w:val="18"/>
          <w:szCs w:val="18"/>
          <w:color w:val="auto"/>
        </w:rPr>
        <w:t>—Revenue recognized for the three months ended March 31, 2023 from amounts in deferred revenue as of December 31, 2022 was</w:t>
      </w:r>
      <w:r>
        <w:rPr>
          <w:rFonts w:ascii="Arial" w:cs="Arial" w:eastAsia="Arial" w:hAnsi="Arial"/>
          <w:sz w:val="18"/>
          <w:szCs w:val="18"/>
          <w:i w:val="1"/>
          <w:iCs w:val="1"/>
          <w:color w:val="auto"/>
        </w:rPr>
        <w:t xml:space="preserve"> </w:t>
      </w:r>
      <w:r>
        <w:rPr>
          <w:rFonts w:ascii="Arial" w:cs="Arial" w:eastAsia="Arial" w:hAnsi="Arial"/>
          <w:sz w:val="18"/>
          <w:szCs w:val="18"/>
          <w:color w:val="auto"/>
        </w:rPr>
        <w:t>$33.8 million. Revenue recognized for the three months ended March 31, 2022 from amounts in deferred revenue as of December 31, 2021 was $29.7 million</w:t>
      </w:r>
      <w:r>
        <w:rPr>
          <w:rFonts w:ascii="Arial" w:cs="Arial" w:eastAsia="Arial" w:hAnsi="Arial"/>
          <w:sz w:val="21"/>
          <w:szCs w:val="21"/>
          <w:color w:val="auto"/>
        </w:rPr>
        <w:t>.</w:t>
      </w:r>
    </w:p>
    <w:p>
      <w:pPr>
        <w:spacing w:after="0" w:line="66" w:lineRule="exact"/>
        <w:rPr>
          <w:sz w:val="20"/>
          <w:szCs w:val="20"/>
          <w:color w:val="auto"/>
        </w:rPr>
      </w:pPr>
    </w:p>
    <w:p>
      <w:pPr>
        <w:ind w:left="520" w:right="580"/>
        <w:spacing w:after="0" w:line="274" w:lineRule="auto"/>
        <w:rPr>
          <w:sz w:val="20"/>
          <w:szCs w:val="20"/>
          <w:color w:val="auto"/>
        </w:rPr>
      </w:pPr>
      <w:r>
        <w:rPr>
          <w:rFonts w:ascii="Arial" w:cs="Arial" w:eastAsia="Arial" w:hAnsi="Arial"/>
          <w:sz w:val="18"/>
          <w:szCs w:val="18"/>
          <w:i w:val="1"/>
          <w:iCs w:val="1"/>
          <w:color w:val="auto"/>
        </w:rPr>
        <w:t>Contract Assets and Liabilities</w:t>
      </w:r>
      <w:r>
        <w:rPr>
          <w:rFonts w:ascii="Arial" w:cs="Arial" w:eastAsia="Arial" w:hAnsi="Arial"/>
          <w:sz w:val="18"/>
          <w:szCs w:val="18"/>
          <w:color w:val="auto"/>
        </w:rPr>
        <w:t>—The opening and closing balances of the Company’s receivables, contract assets and contract liabilities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receivables-net of allowances</w:t>
            </w:r>
          </w:p>
        </w:tc>
        <w:tc>
          <w:tcPr>
            <w:tcW w:w="3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92,268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98,353</w:t>
            </w:r>
          </w:p>
        </w:tc>
        <w:tc>
          <w:tcPr>
            <w:tcW w:w="100" w:type="dxa"/>
            <w:vAlign w:val="bottom"/>
            <w:shd w:val="clear" w:color="auto" w:fill="CFF0FC"/>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contract costs</w:t>
            </w:r>
          </w:p>
        </w:tc>
        <w:tc>
          <w:tcPr>
            <w:tcW w:w="3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20,161</w:t>
            </w:r>
          </w:p>
        </w:tc>
        <w:tc>
          <w:tcPr>
            <w:tcW w:w="100" w:type="dxa"/>
            <w:vAlign w:val="bottom"/>
            <w:shd w:val="clear" w:color="auto" w:fill="CFF0FC"/>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assets (accounts receivable, non-current)</w:t>
            </w: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16,437</w:t>
            </w:r>
          </w:p>
        </w:tc>
        <w:tc>
          <w:tcPr>
            <w:tcW w:w="10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w:t>
            </w:r>
          </w:p>
        </w:tc>
        <w:tc>
          <w:tcPr>
            <w:tcW w:w="3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shd w:val="clear" w:color="auto" w:fill="CFF0FC"/>
          </w:tcPr>
          <w:p>
            <w:pPr>
              <w:spacing w:after="0"/>
              <w:rPr>
                <w:sz w:val="21"/>
                <w:szCs w:val="21"/>
                <w:color w:val="auto"/>
              </w:rPr>
            </w:pPr>
          </w:p>
        </w:tc>
      </w:tr>
      <w:tr>
        <w:trPr>
          <w:trHeight w:val="229"/>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liabilities (deferred revenues, non-current)</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r>
      <w:tr>
        <w:trPr>
          <w:trHeight w:val="657"/>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00" w:type="dxa"/>
            <w:vAlign w:val="bottom"/>
          </w:tcPr>
          <w:p>
            <w:pPr>
              <w:jc w:val="right"/>
              <w:ind w:right="2091"/>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3" w:name="page14"/>
    <w:bookmarkEnd w:id="13"/>
    <w:p>
      <w:pPr>
        <w:ind w:left="520" w:right="500"/>
        <w:spacing w:after="0" w:line="306" w:lineRule="auto"/>
        <w:rPr>
          <w:sz w:val="20"/>
          <w:szCs w:val="20"/>
          <w:color w:val="auto"/>
        </w:rPr>
      </w:pPr>
      <w:r>
        <w:rPr>
          <w:rFonts w:ascii="Arial" w:cs="Arial" w:eastAsia="Arial" w:hAnsi="Arial"/>
          <w:sz w:val="18"/>
          <w:szCs w:val="18"/>
          <w:color w:val="auto"/>
        </w:rPr>
        <w:t>A summary of the activity impacting deferred revenue balances during the three months ended March 31, 2023 and 2022 is presented below (in thousands):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324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rPr>
              <w:t>For the Three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67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831"/>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36,479</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3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32,615</w:t>
            </w:r>
          </w:p>
        </w:tc>
        <w:tc>
          <w:tcPr>
            <w:tcW w:w="100" w:type="dxa"/>
            <w:vAlign w:val="bottom"/>
            <w:shd w:val="clear" w:color="auto" w:fill="CFF0FC"/>
          </w:tcPr>
          <w:p>
            <w:pPr>
              <w:spacing w:after="0"/>
              <w:rPr>
                <w:sz w:val="20"/>
                <w:szCs w:val="20"/>
                <w:color w:val="auto"/>
              </w:rPr>
            </w:pPr>
          </w:p>
        </w:tc>
      </w:tr>
      <w:tr>
        <w:trPr>
          <w:trHeight w:val="242"/>
        </w:trPr>
        <w:tc>
          <w:tcPr>
            <w:tcW w:w="6700" w:type="dxa"/>
            <w:vAlign w:val="bottom"/>
          </w:tcPr>
          <w:p>
            <w:pPr>
              <w:ind w:left="180"/>
              <w:spacing w:after="0" w:line="242" w:lineRule="exact"/>
              <w:rPr>
                <w:sz w:val="20"/>
                <w:szCs w:val="20"/>
                <w:color w:val="auto"/>
              </w:rPr>
            </w:pPr>
            <w:r>
              <w:rPr>
                <w:rFonts w:ascii="Arial" w:cs="Arial" w:eastAsia="Arial" w:hAnsi="Arial"/>
                <w:sz w:val="18"/>
                <w:szCs w:val="18"/>
                <w:color w:val="auto"/>
              </w:rPr>
              <w:t>Revenue recognized</w:t>
            </w:r>
            <w:r>
              <w:rPr>
                <w:rFonts w:ascii="Arial" w:cs="Arial" w:eastAsia="Arial" w:hAnsi="Arial"/>
                <w:sz w:val="23"/>
                <w:szCs w:val="23"/>
                <w:color w:val="auto"/>
                <w:vertAlign w:val="superscript"/>
              </w:rPr>
              <w:t>1</w:t>
            </w:r>
          </w:p>
        </w:tc>
        <w:tc>
          <w:tcPr>
            <w:tcW w:w="11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(103,187 )</w:t>
            </w:r>
          </w:p>
        </w:tc>
        <w:tc>
          <w:tcPr>
            <w:tcW w:w="11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(89,432 )</w:t>
            </w:r>
          </w:p>
        </w:tc>
      </w:tr>
      <w:tr>
        <w:trPr>
          <w:trHeight w:val="242"/>
        </w:trPr>
        <w:tc>
          <w:tcPr>
            <w:tcW w:w="6700" w:type="dxa"/>
            <w:vAlign w:val="bottom"/>
            <w:tcBorders>
              <w:bottom w:val="single" w:sz="8" w:color="CFF0FC"/>
            </w:tcBorders>
            <w:shd w:val="clear" w:color="auto" w:fill="CFF0FC"/>
          </w:tcPr>
          <w:p>
            <w:pPr>
              <w:ind w:left="180"/>
              <w:spacing w:after="0" w:line="242" w:lineRule="exact"/>
              <w:rPr>
                <w:sz w:val="20"/>
                <w:szCs w:val="20"/>
                <w:color w:val="auto"/>
              </w:rPr>
            </w:pPr>
            <w:r>
              <w:rPr>
                <w:rFonts w:ascii="Arial" w:cs="Arial" w:eastAsia="Arial" w:hAnsi="Arial"/>
                <w:sz w:val="18"/>
                <w:szCs w:val="18"/>
                <w:color w:val="auto"/>
              </w:rPr>
              <w:t>Additional amounts deferred</w:t>
            </w:r>
            <w:r>
              <w:rPr>
                <w:rFonts w:ascii="Arial" w:cs="Arial" w:eastAsia="Arial" w:hAnsi="Arial"/>
                <w:sz w:val="23"/>
                <w:szCs w:val="23"/>
                <w:color w:val="auto"/>
                <w:vertAlign w:val="superscript"/>
              </w:rPr>
              <w:t>1</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108,130</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41,422</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6700" w:type="dxa"/>
            <w:vAlign w:val="bottom"/>
          </w:tcPr>
          <w:p>
            <w:pPr>
              <w:ind w:left="180"/>
              <w:spacing w:after="0"/>
              <w:rPr>
                <w:sz w:val="20"/>
                <w:szCs w:val="20"/>
                <w:color w:val="auto"/>
              </w:rPr>
            </w:pPr>
            <w:r>
              <w:rPr>
                <w:rFonts w:ascii="Arial" w:cs="Arial" w:eastAsia="Arial" w:hAnsi="Arial"/>
                <w:sz w:val="18"/>
                <w:szCs w:val="18"/>
                <w:color w:val="auto"/>
              </w:rPr>
              <w:t>Current</w:t>
            </w:r>
          </w:p>
        </w:tc>
        <w:tc>
          <w:tcPr>
            <w:tcW w:w="1100" w:type="dxa"/>
            <w:vAlign w:val="bottom"/>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40,272</w:t>
            </w:r>
          </w:p>
        </w:tc>
        <w:tc>
          <w:tcPr>
            <w:tcW w:w="320" w:type="dxa"/>
            <w:vAlign w:val="bottom"/>
          </w:tcPr>
          <w:p>
            <w:pPr>
              <w:spacing w:after="0"/>
              <w:rPr>
                <w:sz w:val="20"/>
                <w:szCs w:val="20"/>
                <w:color w:val="auto"/>
              </w:rPr>
            </w:pPr>
          </w:p>
        </w:tc>
        <w:tc>
          <w:tcPr>
            <w:tcW w:w="1140" w:type="dxa"/>
            <w:vAlign w:val="bottom"/>
          </w:tcPr>
          <w:p>
            <w:pPr>
              <w:jc w:val="right"/>
              <w:ind w:right="93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33,395</w:t>
            </w:r>
          </w:p>
        </w:tc>
        <w:tc>
          <w:tcPr>
            <w:tcW w:w="100" w:type="dxa"/>
            <w:vAlign w:val="bottom"/>
          </w:tcPr>
          <w:p>
            <w:pPr>
              <w:spacing w:after="0"/>
              <w:rPr>
                <w:sz w:val="20"/>
                <w:szCs w:val="20"/>
                <w:color w:val="auto"/>
              </w:rPr>
            </w:pPr>
          </w:p>
        </w:tc>
      </w:tr>
      <w:tr>
        <w:trPr>
          <w:trHeight w:val="242"/>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Non-current</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Total deferred revenue</w:t>
            </w: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41,422</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-988060</wp:posOffset>
            </wp:positionV>
            <wp:extent cx="67945" cy="3409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3409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-988060</wp:posOffset>
            </wp:positionV>
            <wp:extent cx="59690" cy="340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3409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-186690</wp:posOffset>
            </wp:positionV>
            <wp:extent cx="67945" cy="187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-186690</wp:posOffset>
            </wp:positionV>
            <wp:extent cx="59690" cy="1873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187325"/>
                    </a:xfrm>
                    <a:prstGeom prst="rect">
                      <a:avLst/>
                    </a:prstGeom>
                    <a:noFill/>
                  </pic:spPr>
                </pic:pic>
              </a:graphicData>
            </a:graphic>
          </wp:anchor>
        </w:drawing>
      </w:r>
    </w:p>
    <w:p>
      <w:pPr>
        <w:spacing w:after="0" w:line="40" w:lineRule="exact"/>
        <w:rPr>
          <w:sz w:val="20"/>
          <w:szCs w:val="20"/>
          <w:color w:val="auto"/>
        </w:rPr>
      </w:pPr>
    </w:p>
    <w:p>
      <w:pPr>
        <w:ind w:left="620" w:hanging="103"/>
        <w:spacing w:after="0"/>
        <w:tabs>
          <w:tab w:leader="none" w:pos="620" w:val="left"/>
        </w:tabs>
        <w:numPr>
          <w:ilvl w:val="0"/>
          <w:numId w:val="13"/>
        </w:numPr>
        <w:rPr>
          <w:rFonts w:ascii="Arial" w:cs="Arial" w:eastAsia="Arial" w:hAnsi="Arial"/>
          <w:sz w:val="24"/>
          <w:szCs w:val="24"/>
          <w:color w:val="auto"/>
          <w:vertAlign w:val="superscript"/>
        </w:rPr>
      </w:pPr>
      <w:r>
        <w:rPr>
          <w:rFonts w:ascii="Arial" w:cs="Arial" w:eastAsia="Arial" w:hAnsi="Arial"/>
          <w:sz w:val="18"/>
          <w:szCs w:val="18"/>
          <w:color w:val="auto"/>
        </w:rPr>
        <w:t>Amounts include total revenue deferred and recognized during each respective period.</w:t>
      </w:r>
    </w:p>
    <w:p>
      <w:pPr>
        <w:spacing w:after="0" w:line="93" w:lineRule="exact"/>
        <w:rPr>
          <w:sz w:val="20"/>
          <w:szCs w:val="20"/>
          <w:color w:val="auto"/>
        </w:rPr>
      </w:pPr>
    </w:p>
    <w:p>
      <w:pPr>
        <w:ind w:left="520" w:right="500"/>
        <w:spacing w:after="0" w:line="274" w:lineRule="auto"/>
        <w:rPr>
          <w:sz w:val="20"/>
          <w:szCs w:val="20"/>
          <w:color w:val="auto"/>
        </w:rPr>
      </w:pPr>
      <w:r>
        <w:rPr>
          <w:rFonts w:ascii="Arial" w:cs="Arial" w:eastAsia="Arial" w:hAnsi="Arial"/>
          <w:sz w:val="18"/>
          <w:szCs w:val="18"/>
          <w:color w:val="auto"/>
        </w:rPr>
        <w:t>A summary of the activity impacting the deferred contract costs during the three months ended March 31, 2023 and 2022 is presented below (in thousands):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6240" w:type="dxa"/>
            <w:vAlign w:val="bottom"/>
          </w:tcPr>
          <w:p>
            <w:pPr>
              <w:spacing w:after="0"/>
              <w:rPr>
                <w:sz w:val="20"/>
                <w:szCs w:val="20"/>
                <w:color w:val="auto"/>
              </w:rPr>
            </w:pPr>
          </w:p>
        </w:tc>
        <w:tc>
          <w:tcPr>
            <w:tcW w:w="368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rPr>
              <w:t>For the Three Months Ended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624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1031"/>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240" w:type="dxa"/>
            <w:vAlign w:val="bottom"/>
          </w:tcPr>
          <w:p>
            <w:pPr>
              <w:spacing w:after="0"/>
              <w:rPr>
                <w:sz w:val="20"/>
                <w:szCs w:val="20"/>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340" w:type="dxa"/>
            <w:vAlign w:val="bottom"/>
            <w:shd w:val="clear" w:color="auto" w:fill="CFF0FC"/>
          </w:tcPr>
          <w:p>
            <w:pPr>
              <w:jc w:val="right"/>
              <w:ind w:right="115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36,717</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1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37,186</w:t>
            </w:r>
          </w:p>
        </w:tc>
        <w:tc>
          <w:tcPr>
            <w:tcW w:w="100" w:type="dxa"/>
            <w:vAlign w:val="bottom"/>
            <w:shd w:val="clear" w:color="auto" w:fill="CFF0FC"/>
          </w:tcPr>
          <w:p>
            <w:pPr>
              <w:spacing w:after="0"/>
              <w:rPr>
                <w:sz w:val="20"/>
                <w:szCs w:val="20"/>
                <w:color w:val="auto"/>
              </w:rPr>
            </w:pPr>
          </w:p>
        </w:tc>
      </w:tr>
      <w:tr>
        <w:trPr>
          <w:trHeight w:val="235"/>
        </w:trPr>
        <w:tc>
          <w:tcPr>
            <w:tcW w:w="6240" w:type="dxa"/>
            <w:vAlign w:val="bottom"/>
          </w:tcPr>
          <w:p>
            <w:pPr>
              <w:ind w:left="180"/>
              <w:spacing w:after="0"/>
              <w:rPr>
                <w:sz w:val="20"/>
                <w:szCs w:val="20"/>
                <w:color w:val="auto"/>
              </w:rPr>
            </w:pPr>
            <w:r>
              <w:rPr>
                <w:rFonts w:ascii="Arial" w:cs="Arial" w:eastAsia="Arial" w:hAnsi="Arial"/>
                <w:sz w:val="18"/>
                <w:szCs w:val="18"/>
                <w:color w:val="auto"/>
              </w:rPr>
              <w:t>Costs amortized</w:t>
            </w:r>
          </w:p>
        </w:tc>
        <w:tc>
          <w:tcPr>
            <w:tcW w:w="134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(4,785 )</w:t>
            </w:r>
          </w:p>
        </w:tc>
        <w:tc>
          <w:tcPr>
            <w:tcW w:w="1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(4,221 )</w:t>
            </w:r>
          </w:p>
        </w:tc>
      </w:tr>
      <w:tr>
        <w:trPr>
          <w:trHeight w:val="248"/>
        </w:trPr>
        <w:tc>
          <w:tcPr>
            <w:tcW w:w="6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Additional amounts deferred</w:t>
            </w:r>
          </w:p>
        </w:tc>
        <w:tc>
          <w:tcPr>
            <w:tcW w:w="13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6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34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w:t>
            </w:r>
          </w:p>
        </w:tc>
        <w:tc>
          <w:tcPr>
            <w:tcW w:w="360" w:type="dxa"/>
            <w:vAlign w:val="bottom"/>
          </w:tcPr>
          <w:p>
            <w:pPr>
              <w:spacing w:after="0"/>
              <w:rPr>
                <w:sz w:val="20"/>
                <w:szCs w:val="20"/>
                <w:color w:val="auto"/>
              </w:rPr>
            </w:pPr>
          </w:p>
        </w:tc>
        <w:tc>
          <w:tcPr>
            <w:tcW w:w="1320" w:type="dxa"/>
            <w:vAlign w:val="bottom"/>
            <w:tcBorders>
              <w:bottom w:val="single" w:sz="8" w:color="auto"/>
            </w:tcBorders>
          </w:tcPr>
          <w:p>
            <w:pPr>
              <w:jc w:val="right"/>
              <w:ind w:right="11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36,948</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13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6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340" w:type="dxa"/>
            <w:vAlign w:val="bottom"/>
          </w:tcPr>
          <w:p>
            <w:pPr>
              <w:jc w:val="right"/>
              <w:ind w:right="1151"/>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17,339</w:t>
            </w:r>
          </w:p>
        </w:tc>
        <w:tc>
          <w:tcPr>
            <w:tcW w:w="360" w:type="dxa"/>
            <w:vAlign w:val="bottom"/>
          </w:tcPr>
          <w:p>
            <w:pPr>
              <w:spacing w:after="0"/>
              <w:rPr>
                <w:sz w:val="20"/>
                <w:szCs w:val="20"/>
                <w:color w:val="auto"/>
              </w:rPr>
            </w:pPr>
          </w:p>
        </w:tc>
        <w:tc>
          <w:tcPr>
            <w:tcW w:w="1320" w:type="dxa"/>
            <w:vAlign w:val="bottom"/>
          </w:tcPr>
          <w:p>
            <w:pPr>
              <w:jc w:val="right"/>
              <w:ind w:right="11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tcPr>
          <w:p>
            <w:pPr>
              <w:spacing w:after="0"/>
              <w:rPr>
                <w:sz w:val="20"/>
                <w:szCs w:val="20"/>
                <w:color w:val="auto"/>
              </w:rPr>
            </w:pPr>
          </w:p>
        </w:tc>
      </w:tr>
      <w:tr>
        <w:trPr>
          <w:trHeight w:val="248"/>
        </w:trPr>
        <w:tc>
          <w:tcPr>
            <w:tcW w:w="6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Non-current</w:t>
            </w:r>
          </w:p>
        </w:tc>
        <w:tc>
          <w:tcPr>
            <w:tcW w:w="13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20,212</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6240" w:type="dxa"/>
            <w:vAlign w:val="bottom"/>
          </w:tcPr>
          <w:p>
            <w:pPr>
              <w:spacing w:after="0"/>
              <w:rPr>
                <w:sz w:val="20"/>
                <w:szCs w:val="20"/>
                <w:color w:val="auto"/>
              </w:rPr>
            </w:pPr>
            <w:r>
              <w:rPr>
                <w:rFonts w:ascii="Arial" w:cs="Arial" w:eastAsia="Arial" w:hAnsi="Arial"/>
                <w:sz w:val="18"/>
                <w:szCs w:val="18"/>
                <w:color w:val="auto"/>
              </w:rPr>
              <w:t>Total deferred contract costs</w:t>
            </w:r>
          </w:p>
        </w:tc>
        <w:tc>
          <w:tcPr>
            <w:tcW w:w="134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37,551</w:t>
            </w:r>
          </w:p>
        </w:tc>
        <w:tc>
          <w:tcPr>
            <w:tcW w:w="360" w:type="dxa"/>
            <w:vAlign w:val="bottom"/>
          </w:tcPr>
          <w:p>
            <w:pPr>
              <w:spacing w:after="0"/>
              <w:rPr>
                <w:sz w:val="20"/>
                <w:szCs w:val="20"/>
                <w:color w:val="auto"/>
              </w:rPr>
            </w:pPr>
          </w:p>
        </w:tc>
        <w:tc>
          <w:tcPr>
            <w:tcW w:w="1320" w:type="dxa"/>
            <w:vAlign w:val="bottom"/>
            <w:tcBorders>
              <w:bottom w:val="single" w:sz="8" w:color="auto"/>
            </w:tcBorders>
          </w:tcPr>
          <w:p>
            <w:pPr>
              <w:jc w:val="right"/>
              <w:ind w:right="11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36,948</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-988060</wp:posOffset>
            </wp:positionV>
            <wp:extent cx="67945" cy="3409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3409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-988060</wp:posOffset>
            </wp:positionV>
            <wp:extent cx="59690" cy="3409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34099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-186690</wp:posOffset>
            </wp:positionV>
            <wp:extent cx="67945" cy="187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-186690</wp:posOffset>
            </wp:positionV>
            <wp:extent cx="59690" cy="187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187325"/>
                    </a:xfrm>
                    <a:prstGeom prst="rect">
                      <a:avLst/>
                    </a:prstGeom>
                    <a:noFill/>
                  </pic:spPr>
                </pic:pic>
              </a:graphicData>
            </a:graphic>
          </wp:anchor>
        </w:drawing>
      </w:r>
    </w:p>
    <w:p>
      <w:pPr>
        <w:spacing w:after="0" w:line="284" w:lineRule="exact"/>
        <w:rPr>
          <w:sz w:val="20"/>
          <w:szCs w:val="20"/>
          <w:color w:val="auto"/>
        </w:rPr>
      </w:pPr>
    </w:p>
    <w:p>
      <w:pPr>
        <w:ind w:left="520" w:hanging="513"/>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on a Recurring Basis</w:t>
      </w:r>
    </w:p>
    <w:p>
      <w:pPr>
        <w:spacing w:after="0" w:line="119" w:lineRule="exact"/>
        <w:rPr>
          <w:rFonts w:ascii="Arial" w:cs="Arial" w:eastAsia="Arial" w:hAnsi="Arial"/>
          <w:sz w:val="18"/>
          <w:szCs w:val="18"/>
          <w:b w:val="1"/>
          <w:bCs w:val="1"/>
          <w:color w:val="auto"/>
        </w:rPr>
      </w:pPr>
    </w:p>
    <w:p>
      <w:pPr>
        <w:ind w:left="520" w:right="440"/>
        <w:spacing w:after="0" w:line="274" w:lineRule="auto"/>
        <w:rPr>
          <w:rFonts w:ascii="Arial" w:cs="Arial" w:eastAsia="Arial" w:hAnsi="Arial"/>
          <w:sz w:val="18"/>
          <w:szCs w:val="18"/>
          <w:b w:val="1"/>
          <w:bCs w:val="1"/>
          <w:color w:val="auto"/>
        </w:rPr>
      </w:pPr>
      <w:r>
        <w:rPr>
          <w:rFonts w:ascii="Arial" w:cs="Arial" w:eastAsia="Arial" w:hAnsi="Arial"/>
          <w:sz w:val="18"/>
          <w:szCs w:val="18"/>
          <w:i w:val="1"/>
          <w:iCs w:val="1"/>
          <w:color w:val="auto"/>
        </w:rPr>
        <w:t>Private Warrants</w:t>
      </w:r>
      <w:r>
        <w:rPr>
          <w:rFonts w:ascii="Arial" w:cs="Arial" w:eastAsia="Arial" w:hAnsi="Arial"/>
          <w:sz w:val="18"/>
          <w:szCs w:val="18"/>
          <w:color w:val="auto"/>
        </w:rPr>
        <w:t>—As of March 31, 2023, the Company's Private Warrants are recognized as liabilities and measured at fair value on a 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64" w:lineRule="exact"/>
        <w:rPr>
          <w:rFonts w:ascii="Arial" w:cs="Arial" w:eastAsia="Arial" w:hAnsi="Arial"/>
          <w:sz w:val="18"/>
          <w:szCs w:val="18"/>
          <w:b w:val="1"/>
          <w:bCs w:val="1"/>
          <w:color w:val="auto"/>
        </w:rPr>
      </w:pPr>
    </w:p>
    <w:p>
      <w:pPr>
        <w:ind w:left="520" w:right="100"/>
        <w:spacing w:after="0" w:line="309" w:lineRule="auto"/>
        <w:rPr>
          <w:rFonts w:ascii="Arial" w:cs="Arial" w:eastAsia="Arial" w:hAnsi="Arial"/>
          <w:sz w:val="18"/>
          <w:szCs w:val="18"/>
          <w:b w:val="1"/>
          <w:bCs w:val="1"/>
          <w:color w:val="auto"/>
        </w:rPr>
      </w:pPr>
      <w:r>
        <w:rPr>
          <w:rFonts w:ascii="Arial" w:cs="Arial" w:eastAsia="Arial" w:hAnsi="Arial"/>
          <w:sz w:val="16"/>
          <w:szCs w:val="16"/>
          <w:color w:val="auto"/>
        </w:rPr>
        <w:t>The Private Warrants are valued using Level 1 and Level 2 inputs within the Black-Scholes option-pricing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40" w:lineRule="exact"/>
        <w:rPr>
          <w:rFonts w:ascii="Arial" w:cs="Arial" w:eastAsia="Arial" w:hAnsi="Arial"/>
          <w:sz w:val="18"/>
          <w:szCs w:val="18"/>
          <w:b w:val="1"/>
          <w:bCs w:val="1"/>
          <w:color w:val="auto"/>
        </w:rPr>
      </w:pPr>
    </w:p>
    <w:p>
      <w:pPr>
        <w:ind w:left="520" w:right="28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valuation of the Private Warrants as of March 31, 2023 and December 31, 2022 was determined using the Black-Scholes option pricing model using the following assumptions: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200" w:type="dxa"/>
            <w:vAlign w:val="bottom"/>
          </w:tcPr>
          <w:p>
            <w:pPr>
              <w:spacing w:after="0"/>
              <w:rPr>
                <w:sz w:val="20"/>
                <w:szCs w:val="20"/>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48"/>
        </w:trPr>
        <w:tc>
          <w:tcPr>
            <w:tcW w:w="8400" w:type="dxa"/>
            <w:vAlign w:val="bottom"/>
            <w:gridSpan w:val="2"/>
          </w:tcPr>
          <w:p>
            <w:pPr>
              <w:ind w:left="780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Borders>
              <w:top w:val="single" w:sz="8" w:color="auto"/>
            </w:tcBorders>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38 %</w:t>
            </w:r>
          </w:p>
        </w:tc>
      </w:tr>
      <w:tr>
        <w:trPr>
          <w:trHeight w:val="241"/>
        </w:trPr>
        <w:tc>
          <w:tcPr>
            <w:tcW w:w="84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0 %</w:t>
            </w:r>
          </w:p>
        </w:tc>
      </w:tr>
      <w:tr>
        <w:trPr>
          <w:trHeight w:val="242"/>
        </w:trPr>
        <w:tc>
          <w:tcPr>
            <w:tcW w:w="8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3.78 %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-297815</wp:posOffset>
            </wp:positionV>
            <wp:extent cx="6775450" cy="153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5450" cy="153670"/>
                    </a:xfrm>
                    <a:prstGeom prst="rect">
                      <a:avLst/>
                    </a:prstGeom>
                    <a:noFill/>
                  </pic:spPr>
                </pic:pic>
              </a:graphicData>
            </a:graphic>
          </wp:anchor>
        </w:drawing>
      </w:r>
    </w:p>
    <w:p>
      <w:pPr>
        <w:spacing w:after="0" w:line="86" w:lineRule="exact"/>
        <w:rPr>
          <w:sz w:val="20"/>
          <w:szCs w:val="20"/>
          <w:color w:val="auto"/>
        </w:rPr>
      </w:pPr>
    </w:p>
    <w:p>
      <w:pPr>
        <w:ind w:left="520" w:right="200"/>
        <w:spacing w:after="0" w:line="274" w:lineRule="auto"/>
        <w:rPr>
          <w:sz w:val="20"/>
          <w:szCs w:val="20"/>
          <w:color w:val="auto"/>
        </w:rPr>
      </w:pPr>
      <w:r>
        <w:rPr>
          <w:rFonts w:ascii="Arial" w:cs="Arial" w:eastAsia="Arial" w:hAnsi="Arial"/>
          <w:sz w:val="18"/>
          <w:szCs w:val="18"/>
          <w:color w:val="auto"/>
        </w:rPr>
        <w:t>The estimated fair value of each Private Warrant using the Company's stock price on the valuation date and above assumptions was $1.98 and $2.05 as of March 31, 2023 and December 31, 2022, respectively.</w:t>
      </w:r>
    </w:p>
    <w:p>
      <w:pPr>
        <w:spacing w:after="0" w:line="64" w:lineRule="exact"/>
        <w:rPr>
          <w:sz w:val="20"/>
          <w:szCs w:val="20"/>
          <w:color w:val="auto"/>
        </w:rPr>
      </w:pPr>
    </w:p>
    <w:p>
      <w:pPr>
        <w:ind w:left="520" w:right="400"/>
        <w:spacing w:after="0" w:line="274" w:lineRule="auto"/>
        <w:rPr>
          <w:sz w:val="20"/>
          <w:szCs w:val="20"/>
          <w:color w:val="auto"/>
        </w:rPr>
      </w:pPr>
      <w:r>
        <w:rPr>
          <w:rFonts w:ascii="Arial" w:cs="Arial" w:eastAsia="Arial" w:hAnsi="Arial"/>
          <w:sz w:val="18"/>
          <w:szCs w:val="18"/>
          <w:i w:val="1"/>
          <w:iCs w:val="1"/>
          <w:color w:val="auto"/>
        </w:rPr>
        <w:t>Contingent Consideration Liability</w:t>
      </w:r>
      <w:r>
        <w:rPr>
          <w:rFonts w:ascii="Arial" w:cs="Arial" w:eastAsia="Arial" w:hAnsi="Arial"/>
          <w:sz w:val="18"/>
          <w:szCs w:val="18"/>
          <w:color w:val="auto"/>
        </w:rPr>
        <w:t>—The contingent consideration liability related to the acquisition of Safekeep (see Note 3), recognized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liabilities on the condensed consolidated balance sheet, is adjusted each reporting period for changes in</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447" w:right="279" w:bottom="1440" w:gutter="0" w:footer="0" w:header="0"/>
        </w:sectPr>
      </w:pPr>
    </w:p>
    <w:bookmarkStart w:id="14" w:name="page15"/>
    <w:bookmarkEnd w:id="14"/>
    <w:p>
      <w:pPr>
        <w:ind w:left="520" w:right="520"/>
        <w:spacing w:after="0" w:line="274" w:lineRule="auto"/>
        <w:rPr>
          <w:sz w:val="20"/>
          <w:szCs w:val="20"/>
          <w:color w:val="auto"/>
        </w:rPr>
      </w:pPr>
      <w:r>
        <w:rPr>
          <w:rFonts w:ascii="Arial" w:cs="Arial" w:eastAsia="Arial" w:hAnsi="Arial"/>
          <w:sz w:val="18"/>
          <w:szCs w:val="18"/>
          <w:color w:val="auto"/>
        </w:rPr>
        <w:t>fair value, which can result from changes in anticipated payments and changes in assumed discount rates. These inputs are unobservable in the market and therefore categorized as Level 3 inputs.</w:t>
      </w:r>
    </w:p>
    <w:p>
      <w:pPr>
        <w:spacing w:after="0" w:line="64" w:lineRule="exact"/>
        <w:rPr>
          <w:sz w:val="20"/>
          <w:szCs w:val="20"/>
          <w:color w:val="auto"/>
        </w:rPr>
      </w:pPr>
    </w:p>
    <w:p>
      <w:pPr>
        <w:ind w:left="520" w:right="580"/>
        <w:spacing w:after="0" w:line="274" w:lineRule="auto"/>
        <w:rPr>
          <w:sz w:val="20"/>
          <w:szCs w:val="20"/>
          <w:color w:val="auto"/>
        </w:rPr>
      </w:pPr>
      <w:r>
        <w:rPr>
          <w:rFonts w:ascii="Arial" w:cs="Arial" w:eastAsia="Arial" w:hAnsi="Arial"/>
          <w:sz w:val="18"/>
          <w:szCs w:val="18"/>
          <w:color w:val="auto"/>
        </w:rPr>
        <w:t>The estimated fair value of the contingent consideration was determined using probability-weighted discounted cash flows and a Monte Carlo simulation model. The discount rate, based on the Company's estimated cost of debt, was 10%.</w:t>
      </w:r>
    </w:p>
    <w:p>
      <w:pPr>
        <w:spacing w:after="0" w:line="64" w:lineRule="exact"/>
        <w:rPr>
          <w:sz w:val="20"/>
          <w:szCs w:val="20"/>
          <w:color w:val="auto"/>
        </w:rPr>
      </w:pPr>
    </w:p>
    <w:p>
      <w:pPr>
        <w:ind w:left="520" w:right="120"/>
        <w:spacing w:after="0" w:line="255" w:lineRule="auto"/>
        <w:rPr>
          <w:sz w:val="20"/>
          <w:szCs w:val="20"/>
          <w:color w:val="auto"/>
        </w:rPr>
      </w:pPr>
      <w:r>
        <w:rPr>
          <w:rFonts w:ascii="Arial" w:cs="Arial" w:eastAsia="Arial" w:hAnsi="Arial"/>
          <w:sz w:val="18"/>
          <w:szCs w:val="18"/>
          <w:color w:val="auto"/>
        </w:rPr>
        <w:t>As of December 31, 2022, the contingent consideration liability had a fair value of $0.1 million. As of March 31, 2023, there were no significant changes to the inputs used within the Monte Carlo simulation model and the estimated fair value of the contingent consideration liability was $0.1 million. The contingent consideration liability is classified within other liabilities in the accompanying condensed consolidated balance sheets. The Company did not recognize any change in the estimated fair value of the contingent consideration liability during the three months ended March 31, 2023 and 2022.</w:t>
      </w:r>
    </w:p>
    <w:p>
      <w:pPr>
        <w:spacing w:after="0" w:line="81" w:lineRule="exact"/>
        <w:rPr>
          <w:sz w:val="20"/>
          <w:szCs w:val="20"/>
          <w:color w:val="auto"/>
        </w:rPr>
      </w:pPr>
    </w:p>
    <w:p>
      <w:pPr>
        <w:ind w:left="520" w:right="260"/>
        <w:spacing w:after="0" w:line="257"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(see Note 14). The fair value of the interest rate cap agreements was estimated using inputs that were observable or that could be corroborated by observable market data and therefore was classified within Level 2 of the fair value hierarchy as of March 31, 2023 and December 31, 2022.</w:t>
      </w:r>
    </w:p>
    <w:p>
      <w:pPr>
        <w:spacing w:after="0" w:line="80" w:lineRule="exact"/>
        <w:rPr>
          <w:sz w:val="20"/>
          <w:szCs w:val="20"/>
          <w:color w:val="auto"/>
        </w:rPr>
      </w:pPr>
    </w:p>
    <w:p>
      <w:pPr>
        <w:jc w:val="both"/>
        <w:ind w:left="520" w:right="200"/>
        <w:spacing w:after="0" w:line="261" w:lineRule="auto"/>
        <w:rPr>
          <w:sz w:val="20"/>
          <w:szCs w:val="20"/>
          <w:color w:val="auto"/>
        </w:rPr>
      </w:pPr>
      <w:r>
        <w:rPr>
          <w:rFonts w:ascii="Arial" w:cs="Arial" w:eastAsia="Arial" w:hAnsi="Arial"/>
          <w:sz w:val="18"/>
          <w:szCs w:val="18"/>
          <w:color w:val="auto"/>
        </w:rPr>
        <w:t>The Company did not designate its interest rate cap agreements as hedging instruments and records the changes in fair value within earnings. As of March 31, 2023 and December 31, 2022, the interest rate cap agreements had a fair value of $9.3 million and $12.0 million, respectively, classified within other assets in the accompanying condensed consolidated balance sheets.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as of March 31, 2023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240"/>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42"/>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5500" w:type="dxa"/>
            <w:vAlign w:val="bottom"/>
          </w:tcPr>
          <w:p>
            <w:pPr>
              <w:ind w:left="100"/>
              <w:spacing w:after="0"/>
              <w:rPr>
                <w:sz w:val="20"/>
                <w:szCs w:val="20"/>
                <w:color w:val="auto"/>
              </w:rPr>
            </w:pPr>
            <w:r>
              <w:rPr>
                <w:rFonts w:ascii="Arial" w:cs="Arial" w:eastAsia="Arial" w:hAnsi="Arial"/>
                <w:sz w:val="18"/>
                <w:szCs w:val="18"/>
                <w:color w:val="auto"/>
              </w:rPr>
              <w:t>Interest rate cap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5"/>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8"/>
        </w:trPr>
        <w:tc>
          <w:tcPr>
            <w:tcW w:w="5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55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Contingent consideration related to business acquisition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r>
      <w:tr>
        <w:trPr>
          <w:trHeight w:val="242"/>
        </w:trPr>
        <w:tc>
          <w:tcPr>
            <w:tcW w:w="5500" w:type="dxa"/>
            <w:vAlign w:val="bottom"/>
          </w:tcPr>
          <w:p>
            <w:pPr>
              <w:ind w:left="100"/>
              <w:spacing w:after="0"/>
              <w:rPr>
                <w:sz w:val="20"/>
                <w:szCs w:val="20"/>
                <w:color w:val="auto"/>
              </w:rPr>
            </w:pPr>
            <w:r>
              <w:rPr>
                <w:rFonts w:ascii="Arial" w:cs="Arial" w:eastAsia="Arial" w:hAnsi="Arial"/>
                <w:sz w:val="18"/>
                <w:szCs w:val="18"/>
                <w:color w:val="auto"/>
              </w:rPr>
              <w:t>Private Warrants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35,210</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35,210</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5"/>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35,310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35,210</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-672465</wp:posOffset>
            </wp:positionV>
            <wp:extent cx="2582545" cy="179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82545" cy="17907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-24765</wp:posOffset>
            </wp:positionV>
            <wp:extent cx="67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-7620</wp:posOffset>
            </wp:positionV>
            <wp:extent cx="67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7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7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6259830</wp:posOffset>
            </wp:positionH>
            <wp:positionV relativeFrom="paragraph">
              <wp:posOffset>-24765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6259830</wp:posOffset>
            </wp:positionH>
            <wp:positionV relativeFrom="paragraph">
              <wp:posOffset>-7620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right="600"/>
        <w:spacing w:after="0" w:line="274" w:lineRule="auto"/>
        <w:rPr>
          <w:sz w:val="20"/>
          <w:szCs w:val="20"/>
          <w:color w:val="auto"/>
        </w:rPr>
      </w:pPr>
      <w:r>
        <w:rPr>
          <w:rFonts w:ascii="Arial" w:cs="Arial" w:eastAsia="Arial" w:hAnsi="Arial"/>
          <w:sz w:val="18"/>
          <w:szCs w:val="18"/>
          <w:color w:val="auto"/>
        </w:rPr>
        <w:t>The following table presents the fair value of the assets and liabilities measured at fair value on a recurring basis as of December 31, 2022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40"/>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42"/>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5500" w:type="dxa"/>
            <w:vAlign w:val="bottom"/>
          </w:tcPr>
          <w:p>
            <w:pPr>
              <w:ind w:left="100"/>
              <w:spacing w:after="0"/>
              <w:rPr>
                <w:sz w:val="20"/>
                <w:szCs w:val="20"/>
                <w:color w:val="auto"/>
              </w:rPr>
            </w:pPr>
            <w:r>
              <w:rPr>
                <w:rFonts w:ascii="Arial" w:cs="Arial" w:eastAsia="Arial" w:hAnsi="Arial"/>
                <w:sz w:val="18"/>
                <w:szCs w:val="18"/>
                <w:color w:val="auto"/>
              </w:rPr>
              <w:t>Interest rate cap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5"/>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11,951</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8"/>
        </w:trPr>
        <w:tc>
          <w:tcPr>
            <w:tcW w:w="5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55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Contingent consideration related to business acquisition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r>
      <w:tr>
        <w:trPr>
          <w:trHeight w:val="242"/>
        </w:trPr>
        <w:tc>
          <w:tcPr>
            <w:tcW w:w="5500" w:type="dxa"/>
            <w:vAlign w:val="bottom"/>
          </w:tcPr>
          <w:p>
            <w:pPr>
              <w:ind w:left="100"/>
              <w:spacing w:after="0"/>
              <w:rPr>
                <w:sz w:val="20"/>
                <w:szCs w:val="20"/>
                <w:color w:val="auto"/>
              </w:rPr>
            </w:pPr>
            <w:r>
              <w:rPr>
                <w:rFonts w:ascii="Arial" w:cs="Arial" w:eastAsia="Arial" w:hAnsi="Arial"/>
                <w:sz w:val="18"/>
                <w:szCs w:val="18"/>
                <w:color w:val="auto"/>
              </w:rPr>
              <w:t>Private Warrants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5"/>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36,505</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-672465</wp:posOffset>
            </wp:positionV>
            <wp:extent cx="2582545" cy="1790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82545" cy="17907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-24765</wp:posOffset>
            </wp:positionV>
            <wp:extent cx="679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-7620</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7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79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6259830</wp:posOffset>
            </wp:positionH>
            <wp:positionV relativeFrom="paragraph">
              <wp:posOffset>-24765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6259830</wp:posOffset>
            </wp:positionH>
            <wp:positionV relativeFrom="paragraph">
              <wp:posOffset>-7620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left="520" w:right="40"/>
        <w:spacing w:after="0" w:line="301" w:lineRule="auto"/>
        <w:rPr>
          <w:sz w:val="20"/>
          <w:szCs w:val="20"/>
          <w:color w:val="auto"/>
        </w:rPr>
      </w:pPr>
      <w:r>
        <w:rPr>
          <w:rFonts w:ascii="Arial" w:cs="Arial" w:eastAsia="Arial" w:hAnsi="Arial"/>
          <w:sz w:val="16"/>
          <w:szCs w:val="16"/>
          <w:b w:val="1"/>
          <w:bCs w:val="1"/>
          <w:color w:val="auto"/>
        </w:rPr>
        <w:t>Assets and Liabilities Measured at Fair Value on a Nonrecurring Basis</w:t>
      </w:r>
      <w:r>
        <w:rPr>
          <w:rFonts w:ascii="Arial" w:cs="Arial" w:eastAsia="Arial" w:hAnsi="Arial"/>
          <w:sz w:val="16"/>
          <w:szCs w:val="16"/>
          <w:color w:val="auto"/>
        </w:rPr>
        <w:t>—The Company has assets that under certain conditions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three months ended March 31, 2023 and 2022, the Company recognized no impairment related to these assets.</w:t>
      </w:r>
    </w:p>
    <w:p>
      <w:pPr>
        <w:spacing w:after="0" w:line="57" w:lineRule="exact"/>
        <w:rPr>
          <w:sz w:val="20"/>
          <w:szCs w:val="20"/>
          <w:color w:val="auto"/>
        </w:rPr>
      </w:pPr>
    </w:p>
    <w:p>
      <w:pPr>
        <w:ind w:left="520" w:right="60"/>
        <w:spacing w:after="0" w:line="344" w:lineRule="auto"/>
        <w:rPr>
          <w:sz w:val="20"/>
          <w:szCs w:val="20"/>
          <w:color w:val="auto"/>
        </w:rPr>
      </w:pPr>
      <w:r>
        <w:rPr>
          <w:rFonts w:ascii="Arial" w:cs="Arial" w:eastAsia="Arial" w:hAnsi="Arial"/>
          <w:sz w:val="16"/>
          <w:szCs w:val="16"/>
          <w:b w:val="1"/>
          <w:bCs w:val="1"/>
          <w:color w:val="auto"/>
        </w:rPr>
        <w:t>Fair Value of Other Financial Instruments</w:t>
      </w:r>
      <w:r>
        <w:rPr>
          <w:rFonts w:ascii="Arial" w:cs="Arial" w:eastAsia="Arial" w:hAnsi="Arial"/>
          <w:sz w:val="16"/>
          <w:szCs w:val="16"/>
          <w:color w:val="auto"/>
        </w:rPr>
        <w:t>—The following table presents the carrying amounts, net of debt discount, and the estimated fair values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financial instruments that are not recorded at fair value on the condensed consolidated balance sheets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March 31, 2023</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Estimated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71"/>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Term B Loan, including current portion</w:t>
            </w: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788,387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782,100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790,331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766,260</w:t>
            </w:r>
          </w:p>
        </w:tc>
        <w:tc>
          <w:tcPr>
            <w:tcW w:w="100" w:type="dxa"/>
            <w:vAlign w:val="bottom"/>
            <w:shd w:val="clear" w:color="auto" w:fill="CFF0FC"/>
          </w:tcPr>
          <w:p>
            <w:pPr>
              <w:spacing w:after="0"/>
              <w:rPr>
                <w:sz w:val="20"/>
                <w:szCs w:val="20"/>
                <w:color w:val="auto"/>
              </w:rPr>
            </w:pPr>
          </w:p>
        </w:tc>
      </w:tr>
      <w:tr>
        <w:trPr>
          <w:trHeight w:val="64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5" w:name="page16"/>
    <w:bookmarkEnd w:id="15"/>
    <w:p>
      <w:pPr>
        <w:ind w:left="520" w:right="340"/>
        <w:spacing w:after="0" w:line="284" w:lineRule="auto"/>
        <w:rPr>
          <w:sz w:val="20"/>
          <w:szCs w:val="20"/>
          <w:color w:val="auto"/>
        </w:rPr>
      </w:pPr>
      <w:r>
        <w:rPr>
          <w:rFonts w:ascii="Arial" w:cs="Arial" w:eastAsia="Arial" w:hAnsi="Arial"/>
          <w:sz w:val="17"/>
          <w:szCs w:val="17"/>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268" w:lineRule="exact"/>
        <w:rPr>
          <w:sz w:val="20"/>
          <w:szCs w:val="20"/>
          <w:color w:val="auto"/>
        </w:rPr>
      </w:pPr>
    </w:p>
    <w:p>
      <w:pPr>
        <w:ind w:left="520" w:hanging="513"/>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9" w:lineRule="exact"/>
        <w:rPr>
          <w:rFonts w:ascii="Arial" w:cs="Arial" w:eastAsia="Arial" w:hAnsi="Arial"/>
          <w:sz w:val="18"/>
          <w:szCs w:val="18"/>
          <w:b w:val="1"/>
          <w:bCs w:val="1"/>
          <w:color w:val="auto"/>
        </w:rPr>
      </w:pPr>
    </w:p>
    <w:p>
      <w:pPr>
        <w:ind w:left="520" w:right="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On August 16, 2022, President Biden signed the Inflation Reduction Act of 2022 (“IRA”) into law. The IRA contains several revisions to the Internal Revenue Code, including a 15% corporate minimum income tax and a 1% excise tax on corporate stock repurchases in tax years beginning after December 31, 2022. While these tax law changes have no immediate effect on our results of operations and are not expected to have a material adverse effect on our results of operations going forward, we will continue to evaluate its impact as further information becomes available.</w:t>
      </w:r>
    </w:p>
    <w:p>
      <w:pPr>
        <w:spacing w:after="0" w:line="49" w:lineRule="exact"/>
        <w:rPr>
          <w:rFonts w:ascii="Arial" w:cs="Arial" w:eastAsia="Arial" w:hAnsi="Arial"/>
          <w:sz w:val="18"/>
          <w:szCs w:val="18"/>
          <w:b w:val="1"/>
          <w:bCs w:val="1"/>
          <w:color w:val="auto"/>
        </w:rPr>
      </w:pPr>
    </w:p>
    <w:p>
      <w:pPr>
        <w:jc w:val="both"/>
        <w:ind w:left="520"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2023 was (55.9)% primarily due to the tax benefit received related to share-based compensation expense in the amount of $0.5 million, as well as the tax benefit associated with the re-measurement of the company's deferred tax liability for changes in state tax rates in the amount of $2.0 million.</w:t>
      </w:r>
    </w:p>
    <w:p>
      <w:pPr>
        <w:spacing w:after="0" w:line="76" w:lineRule="exact"/>
        <w:rPr>
          <w:rFonts w:ascii="Arial" w:cs="Arial" w:eastAsia="Arial" w:hAnsi="Arial"/>
          <w:sz w:val="18"/>
          <w:szCs w:val="18"/>
          <w:b w:val="1"/>
          <w:bCs w:val="1"/>
          <w:color w:val="auto"/>
        </w:rPr>
      </w:pPr>
    </w:p>
    <w:p>
      <w:pPr>
        <w:ind w:left="52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2022 was (7.8)% primarily due to the tax benefit received related to share-based compensation expense in the amount of $2.3 million, as well as the tax benefit associated with the re-measurement of the company's deferred tax liability for changes in state tax rates in the amount of $3.3 million.</w:t>
      </w:r>
    </w:p>
    <w:p>
      <w:pPr>
        <w:spacing w:after="0" w:line="76" w:lineRule="exact"/>
        <w:rPr>
          <w:rFonts w:ascii="Arial" w:cs="Arial" w:eastAsia="Arial" w:hAnsi="Arial"/>
          <w:sz w:val="18"/>
          <w:szCs w:val="18"/>
          <w:b w:val="1"/>
          <w:bCs w:val="1"/>
          <w:color w:val="auto"/>
        </w:rPr>
      </w:pPr>
    </w:p>
    <w:p>
      <w:pPr>
        <w:ind w:left="520" w:right="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made income tax payments of $224 thousand and $5 thousand for the three months ended March 31, 2023 and 2022, respectively. The Company received negligible refunds from various states for the three months ended March 31, 2023 and 2022.</w:t>
      </w:r>
    </w:p>
    <w:p>
      <w:pPr>
        <w:spacing w:after="0" w:line="64" w:lineRule="exact"/>
        <w:rPr>
          <w:rFonts w:ascii="Arial" w:cs="Arial" w:eastAsia="Arial" w:hAnsi="Arial"/>
          <w:sz w:val="18"/>
          <w:szCs w:val="18"/>
          <w:b w:val="1"/>
          <w:bCs w:val="1"/>
          <w:color w:val="auto"/>
        </w:rPr>
      </w:pPr>
    </w:p>
    <w:p>
      <w:pPr>
        <w:ind w:left="520" w:right="300"/>
        <w:spacing w:after="0" w:line="339" w:lineRule="auto"/>
        <w:rPr>
          <w:rFonts w:ascii="Arial" w:cs="Arial" w:eastAsia="Arial" w:hAnsi="Arial"/>
          <w:sz w:val="18"/>
          <w:szCs w:val="18"/>
          <w:b w:val="1"/>
          <w:bCs w:val="1"/>
          <w:color w:val="auto"/>
        </w:rPr>
      </w:pPr>
      <w:r>
        <w:rPr>
          <w:rFonts w:ascii="Arial" w:cs="Arial" w:eastAsia="Arial" w:hAnsi="Arial"/>
          <w:sz w:val="16"/>
          <w:szCs w:val="16"/>
          <w:color w:val="auto"/>
        </w:rPr>
        <w:t>As of March 31, 2023, unrecognized tax benefits were materially consistent with the amount as of December 31, 2022. The Company believes its liability for unrecognized tax benefits, excluding interest and penalties, will not significantly change over the following twelve months.</w:t>
      </w:r>
    </w:p>
    <w:p>
      <w:pPr>
        <w:spacing w:after="0" w:line="227" w:lineRule="exact"/>
        <w:rPr>
          <w:rFonts w:ascii="Arial" w:cs="Arial" w:eastAsia="Arial" w:hAnsi="Arial"/>
          <w:sz w:val="18"/>
          <w:szCs w:val="18"/>
          <w:b w:val="1"/>
          <w:bCs w:val="1"/>
          <w:color w:val="auto"/>
        </w:rPr>
      </w:pPr>
    </w:p>
    <w:p>
      <w:pPr>
        <w:ind w:left="520" w:hanging="513"/>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receivable–Net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48"/>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103,692</w:t>
            </w:r>
          </w:p>
        </w:tc>
        <w:tc>
          <w:tcPr>
            <w:tcW w:w="100" w:type="dxa"/>
            <w:vAlign w:val="bottom"/>
            <w:shd w:val="clear" w:color="auto" w:fill="CFF0FC"/>
          </w:tcPr>
          <w:p>
            <w:pPr>
              <w:spacing w:after="0"/>
              <w:rPr>
                <w:sz w:val="21"/>
                <w:szCs w:val="21"/>
                <w:color w:val="auto"/>
              </w:rPr>
            </w:pPr>
          </w:p>
        </w:tc>
      </w:tr>
      <w:tr>
        <w:trPr>
          <w:trHeight w:val="242"/>
        </w:trPr>
        <w:tc>
          <w:tcPr>
            <w:tcW w:w="7320" w:type="dxa"/>
            <w:vAlign w:val="bottom"/>
          </w:tcPr>
          <w:p>
            <w:pPr>
              <w:spacing w:after="0"/>
              <w:rPr>
                <w:sz w:val="20"/>
                <w:szCs w:val="20"/>
                <w:color w:val="auto"/>
              </w:rPr>
            </w:pPr>
            <w:r>
              <w:rPr>
                <w:rFonts w:ascii="Arial" w:cs="Arial" w:eastAsia="Arial" w:hAnsi="Arial"/>
                <w:sz w:val="18"/>
                <w:szCs w:val="18"/>
                <w:color w:val="auto"/>
              </w:rPr>
              <w:t>Allowance for doubtful accounts and sales reserves</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(6,866 )</w:t>
            </w:r>
          </w:p>
        </w:tc>
        <w:tc>
          <w:tcPr>
            <w:tcW w:w="16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(5,339 )</w:t>
            </w:r>
          </w:p>
        </w:tc>
      </w:tr>
      <w:tr>
        <w:trPr>
          <w:trHeight w:val="275"/>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92,268</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-24765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-7620</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and December 31, 2022, each period had one customer that accounted for 11% of accounts receivable.</w:t>
      </w:r>
    </w:p>
    <w:p>
      <w:pPr>
        <w:spacing w:after="0" w:line="115" w:lineRule="exact"/>
        <w:rPr>
          <w:sz w:val="20"/>
          <w:szCs w:val="20"/>
          <w:color w:val="auto"/>
        </w:rPr>
      </w:pPr>
    </w:p>
    <w:p>
      <w:pPr>
        <w:ind w:left="520" w:right="140"/>
        <w:spacing w:after="0" w:line="274" w:lineRule="auto"/>
        <w:rPr>
          <w:sz w:val="20"/>
          <w:szCs w:val="20"/>
          <w:color w:val="auto"/>
        </w:rPr>
      </w:pPr>
      <w:r>
        <w:rPr>
          <w:rFonts w:ascii="Arial" w:cs="Arial" w:eastAsia="Arial" w:hAnsi="Arial"/>
          <w:sz w:val="18"/>
          <w:szCs w:val="18"/>
          <w:color w:val="auto"/>
        </w:rPr>
        <w:t>Changes to the allowance for doubtful accounts and sales reserves during the three months ended March 31, 2023 and 2022 consist of the following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For the Three Months Ended</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5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2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Charges to bad debt and sales reserves</w:t>
            </w: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3,136</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Write-offs, net</w:t>
            </w:r>
          </w:p>
        </w:tc>
        <w:tc>
          <w:tcPr>
            <w:tcW w:w="15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(1,609 )</w:t>
            </w:r>
          </w:p>
        </w:tc>
        <w:tc>
          <w:tcPr>
            <w:tcW w:w="9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3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tcBorders>
              <w:top w:val="single" w:sz="8" w:color="CFF0FC"/>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2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36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vMerge w:val="restart"/>
          </w:tcPr>
          <w:p>
            <w:pPr>
              <w:jc w:val="right"/>
              <w:ind w:right="231"/>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-672465</wp:posOffset>
            </wp:positionV>
            <wp:extent cx="67945" cy="1873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-672465</wp:posOffset>
            </wp:positionV>
            <wp:extent cx="59690" cy="1873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18732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6" w:name="page17"/>
    <w:bookmarkEnd w:id="16"/>
    <w:p>
      <w:pPr>
        <w:ind w:left="520" w:hanging="513"/>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0"/>
                <w:szCs w:val="20"/>
                <w:color w:val="auto"/>
              </w:rPr>
            </w:pPr>
          </w:p>
        </w:tc>
      </w:tr>
      <w:tr>
        <w:trPr>
          <w:trHeight w:val="248"/>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SaaS costs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Prepaid service fees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20"/>
                <w:szCs w:val="20"/>
                <w:color w:val="auto"/>
              </w:rPr>
            </w:pPr>
          </w:p>
        </w:tc>
      </w:tr>
      <w:tr>
        <w:trPr>
          <w:trHeight w:val="248"/>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software and equipment maintenance</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Prepaid insurance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0"/>
                <w:szCs w:val="20"/>
                <w:color w:val="auto"/>
              </w:rPr>
            </w:pPr>
          </w:p>
        </w:tc>
      </w:tr>
      <w:tr>
        <w:trPr>
          <w:trHeight w:val="248"/>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Non-trade receivables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tcPr>
          <w:p>
            <w:pPr>
              <w:spacing w:after="0"/>
              <w:rPr>
                <w:sz w:val="20"/>
                <w:szCs w:val="20"/>
                <w:color w:val="auto"/>
              </w:rPr>
            </w:pPr>
          </w:p>
        </w:tc>
      </w:tr>
      <w:tr>
        <w:trPr>
          <w:trHeight w:val="275"/>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34,766</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-24765</wp:posOffset>
            </wp:positionV>
            <wp:extent cx="67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-7620</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SOFTWARE, EQUIPMENT, AND PROPERTY</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Software, equipment, and property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8"/>
        </w:trPr>
        <w:tc>
          <w:tcPr>
            <w:tcW w:w="7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licenses and database</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175,616</w:t>
            </w:r>
          </w:p>
        </w:tc>
        <w:tc>
          <w:tcPr>
            <w:tcW w:w="100" w:type="dxa"/>
            <w:vAlign w:val="bottom"/>
            <w:shd w:val="clear" w:color="auto" w:fill="CFF0FC"/>
          </w:tcPr>
          <w:p>
            <w:pPr>
              <w:spacing w:after="0"/>
              <w:rPr>
                <w:sz w:val="21"/>
                <w:szCs w:val="21"/>
                <w:color w:val="auto"/>
              </w:rPr>
            </w:pPr>
          </w:p>
        </w:tc>
      </w:tr>
      <w:tr>
        <w:trPr>
          <w:trHeight w:val="235"/>
        </w:trPr>
        <w:tc>
          <w:tcPr>
            <w:tcW w:w="714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33,043</w:t>
            </w:r>
          </w:p>
        </w:tc>
        <w:tc>
          <w:tcPr>
            <w:tcW w:w="100" w:type="dxa"/>
            <w:vAlign w:val="bottom"/>
          </w:tcPr>
          <w:p>
            <w:pPr>
              <w:spacing w:after="0"/>
              <w:rPr>
                <w:sz w:val="20"/>
                <w:szCs w:val="20"/>
                <w:color w:val="auto"/>
              </w:rPr>
            </w:pPr>
          </w:p>
        </w:tc>
      </w:tr>
      <w:tr>
        <w:trPr>
          <w:trHeight w:val="248"/>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w:t>
            </w:r>
          </w:p>
        </w:tc>
        <w:tc>
          <w:tcPr>
            <w:tcW w:w="100" w:type="dxa"/>
            <w:vAlign w:val="bottom"/>
            <w:shd w:val="clear" w:color="auto" w:fill="CFF0FC"/>
          </w:tcPr>
          <w:p>
            <w:pPr>
              <w:spacing w:after="0"/>
              <w:rPr>
                <w:sz w:val="21"/>
                <w:szCs w:val="21"/>
                <w:color w:val="auto"/>
              </w:rPr>
            </w:pPr>
          </w:p>
        </w:tc>
      </w:tr>
      <w:tr>
        <w:trPr>
          <w:trHeight w:val="235"/>
        </w:trPr>
        <w:tc>
          <w:tcPr>
            <w:tcW w:w="7140" w:type="dxa"/>
            <w:vAlign w:val="bottom"/>
          </w:tcPr>
          <w:p>
            <w:pPr>
              <w:spacing w:after="0"/>
              <w:rPr>
                <w:sz w:val="20"/>
                <w:szCs w:val="20"/>
                <w:color w:val="auto"/>
              </w:rPr>
            </w:pPr>
            <w:r>
              <w:rPr>
                <w:rFonts w:ascii="Arial" w:cs="Arial" w:eastAsia="Arial" w:hAnsi="Arial"/>
                <w:sz w:val="18"/>
                <w:szCs w:val="18"/>
                <w:color w:val="auto"/>
              </w:rPr>
              <w:t>Building and land</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0"/>
                <w:szCs w:val="20"/>
                <w:color w:val="auto"/>
              </w:rPr>
            </w:pPr>
          </w:p>
        </w:tc>
      </w:tr>
      <w:tr>
        <w:trPr>
          <w:trHeight w:val="248"/>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other equipment</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9"/>
        </w:trPr>
        <w:tc>
          <w:tcPr>
            <w:tcW w:w="7140" w:type="dxa"/>
            <w:vAlign w:val="bottom"/>
          </w:tcPr>
          <w:p>
            <w:pPr>
              <w:ind w:left="180"/>
              <w:spacing w:after="0"/>
              <w:rPr>
                <w:sz w:val="20"/>
                <w:szCs w:val="20"/>
                <w:color w:val="auto"/>
              </w:rPr>
            </w:pPr>
            <w:r>
              <w:rPr>
                <w:rFonts w:ascii="Arial" w:cs="Arial" w:eastAsia="Arial" w:hAnsi="Arial"/>
                <w:sz w:val="18"/>
                <w:szCs w:val="18"/>
                <w:color w:val="auto"/>
              </w:rPr>
              <w:t>Total software, equipment, and property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257,348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245,477</w:t>
            </w:r>
          </w:p>
        </w:tc>
        <w:tc>
          <w:tcPr>
            <w:tcW w:w="100" w:type="dxa"/>
            <w:vAlign w:val="bottom"/>
          </w:tcPr>
          <w:p>
            <w:pPr>
              <w:spacing w:after="0"/>
              <w:rPr>
                <w:sz w:val="19"/>
                <w:szCs w:val="19"/>
                <w:color w:val="auto"/>
              </w:rPr>
            </w:pPr>
          </w:p>
        </w:tc>
      </w:tr>
      <w:tr>
        <w:trPr>
          <w:trHeight w:val="248"/>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(106,852 )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(99,034 )</w:t>
            </w:r>
          </w:p>
        </w:tc>
      </w:tr>
      <w:tr>
        <w:trPr>
          <w:trHeight w:val="235"/>
        </w:trPr>
        <w:tc>
          <w:tcPr>
            <w:tcW w:w="7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Software, equipment, and property—Net</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150,496</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146,443</w:t>
            </w:r>
          </w:p>
        </w:tc>
        <w:tc>
          <w:tcPr>
            <w:tcW w:w="100" w:type="dxa"/>
            <w:vAlign w:val="bottom"/>
            <w:tcBorders>
              <w:top w:val="single" w:sz="8" w:color="CFF0FC"/>
            </w:tcBorders>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-502285</wp:posOffset>
            </wp:positionV>
            <wp:extent cx="67945" cy="161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-502285</wp:posOffset>
            </wp:positionV>
            <wp:extent cx="59690" cy="161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16192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-186690</wp:posOffset>
            </wp:positionV>
            <wp:extent cx="67945" cy="1873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-186690</wp:posOffset>
            </wp:positionV>
            <wp:extent cx="59690" cy="1873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87325"/>
                    </a:xfrm>
                    <a:prstGeom prst="rect">
                      <a:avLst/>
                    </a:prstGeom>
                    <a:noFill/>
                  </pic:spPr>
                </pic:pic>
              </a:graphicData>
            </a:graphic>
          </wp:anchor>
        </w:drawing>
      </w:r>
    </w:p>
    <w:p>
      <w:pPr>
        <w:spacing w:after="0" w:line="73" w:lineRule="exact"/>
        <w:rPr>
          <w:sz w:val="20"/>
          <w:szCs w:val="20"/>
          <w:color w:val="auto"/>
        </w:rPr>
      </w:pPr>
    </w:p>
    <w:p>
      <w:pPr>
        <w:ind w:left="520" w:right="320"/>
        <w:spacing w:after="0" w:line="274" w:lineRule="auto"/>
        <w:rPr>
          <w:sz w:val="20"/>
          <w:szCs w:val="20"/>
          <w:color w:val="auto"/>
        </w:rPr>
      </w:pPr>
      <w:r>
        <w:rPr>
          <w:rFonts w:ascii="Arial" w:cs="Arial" w:eastAsia="Arial" w:hAnsi="Arial"/>
          <w:sz w:val="18"/>
          <w:szCs w:val="18"/>
          <w:color w:val="auto"/>
        </w:rPr>
        <w:t>Depreciation and amortization expense related to software, equipment and property was $9.2 million and $6.8 million for the three months ended March 31, 2023 and 2022, respectively.</w:t>
      </w:r>
    </w:p>
    <w:p>
      <w:pPr>
        <w:spacing w:after="0" w:line="275" w:lineRule="exact"/>
        <w:rPr>
          <w:sz w:val="20"/>
          <w:szCs w:val="20"/>
          <w:color w:val="auto"/>
        </w:rPr>
      </w:pPr>
    </w:p>
    <w:p>
      <w:pPr>
        <w:ind w:left="520" w:hanging="513"/>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9" w:lineRule="exact"/>
        <w:rPr>
          <w:rFonts w:ascii="Arial" w:cs="Arial" w:eastAsia="Arial" w:hAnsi="Arial"/>
          <w:sz w:val="18"/>
          <w:szCs w:val="18"/>
          <w:b w:val="1"/>
          <w:bCs w:val="1"/>
          <w:color w:val="auto"/>
        </w:rPr>
      </w:pPr>
    </w:p>
    <w:p>
      <w:pPr>
        <w:ind w:left="52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7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for the three months ended March 31, 2023 and 2022 were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40" w:type="dxa"/>
            <w:vAlign w:val="bottom"/>
            <w:gridSpan w:val="3"/>
          </w:tcPr>
          <w:p>
            <w:pPr>
              <w:jc w:val="right"/>
              <w:ind w:right="71"/>
              <w:spacing w:after="0"/>
              <w:rPr>
                <w:sz w:val="20"/>
                <w:szCs w:val="20"/>
                <w:color w:val="auto"/>
              </w:rPr>
            </w:pPr>
            <w:r>
              <w:rPr>
                <w:rFonts w:ascii="Arial" w:cs="Arial" w:eastAsia="Arial" w:hAnsi="Arial"/>
                <w:sz w:val="18"/>
                <w:szCs w:val="18"/>
                <w:b w:val="1"/>
                <w:bCs w:val="1"/>
                <w:color w:val="auto"/>
                <w:w w:val="96"/>
              </w:rPr>
              <w:t>For the Three Months Ended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456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8"/>
                <w:szCs w:val="18"/>
                <w:b w:val="1"/>
                <w:bCs w:val="1"/>
                <w:color w:val="auto"/>
              </w:rPr>
              <w:t>March 31,</w:t>
            </w:r>
          </w:p>
        </w:tc>
        <w:tc>
          <w:tcPr>
            <w:tcW w:w="1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560" w:type="dxa"/>
            <w:vAlign w:val="bottom"/>
          </w:tcPr>
          <w:p>
            <w:pPr>
              <w:spacing w:after="0"/>
              <w:rPr>
                <w:sz w:val="20"/>
                <w:szCs w:val="20"/>
                <w:color w:val="auto"/>
              </w:rPr>
            </w:pPr>
          </w:p>
        </w:tc>
        <w:tc>
          <w:tcPr>
            <w:tcW w:w="1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740" w:type="dxa"/>
            <w:vAlign w:val="bottom"/>
            <w:shd w:val="clear" w:color="auto" w:fill="CFF0FC"/>
          </w:tcPr>
          <w:p>
            <w:pPr>
              <w:jc w:val="right"/>
              <w:ind w:right="15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5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FF0FC"/>
          </w:tcPr>
          <w:p>
            <w:pPr>
              <w:spacing w:after="0"/>
              <w:rPr>
                <w:sz w:val="20"/>
                <w:szCs w:val="20"/>
                <w:color w:val="auto"/>
              </w:rPr>
            </w:pPr>
          </w:p>
        </w:tc>
      </w:tr>
      <w:tr>
        <w:trPr>
          <w:trHeight w:val="242"/>
        </w:trPr>
        <w:tc>
          <w:tcPr>
            <w:tcW w:w="4560" w:type="dxa"/>
            <w:vAlign w:val="bottom"/>
          </w:tcPr>
          <w:p>
            <w:pPr>
              <w:spacing w:after="0"/>
              <w:rPr>
                <w:sz w:val="20"/>
                <w:szCs w:val="20"/>
                <w:color w:val="auto"/>
              </w:rPr>
            </w:pPr>
            <w:r>
              <w:rPr>
                <w:rFonts w:ascii="Arial" w:cs="Arial" w:eastAsia="Arial" w:hAnsi="Arial"/>
                <w:sz w:val="18"/>
                <w:szCs w:val="18"/>
                <w:color w:val="auto"/>
              </w:rPr>
              <w:t>Variable lease costs</w:t>
            </w:r>
          </w:p>
        </w:tc>
        <w:tc>
          <w:tcPr>
            <w:tcW w:w="17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4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r>
      <w:tr>
        <w:trPr>
          <w:trHeight w:val="275"/>
        </w:trPr>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lease costs</w:t>
            </w:r>
          </w:p>
        </w:tc>
        <w:tc>
          <w:tcPr>
            <w:tcW w:w="1740" w:type="dxa"/>
            <w:vAlign w:val="bottom"/>
            <w:tcBorders>
              <w:bottom w:val="single" w:sz="8" w:color="auto"/>
            </w:tcBorders>
            <w:shd w:val="clear" w:color="auto" w:fill="CFF0FC"/>
          </w:tcPr>
          <w:p>
            <w:pPr>
              <w:jc w:val="right"/>
              <w:ind w:right="15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4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85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-24765</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-7620</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0" w:lineRule="exact"/>
        <w:rPr>
          <w:sz w:val="20"/>
          <w:szCs w:val="20"/>
          <w:color w:val="auto"/>
        </w:rPr>
      </w:pPr>
    </w:p>
    <w:p>
      <w:pPr>
        <w:ind w:left="520" w:right="500"/>
        <w:spacing w:after="0" w:line="274" w:lineRule="auto"/>
        <w:rPr>
          <w:sz w:val="20"/>
          <w:szCs w:val="20"/>
          <w:color w:val="auto"/>
        </w:rPr>
      </w:pPr>
      <w:r>
        <w:rPr>
          <w:rFonts w:ascii="Arial" w:cs="Arial" w:eastAsia="Arial" w:hAnsi="Arial"/>
          <w:sz w:val="18"/>
          <w:szCs w:val="18"/>
          <w:color w:val="auto"/>
        </w:rPr>
        <w:t>The Company made cash payments for operating leases of $0.9 million and $2.5 million for the three months ended March 31, 2023 and 2022, respectively.</w:t>
      </w:r>
    </w:p>
    <w:p>
      <w:pPr>
        <w:spacing w:after="0" w:line="275" w:lineRule="exact"/>
        <w:rPr>
          <w:sz w:val="20"/>
          <w:szCs w:val="20"/>
          <w:color w:val="auto"/>
        </w:rPr>
      </w:pPr>
    </w:p>
    <w:p>
      <w:pPr>
        <w:ind w:left="520" w:hanging="513"/>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Goodwill and intangible assets are primarily the result of business acquisitions.</w:t>
      </w:r>
    </w:p>
    <w:p>
      <w:pPr>
        <w:spacing w:after="0" w:line="115" w:lineRule="exact"/>
        <w:rPr>
          <w:rFonts w:ascii="Arial" w:cs="Arial" w:eastAsia="Arial" w:hAnsi="Arial"/>
          <w:sz w:val="18"/>
          <w:szCs w:val="18"/>
          <w:b w:val="1"/>
          <w:bCs w:val="1"/>
          <w:color w:val="auto"/>
        </w:rPr>
      </w:pPr>
    </w:p>
    <w:p>
      <w:pPr>
        <w:ind w:left="520" w:right="22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In the first quarter of 2023, the Company performed an interim review of triggering events for each reporting unit, which would indicate whether a quantitative or qualitative assessment of goodwill impairment was necessary. As a result of the interim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7" w:name="page18"/>
    <w:bookmarkEnd w:id="17"/>
    <w:p>
      <w:pPr>
        <w:ind w:left="520" w:right="20"/>
        <w:spacing w:after="0" w:line="274" w:lineRule="auto"/>
        <w:rPr>
          <w:sz w:val="20"/>
          <w:szCs w:val="20"/>
          <w:color w:val="auto"/>
        </w:rPr>
      </w:pPr>
      <w:r>
        <w:rPr>
          <w:rFonts w:ascii="Arial" w:cs="Arial" w:eastAsia="Arial" w:hAnsi="Arial"/>
          <w:sz w:val="18"/>
          <w:szCs w:val="18"/>
          <w:color w:val="auto"/>
        </w:rPr>
        <w:t>triggering event review, the Company concluded an additional assessment was not necessary. No impairments to goodwill or indefinite life intangible assets were recorded during the three months ended March 31, 2023 and 2022.</w:t>
      </w:r>
    </w:p>
    <w:p>
      <w:pPr>
        <w:spacing w:after="0" w:line="64" w:lineRule="exact"/>
        <w:rPr>
          <w:sz w:val="20"/>
          <w:szCs w:val="20"/>
          <w:color w:val="auto"/>
        </w:rPr>
      </w:pPr>
    </w:p>
    <w:p>
      <w:pPr>
        <w:ind w:left="560" w:right="140"/>
        <w:spacing w:after="0" w:line="277" w:lineRule="auto"/>
        <w:rPr>
          <w:sz w:val="20"/>
          <w:szCs w:val="20"/>
          <w:color w:val="auto"/>
        </w:rPr>
      </w:pPr>
      <w:r>
        <w:rPr>
          <w:rFonts w:ascii="Arial" w:cs="Arial" w:eastAsia="Arial" w:hAnsi="Arial"/>
          <w:sz w:val="17"/>
          <w:szCs w:val="17"/>
          <w:color w:val="auto"/>
        </w:rPr>
        <w:t>Based on our impairment testing performed as of November 30, 2022, the China reporting unit's fair value exceeded its carrying value by approximately 5% and is most susceptible to future impairment risk. While it was concluded that the goodwill assigned to the China reporting unit was not impaired, it could be at risk of future impairment if the China reporting unit's long-term financial objectives are not achieved or if there are changes to estimates and assumptions from a number of factors, many of which are outside the Company's control.</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March 31, 2023 is reflected below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right="51"/>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1"/>
                <w:szCs w:val="21"/>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1"/>
                <w:szCs w:val="21"/>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21"/>
                <w:szCs w:val="21"/>
                <w:color w:val="auto"/>
              </w:rPr>
            </w:pPr>
          </w:p>
        </w:tc>
      </w:tr>
      <w:tr>
        <w:trPr>
          <w:trHeight w:val="248"/>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1"/>
                <w:szCs w:val="21"/>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1"/>
                <w:szCs w:val="21"/>
                <w:color w:val="auto"/>
              </w:rPr>
            </w:pPr>
          </w:p>
        </w:tc>
      </w:tr>
      <w:tr>
        <w:trPr>
          <w:trHeight w:val="242"/>
        </w:trPr>
        <w:tc>
          <w:tcPr>
            <w:tcW w:w="3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16–18</w:t>
            </w:r>
          </w:p>
        </w:tc>
        <w:tc>
          <w:tcPr>
            <w:tcW w:w="10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1,299,750</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(428,161</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871,589</w:t>
            </w:r>
          </w:p>
        </w:tc>
        <w:tc>
          <w:tcPr>
            <w:tcW w:w="100" w:type="dxa"/>
            <w:vAlign w:val="bottom"/>
            <w:shd w:val="clear" w:color="auto" w:fill="CFF0FC"/>
          </w:tcPr>
          <w:p>
            <w:pPr>
              <w:spacing w:after="0"/>
              <w:rPr>
                <w:sz w:val="21"/>
                <w:szCs w:val="21"/>
                <w:color w:val="auto"/>
              </w:rPr>
            </w:pPr>
          </w:p>
        </w:tc>
      </w:tr>
      <w:tr>
        <w:trPr>
          <w:trHeight w:val="242"/>
        </w:trPr>
        <w:tc>
          <w:tcPr>
            <w:tcW w:w="3900" w:type="dxa"/>
            <w:vAlign w:val="bottom"/>
          </w:tcPr>
          <w:p>
            <w:pPr>
              <w:ind w:left="180"/>
              <w:spacing w:after="0"/>
              <w:rPr>
                <w:sz w:val="20"/>
                <w:szCs w:val="20"/>
                <w:color w:val="auto"/>
              </w:rPr>
            </w:pPr>
            <w:r>
              <w:rPr>
                <w:rFonts w:ascii="Arial" w:cs="Arial" w:eastAsia="Arial" w:hAnsi="Arial"/>
                <w:sz w:val="18"/>
                <w:szCs w:val="18"/>
                <w:color w:val="auto"/>
              </w:rPr>
              <w:t>Acquired technologies</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187,950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82"/>
              <w:spacing w:after="0"/>
              <w:rPr>
                <w:sz w:val="20"/>
                <w:szCs w:val="20"/>
                <w:color w:val="auto"/>
              </w:rPr>
            </w:pPr>
            <w:r>
              <w:rPr>
                <w:rFonts w:ascii="Arial" w:cs="Arial" w:eastAsia="Arial" w:hAnsi="Arial"/>
                <w:sz w:val="18"/>
                <w:szCs w:val="18"/>
                <w:color w:val="auto"/>
              </w:rPr>
              <w:t>(155,941 )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32,009</w:t>
            </w:r>
          </w:p>
        </w:tc>
        <w:tc>
          <w:tcPr>
            <w:tcW w:w="100" w:type="dxa"/>
            <w:vAlign w:val="bottom"/>
          </w:tcPr>
          <w:p>
            <w:pPr>
              <w:spacing w:after="0"/>
              <w:rPr>
                <w:sz w:val="21"/>
                <w:szCs w:val="21"/>
                <w:color w:val="auto"/>
              </w:rPr>
            </w:pPr>
          </w:p>
        </w:tc>
      </w:tr>
      <w:tr>
        <w:trPr>
          <w:trHeight w:val="235"/>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1,487,700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(584,102</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903,598</w:t>
            </w:r>
          </w:p>
        </w:tc>
        <w:tc>
          <w:tcPr>
            <w:tcW w:w="100" w:type="dxa"/>
            <w:vAlign w:val="bottom"/>
            <w:shd w:val="clear" w:color="auto" w:fill="CFF0FC"/>
          </w:tcPr>
          <w:p>
            <w:pPr>
              <w:spacing w:after="0"/>
              <w:rPr>
                <w:sz w:val="20"/>
                <w:szCs w:val="20"/>
                <w:color w:val="auto"/>
              </w:rPr>
            </w:pPr>
          </w:p>
        </w:tc>
      </w:tr>
      <w:tr>
        <w:trPr>
          <w:trHeight w:val="235"/>
        </w:trPr>
        <w:tc>
          <w:tcPr>
            <w:tcW w:w="3900" w:type="dxa"/>
            <w:vAlign w:val="bottom"/>
          </w:tcPr>
          <w:p>
            <w:pPr>
              <w:ind w:left="180"/>
              <w:spacing w:after="0"/>
              <w:rPr>
                <w:sz w:val="20"/>
                <w:szCs w:val="20"/>
                <w:color w:val="auto"/>
              </w:rPr>
            </w:pPr>
            <w:r>
              <w:rPr>
                <w:rFonts w:ascii="Arial" w:cs="Arial" w:eastAsia="Arial" w:hAnsi="Arial"/>
                <w:sz w:val="18"/>
                <w:szCs w:val="18"/>
                <w:color w:val="auto"/>
              </w:rPr>
              <w:t>Trademarks—indefinite life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190,470</w:t>
            </w:r>
          </w:p>
        </w:tc>
        <w:tc>
          <w:tcPr>
            <w:tcW w:w="100" w:type="dxa"/>
            <w:vAlign w:val="bottom"/>
          </w:tcPr>
          <w:p>
            <w:pPr>
              <w:spacing w:after="0"/>
              <w:rPr>
                <w:sz w:val="20"/>
                <w:szCs w:val="20"/>
                <w:color w:val="auto"/>
              </w:rPr>
            </w:pPr>
          </w:p>
        </w:tc>
      </w:tr>
      <w:tr>
        <w:trPr>
          <w:trHeight w:val="275"/>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1,678,170</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(584,102</w:t>
            </w:r>
          </w:p>
        </w:tc>
        <w:tc>
          <w:tcPr>
            <w:tcW w:w="22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1,094,068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-24765</wp:posOffset>
            </wp:positionV>
            <wp:extent cx="67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-7620</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-24765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-7620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December 31, 2022 is reflected below (in thousands):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71"/>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right="51"/>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1"/>
                <w:szCs w:val="21"/>
                <w:color w:val="auto"/>
              </w:rPr>
            </w:pPr>
          </w:p>
        </w:tc>
      </w:tr>
      <w:tr>
        <w:trPr>
          <w:trHeight w:val="242"/>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1"/>
                <w:szCs w:val="21"/>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21"/>
                <w:szCs w:val="21"/>
                <w:color w:val="auto"/>
              </w:rPr>
            </w:pPr>
          </w:p>
        </w:tc>
      </w:tr>
      <w:tr>
        <w:trPr>
          <w:trHeight w:val="248"/>
        </w:trPr>
        <w:tc>
          <w:tcPr>
            <w:tcW w:w="39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1"/>
                <w:szCs w:val="21"/>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1"/>
                <w:szCs w:val="21"/>
                <w:color w:val="auto"/>
              </w:rPr>
            </w:pPr>
          </w:p>
        </w:tc>
      </w:tr>
      <w:tr>
        <w:trPr>
          <w:trHeight w:val="242"/>
        </w:trPr>
        <w:tc>
          <w:tcPr>
            <w:tcW w:w="3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16–18</w:t>
            </w:r>
          </w:p>
        </w:tc>
        <w:tc>
          <w:tcPr>
            <w:tcW w:w="10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1,299,750</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(410,095</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889,655</w:t>
            </w:r>
          </w:p>
        </w:tc>
        <w:tc>
          <w:tcPr>
            <w:tcW w:w="100" w:type="dxa"/>
            <w:vAlign w:val="bottom"/>
            <w:shd w:val="clear" w:color="auto" w:fill="CFF0FC"/>
          </w:tcPr>
          <w:p>
            <w:pPr>
              <w:spacing w:after="0"/>
              <w:rPr>
                <w:sz w:val="21"/>
                <w:szCs w:val="21"/>
                <w:color w:val="auto"/>
              </w:rPr>
            </w:pPr>
          </w:p>
        </w:tc>
      </w:tr>
      <w:tr>
        <w:trPr>
          <w:trHeight w:val="242"/>
        </w:trPr>
        <w:tc>
          <w:tcPr>
            <w:tcW w:w="3900" w:type="dxa"/>
            <w:vAlign w:val="bottom"/>
          </w:tcPr>
          <w:p>
            <w:pPr>
              <w:ind w:left="180"/>
              <w:spacing w:after="0"/>
              <w:rPr>
                <w:sz w:val="20"/>
                <w:szCs w:val="20"/>
                <w:color w:val="auto"/>
              </w:rPr>
            </w:pPr>
            <w:r>
              <w:rPr>
                <w:rFonts w:ascii="Arial" w:cs="Arial" w:eastAsia="Arial" w:hAnsi="Arial"/>
                <w:sz w:val="18"/>
                <w:szCs w:val="18"/>
                <w:color w:val="auto"/>
              </w:rPr>
              <w:t>Acquired technologies</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187,950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82"/>
              <w:spacing w:after="0"/>
              <w:rPr>
                <w:sz w:val="20"/>
                <w:szCs w:val="20"/>
                <w:color w:val="auto"/>
              </w:rPr>
            </w:pPr>
            <w:r>
              <w:rPr>
                <w:rFonts w:ascii="Arial" w:cs="Arial" w:eastAsia="Arial" w:hAnsi="Arial"/>
                <w:sz w:val="18"/>
                <w:szCs w:val="18"/>
                <w:color w:val="auto"/>
              </w:rPr>
              <w:t>(149,256 )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38,694</w:t>
            </w:r>
          </w:p>
        </w:tc>
        <w:tc>
          <w:tcPr>
            <w:tcW w:w="100" w:type="dxa"/>
            <w:vAlign w:val="bottom"/>
          </w:tcPr>
          <w:p>
            <w:pPr>
              <w:spacing w:after="0"/>
              <w:rPr>
                <w:sz w:val="21"/>
                <w:szCs w:val="21"/>
                <w:color w:val="auto"/>
              </w:rPr>
            </w:pPr>
          </w:p>
        </w:tc>
      </w:tr>
      <w:tr>
        <w:trPr>
          <w:trHeight w:val="235"/>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Subtotal</w:t>
            </w: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1,487,700</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(559,351</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928,349</w:t>
            </w:r>
          </w:p>
        </w:tc>
        <w:tc>
          <w:tcPr>
            <w:tcW w:w="100" w:type="dxa"/>
            <w:vAlign w:val="bottom"/>
            <w:shd w:val="clear" w:color="auto" w:fill="CFF0FC"/>
          </w:tcPr>
          <w:p>
            <w:pPr>
              <w:spacing w:after="0"/>
              <w:rPr>
                <w:sz w:val="20"/>
                <w:szCs w:val="20"/>
                <w:color w:val="auto"/>
              </w:rPr>
            </w:pPr>
          </w:p>
        </w:tc>
      </w:tr>
      <w:tr>
        <w:trPr>
          <w:trHeight w:val="235"/>
        </w:trPr>
        <w:tc>
          <w:tcPr>
            <w:tcW w:w="3900" w:type="dxa"/>
            <w:vAlign w:val="bottom"/>
          </w:tcPr>
          <w:p>
            <w:pPr>
              <w:ind w:left="180"/>
              <w:spacing w:after="0"/>
              <w:rPr>
                <w:sz w:val="20"/>
                <w:szCs w:val="20"/>
                <w:color w:val="auto"/>
              </w:rPr>
            </w:pPr>
            <w:r>
              <w:rPr>
                <w:rFonts w:ascii="Arial" w:cs="Arial" w:eastAsia="Arial" w:hAnsi="Arial"/>
                <w:sz w:val="18"/>
                <w:szCs w:val="18"/>
                <w:color w:val="auto"/>
              </w:rPr>
              <w:t>Trademarks—indefinite life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190,470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190,470</w:t>
            </w:r>
          </w:p>
        </w:tc>
        <w:tc>
          <w:tcPr>
            <w:tcW w:w="100" w:type="dxa"/>
            <w:vAlign w:val="bottom"/>
          </w:tcPr>
          <w:p>
            <w:pPr>
              <w:spacing w:after="0"/>
              <w:rPr>
                <w:sz w:val="20"/>
                <w:szCs w:val="20"/>
                <w:color w:val="auto"/>
              </w:rPr>
            </w:pPr>
          </w:p>
        </w:tc>
      </w:tr>
      <w:tr>
        <w:trPr>
          <w:trHeight w:val="275"/>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1,678,170</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(559,351</w:t>
            </w:r>
          </w:p>
        </w:tc>
        <w:tc>
          <w:tcPr>
            <w:tcW w:w="22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1,118,819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-24765</wp:posOffset>
            </wp:positionV>
            <wp:extent cx="67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-7620</wp:posOffset>
            </wp:positionV>
            <wp:extent cx="67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-24765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intangible assets was $24.8 million for the three months ended March 31, 2023 and 2022.</w:t>
      </w:r>
    </w:p>
    <w:p>
      <w:pPr>
        <w:spacing w:after="0" w:line="115" w:lineRule="exact"/>
        <w:rPr>
          <w:sz w:val="20"/>
          <w:szCs w:val="20"/>
          <w:color w:val="auto"/>
        </w:rPr>
      </w:pPr>
    </w:p>
    <w:p>
      <w:pPr>
        <w:jc w:val="both"/>
        <w:ind w:left="520" w:right="80"/>
        <w:spacing w:after="0" w:line="274" w:lineRule="auto"/>
        <w:rPr>
          <w:sz w:val="20"/>
          <w:szCs w:val="20"/>
          <w:color w:val="auto"/>
        </w:rPr>
      </w:pPr>
      <w:r>
        <w:rPr>
          <w:rFonts w:ascii="Arial" w:cs="Arial" w:eastAsia="Arial" w:hAnsi="Arial"/>
          <w:sz w:val="18"/>
          <w:szCs w:val="18"/>
          <w:color w:val="auto"/>
        </w:rPr>
        <w:t>Future amortization expense for the remainder of the year ended December 31, 2023 and the following four years ended December 31 and thereafter for intangible assets as of March 31, 2023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2"/>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74,252</w:t>
            </w:r>
          </w:p>
        </w:tc>
        <w:tc>
          <w:tcPr>
            <w:tcW w:w="100" w:type="dxa"/>
            <w:vAlign w:val="bottom"/>
            <w:shd w:val="clear" w:color="auto" w:fill="CFF0FC"/>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2024</w:t>
            </w:r>
          </w:p>
        </w:tc>
        <w:tc>
          <w:tcPr>
            <w:tcW w:w="5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81,417</w:t>
            </w:r>
          </w:p>
        </w:tc>
        <w:tc>
          <w:tcPr>
            <w:tcW w:w="10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72,949</w:t>
            </w:r>
          </w:p>
        </w:tc>
        <w:tc>
          <w:tcPr>
            <w:tcW w:w="100" w:type="dxa"/>
            <w:vAlign w:val="bottom"/>
            <w:shd w:val="clear" w:color="auto" w:fill="CFF0FC"/>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2026</w:t>
            </w:r>
          </w:p>
        </w:tc>
        <w:tc>
          <w:tcPr>
            <w:tcW w:w="5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72,949</w:t>
            </w:r>
          </w:p>
        </w:tc>
        <w:tc>
          <w:tcPr>
            <w:tcW w:w="10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72,949</w:t>
            </w:r>
          </w:p>
        </w:tc>
        <w:tc>
          <w:tcPr>
            <w:tcW w:w="100" w:type="dxa"/>
            <w:vAlign w:val="bottom"/>
            <w:shd w:val="clear" w:color="auto" w:fill="CFF0FC"/>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Thereafter</w:t>
            </w:r>
          </w:p>
        </w:tc>
        <w:tc>
          <w:tcPr>
            <w:tcW w:w="5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529,082</w:t>
            </w:r>
          </w:p>
        </w:tc>
        <w:tc>
          <w:tcPr>
            <w:tcW w:w="100" w:type="dxa"/>
            <w:vAlign w:val="bottom"/>
          </w:tcPr>
          <w:p>
            <w:pPr>
              <w:spacing w:after="0"/>
              <w:rPr>
                <w:sz w:val="20"/>
                <w:szCs w:val="20"/>
                <w:color w:val="auto"/>
              </w:rPr>
            </w:pPr>
          </w:p>
        </w:tc>
      </w:tr>
      <w:tr>
        <w:trPr>
          <w:trHeight w:val="275"/>
        </w:trPr>
        <w:tc>
          <w:tcPr>
            <w:tcW w:w="580" w:type="dxa"/>
            <w:vAlign w:val="bottom"/>
          </w:tcPr>
          <w:p>
            <w:pPr>
              <w:spacing w:after="0"/>
              <w:rPr>
                <w:sz w:val="23"/>
                <w:szCs w:val="23"/>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22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ind w:right="4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903,598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1"/>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20" w:type="dxa"/>
            <w:vAlign w:val="bottom"/>
          </w:tcPr>
          <w:p>
            <w:pPr>
              <w:jc w:val="right"/>
              <w:ind w:right="3531"/>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5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-510540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-493395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8" w:name="page19"/>
    <w:bookmarkEnd w:id="18"/>
    <w:p>
      <w:pPr>
        <w:ind w:left="520" w:hanging="513"/>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0"/>
                <w:szCs w:val="20"/>
                <w:color w:val="auto"/>
              </w:rPr>
            </w:pPr>
          </w:p>
        </w:tc>
      </w:tr>
      <w:tr>
        <w:trPr>
          <w:trHeight w:val="248"/>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53,530</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r>
      <w:tr>
        <w:trPr>
          <w:trHeight w:val="248"/>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Employee insurance benefits</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Royalties and licenses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r>
      <w:tr>
        <w:trPr>
          <w:trHeight w:val="248"/>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agreement</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Sales tax</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0"/>
                <w:szCs w:val="20"/>
                <w:color w:val="auto"/>
              </w:rPr>
            </w:pPr>
          </w:p>
        </w:tc>
      </w:tr>
      <w:tr>
        <w:trPr>
          <w:trHeight w:val="248"/>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45,972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71,445</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-186690</wp:posOffset>
            </wp:positionV>
            <wp:extent cx="67945" cy="187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-186690</wp:posOffset>
            </wp:positionV>
            <wp:extent cx="59690" cy="1873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187325"/>
                    </a:xfrm>
                    <a:prstGeom prst="rect">
                      <a:avLst/>
                    </a:prstGeom>
                    <a:noFill/>
                  </pic:spPr>
                </pic:pic>
              </a:graphicData>
            </a:graphic>
          </wp:anchor>
        </w:drawing>
      </w:r>
    </w:p>
    <w:p>
      <w:pPr>
        <w:spacing w:after="0" w:line="311" w:lineRule="exact"/>
        <w:rPr>
          <w:sz w:val="20"/>
          <w:szCs w:val="20"/>
          <w:color w:val="auto"/>
        </w:rPr>
      </w:pPr>
    </w:p>
    <w:p>
      <w:pPr>
        <w:ind w:left="520" w:hanging="513"/>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liabilities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0"/>
                <w:szCs w:val="20"/>
                <w:color w:val="auto"/>
              </w:rPr>
            </w:pPr>
          </w:p>
        </w:tc>
      </w:tr>
      <w:tr>
        <w:trPr>
          <w:trHeight w:val="248"/>
        </w:trPr>
        <w:tc>
          <w:tcPr>
            <w:tcW w:w="7180" w:type="dxa"/>
            <w:vAlign w:val="bottom"/>
          </w:tcPr>
          <w:p>
            <w:pPr>
              <w:spacing w:after="0"/>
              <w:rPr>
                <w:sz w:val="21"/>
                <w:szCs w:val="21"/>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revenue—non-current</w:t>
            </w:r>
          </w:p>
        </w:tc>
        <w:tc>
          <w:tcPr>
            <w:tcW w:w="1240" w:type="dxa"/>
            <w:vAlign w:val="bottom"/>
            <w:shd w:val="clear" w:color="auto" w:fill="CFF0FC"/>
          </w:tcPr>
          <w:p>
            <w:pPr>
              <w:jc w:val="right"/>
              <w:ind w:right="105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FF0FC"/>
          </w:tcPr>
          <w:p>
            <w:pPr>
              <w:spacing w:after="0"/>
              <w:rPr>
                <w:sz w:val="21"/>
                <w:szCs w:val="21"/>
                <w:color w:val="auto"/>
              </w:rPr>
            </w:pP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Software license agreement</w:t>
            </w:r>
          </w:p>
        </w:tc>
        <w:tc>
          <w:tcPr>
            <w:tcW w:w="1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r>
      <w:tr>
        <w:trPr>
          <w:trHeight w:val="248"/>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75"/>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liabilities</w:t>
            </w:r>
          </w:p>
        </w:tc>
        <w:tc>
          <w:tcPr>
            <w:tcW w:w="1240" w:type="dxa"/>
            <w:vAlign w:val="bottom"/>
            <w:tcBorders>
              <w:bottom w:val="single" w:sz="8" w:color="auto"/>
            </w:tcBorders>
            <w:shd w:val="clear" w:color="auto" w:fill="CFF0FC"/>
          </w:tcPr>
          <w:p>
            <w:pPr>
              <w:jc w:val="right"/>
              <w:ind w:right="105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1,975</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-24765</wp:posOffset>
            </wp:positionV>
            <wp:extent cx="679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-7620</wp:posOffset>
            </wp:positionV>
            <wp:extent cx="67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4" w:lineRule="exact"/>
        <w:rPr>
          <w:sz w:val="20"/>
          <w:szCs w:val="20"/>
          <w:color w:val="auto"/>
        </w:rPr>
      </w:pPr>
    </w:p>
    <w:p>
      <w:pPr>
        <w:ind w:left="520" w:hanging="513"/>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19" w:lineRule="exact"/>
        <w:rPr>
          <w:rFonts w:ascii="Arial" w:cs="Arial" w:eastAsia="Arial" w:hAnsi="Arial"/>
          <w:sz w:val="18"/>
          <w:szCs w:val="18"/>
          <w:b w:val="1"/>
          <w:bCs w:val="1"/>
          <w:color w:val="auto"/>
        </w:rPr>
      </w:pPr>
    </w:p>
    <w:p>
      <w:pPr>
        <w:ind w:left="520" w:right="840" w:firstLine="1"/>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On September 21, 2021, CCC Intelligent Solutions Inc., an indirect wholly-owned subsidiary of the Company, together with certain of the Company’s subsidiaries acting as guarantors entered into a credit agreement (the “2021 Credit Agreement”).</w:t>
      </w:r>
    </w:p>
    <w:p>
      <w:pPr>
        <w:spacing w:after="0" w:line="64" w:lineRule="exact"/>
        <w:rPr>
          <w:rFonts w:ascii="Arial" w:cs="Arial" w:eastAsia="Arial" w:hAnsi="Arial"/>
          <w:sz w:val="18"/>
          <w:szCs w:val="18"/>
          <w:b w:val="1"/>
          <w:bCs w:val="1"/>
          <w:color w:val="auto"/>
        </w:rPr>
      </w:pPr>
    </w:p>
    <w:p>
      <w:pPr>
        <w:ind w:left="520" w:right="26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proceeds of the 2021 Credit Agreement and cash on hand were used to repay all outstanding borrowings under the Company's previous credit agreement.</w:t>
      </w:r>
    </w:p>
    <w:p>
      <w:pPr>
        <w:spacing w:after="0" w:line="64" w:lineRule="exact"/>
        <w:rPr>
          <w:rFonts w:ascii="Arial" w:cs="Arial" w:eastAsia="Arial" w:hAnsi="Arial"/>
          <w:sz w:val="18"/>
          <w:szCs w:val="18"/>
          <w:b w:val="1"/>
          <w:bCs w:val="1"/>
          <w:color w:val="auto"/>
        </w:rPr>
      </w:pPr>
    </w:p>
    <w:p>
      <w:pPr>
        <w:ind w:left="52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 As of March 31, 2023 and December 31, 2022, the unamortized debt discount was $1.6 million and $1.7 million, respectively.</w:t>
      </w:r>
    </w:p>
    <w:p>
      <w:pPr>
        <w:spacing w:after="0" w:line="81" w:lineRule="exact"/>
        <w:rPr>
          <w:rFonts w:ascii="Arial" w:cs="Arial" w:eastAsia="Arial" w:hAnsi="Arial"/>
          <w:sz w:val="18"/>
          <w:szCs w:val="18"/>
          <w:b w:val="1"/>
          <w:bCs w:val="1"/>
          <w:color w:val="auto"/>
        </w:rPr>
      </w:pPr>
    </w:p>
    <w:p>
      <w:pPr>
        <w:ind w:left="52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incurred $9.8 million in financing costs related to the Term B Loan. These costs were recorded to a contra debt account and are being amortized to interest expense over the term of the Term B Loan using the effective interest method. As of March 31, 2023 and December 31, 2022, the unamortized financing costs were $7.9 million and $8.2 million, respectively.</w:t>
      </w:r>
    </w:p>
    <w:p>
      <w:pPr>
        <w:spacing w:after="0" w:line="76" w:lineRule="exact"/>
        <w:rPr>
          <w:rFonts w:ascii="Arial" w:cs="Arial" w:eastAsia="Arial" w:hAnsi="Arial"/>
          <w:sz w:val="18"/>
          <w:szCs w:val="18"/>
          <w:b w:val="1"/>
          <w:bCs w:val="1"/>
          <w:color w:val="auto"/>
        </w:rPr>
      </w:pPr>
    </w:p>
    <w:p>
      <w:pPr>
        <w:ind w:left="520" w:right="20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Company incurred $3.1 million in financing costs related to the 2021 Revolving Credit Facility. These costs were recorded to a deferred financing fees asset account and are being amortized to interest expense over the term of the 2021 Revolving Credit Facility. As of March 31, 2023 and December 31, 2022, the deferred financing fees asset balance was $2.1 million and $2.3 million, respectively.</w:t>
      </w:r>
    </w:p>
    <w:p>
      <w:pPr>
        <w:spacing w:after="0" w:line="57" w:lineRule="exact"/>
        <w:rPr>
          <w:rFonts w:ascii="Arial" w:cs="Arial" w:eastAsia="Arial" w:hAnsi="Arial"/>
          <w:sz w:val="18"/>
          <w:szCs w:val="18"/>
          <w:b w:val="1"/>
          <w:bCs w:val="1"/>
          <w:color w:val="auto"/>
        </w:rPr>
      </w:pPr>
    </w:p>
    <w:p>
      <w:pPr>
        <w:ind w:left="52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9" w:name="page20"/>
    <w:bookmarkEnd w:id="19"/>
    <w:p>
      <w:pPr>
        <w:ind w:left="520" w:right="680"/>
        <w:spacing w:after="0" w:line="274" w:lineRule="auto"/>
        <w:rPr>
          <w:sz w:val="20"/>
          <w:szCs w:val="20"/>
          <w:color w:val="auto"/>
        </w:rPr>
      </w:pPr>
      <w:r>
        <w:rPr>
          <w:rFonts w:ascii="Arial" w:cs="Arial" w:eastAsia="Arial" w:hAnsi="Arial"/>
          <w:sz w:val="18"/>
          <w:szCs w:val="18"/>
          <w:color w:val="auto"/>
        </w:rPr>
        <w:t>3.5 threshold and the Company was not subject to the annual excess cash flow calculation and, as such, was not required to make a principal prepayment.</w:t>
      </w:r>
    </w:p>
    <w:p>
      <w:pPr>
        <w:spacing w:after="0" w:line="64" w:lineRule="exact"/>
        <w:rPr>
          <w:sz w:val="20"/>
          <w:szCs w:val="20"/>
          <w:color w:val="auto"/>
        </w:rPr>
      </w:pPr>
    </w:p>
    <w:p>
      <w:pPr>
        <w:ind w:left="520" w:right="300"/>
        <w:spacing w:after="0" w:line="274" w:lineRule="auto"/>
        <w:rPr>
          <w:sz w:val="20"/>
          <w:szCs w:val="20"/>
          <w:color w:val="auto"/>
        </w:rPr>
      </w:pPr>
      <w:r>
        <w:rPr>
          <w:rFonts w:ascii="Arial" w:cs="Arial" w:eastAsia="Arial" w:hAnsi="Arial"/>
          <w:sz w:val="18"/>
          <w:szCs w:val="18"/>
          <w:color w:val="auto"/>
        </w:rPr>
        <w:t>As of March 31, 2023 and December 31, 2022, the amount outstanding on the Term B Loan is $790.0 million and $792.0 million, respectively, of which $8.0 million is classified as current in the accompanying condensed consolidated balance sheets.</w:t>
      </w:r>
    </w:p>
    <w:p>
      <w:pPr>
        <w:spacing w:after="0" w:line="64" w:lineRule="exact"/>
        <w:rPr>
          <w:sz w:val="20"/>
          <w:szCs w:val="20"/>
          <w:color w:val="auto"/>
        </w:rPr>
      </w:pPr>
    </w:p>
    <w:p>
      <w:pPr>
        <w:jc w:val="both"/>
        <w:ind w:left="520" w:right="180"/>
        <w:spacing w:after="0" w:line="305" w:lineRule="auto"/>
        <w:rPr>
          <w:sz w:val="20"/>
          <w:szCs w:val="20"/>
          <w:color w:val="auto"/>
        </w:rPr>
      </w:pPr>
      <w:r>
        <w:rPr>
          <w:rFonts w:ascii="Arial" w:cs="Arial" w:eastAsia="Arial" w:hAnsi="Arial"/>
          <w:sz w:val="17"/>
          <w:szCs w:val="17"/>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40" w:lineRule="exact"/>
        <w:rPr>
          <w:sz w:val="20"/>
          <w:szCs w:val="20"/>
          <w:color w:val="auto"/>
        </w:rPr>
      </w:pPr>
    </w:p>
    <w:p>
      <w:pPr>
        <w:ind w:left="520" w:right="440"/>
        <w:spacing w:after="0" w:line="274" w:lineRule="auto"/>
        <w:rPr>
          <w:sz w:val="20"/>
          <w:szCs w:val="20"/>
          <w:color w:val="auto"/>
        </w:rPr>
      </w:pPr>
      <w:r>
        <w:rPr>
          <w:rFonts w:ascii="Arial" w:cs="Arial" w:eastAsia="Arial" w:hAnsi="Arial"/>
          <w:sz w:val="18"/>
          <w:szCs w:val="18"/>
          <w:color w:val="auto"/>
        </w:rPr>
        <w:t>A quarterly commitment fee of up to 0.50% is payable on the unused portion of the 2021 Revolving Credit Facility. The 2021 Revolving Credit Facility matures on September 21, 2026.</w:t>
      </w:r>
    </w:p>
    <w:p>
      <w:pPr>
        <w:spacing w:after="0" w:line="64" w:lineRule="exact"/>
        <w:rPr>
          <w:sz w:val="20"/>
          <w:szCs w:val="20"/>
          <w:color w:val="auto"/>
        </w:rPr>
      </w:pPr>
    </w:p>
    <w:p>
      <w:pPr>
        <w:jc w:val="both"/>
        <w:ind w:left="520" w:right="180"/>
        <w:spacing w:after="0" w:line="261" w:lineRule="auto"/>
        <w:rPr>
          <w:sz w:val="20"/>
          <w:szCs w:val="20"/>
          <w:color w:val="auto"/>
        </w:rPr>
      </w:pPr>
      <w:r>
        <w:rPr>
          <w:rFonts w:ascii="Arial" w:cs="Arial" w:eastAsia="Arial" w:hAnsi="Arial"/>
          <w:sz w:val="18"/>
          <w:szCs w:val="18"/>
          <w:color w:val="auto"/>
        </w:rPr>
        <w:t>During the three months ended March 31, 2023 and 2022, the weighted-average interest rate on the outstanding borrowings under the Term B Loan was 6.9% and 3.0%, respectively. During the three months ended March 31, 2023 and 2022, the Company made interest payments of $13.6 million and $5.9 million, respectively.</w:t>
      </w:r>
    </w:p>
    <w:p>
      <w:pPr>
        <w:spacing w:after="0" w:line="76" w:lineRule="exact"/>
        <w:rPr>
          <w:sz w:val="20"/>
          <w:szCs w:val="20"/>
          <w:color w:val="auto"/>
        </w:rPr>
      </w:pPr>
    </w:p>
    <w:p>
      <w:pPr>
        <w:ind w:left="520" w:right="640"/>
        <w:spacing w:after="0" w:line="305" w:lineRule="auto"/>
        <w:rPr>
          <w:sz w:val="20"/>
          <w:szCs w:val="20"/>
          <w:color w:val="auto"/>
        </w:rPr>
      </w:pPr>
      <w:r>
        <w:rPr>
          <w:rFonts w:ascii="Arial" w:cs="Arial" w:eastAsia="Arial" w:hAnsi="Arial"/>
          <w:sz w:val="17"/>
          <w:szCs w:val="17"/>
          <w:color w:val="auto"/>
        </w:rPr>
        <w:t>The Company has an outstanding standby letter of credit for $0.7 million which reduces the amount available to be borrowed under the 2021 Revolving Credit Facility. As of March 31, 2023 and December 31, 2022, $249.3 million was available to be borrowed.</w:t>
      </w:r>
    </w:p>
    <w:p>
      <w:pPr>
        <w:spacing w:after="0" w:line="40" w:lineRule="exact"/>
        <w:rPr>
          <w:sz w:val="20"/>
          <w:szCs w:val="20"/>
          <w:color w:val="auto"/>
        </w:rPr>
      </w:pPr>
    </w:p>
    <w:p>
      <w:pPr>
        <w:ind w:left="520" w:right="40"/>
        <w:spacing w:after="0" w:line="277" w:lineRule="auto"/>
        <w:rPr>
          <w:sz w:val="20"/>
          <w:szCs w:val="20"/>
          <w:color w:val="auto"/>
        </w:rPr>
      </w:pPr>
      <w:r>
        <w:rPr>
          <w:rFonts w:ascii="Arial" w:cs="Arial" w:eastAsia="Arial" w:hAnsi="Arial"/>
          <w:sz w:val="17"/>
          <w:szCs w:val="17"/>
          <w:color w:val="auto"/>
        </w:rPr>
        <w:t>The terms of the 2021 Credit Agreement include a financial covenant which requires that, at the end of each fiscal quarter, if the aggregate amount of borrowings under the 2021 Revolving Credit Facility exceeds 35% of the aggregate commitments, leverage ratio of CCC Intelligent Solutions Inc. and certain of its subsidiaries cannot exceed 6.25 to 1.00. Borrowings under the 2021 Revolving Credit Facility did not exceed 35% of the aggregate commitments and the Company was not subject to the leverage test as of March 31, 2023 or December 31, 2022.</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March 31, 2023 and December 31, 2022 consists of the following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80" w:type="dxa"/>
            <w:vAlign w:val="bottom"/>
            <w:gridSpan w:val="2"/>
          </w:tcPr>
          <w:p>
            <w:pPr>
              <w:jc w:val="right"/>
              <w:ind w:right="271"/>
              <w:spacing w:after="0"/>
              <w:rPr>
                <w:sz w:val="20"/>
                <w:szCs w:val="20"/>
                <w:color w:val="auto"/>
              </w:rPr>
            </w:pPr>
            <w:r>
              <w:rPr>
                <w:rFonts w:ascii="Arial" w:cs="Arial" w:eastAsia="Arial" w:hAnsi="Arial"/>
                <w:sz w:val="18"/>
                <w:szCs w:val="18"/>
                <w:b w:val="1"/>
                <w:bCs w:val="1"/>
                <w:color w:val="auto"/>
                <w:w w:val="93"/>
              </w:rPr>
              <w:t>December 31,</w:t>
            </w:r>
          </w:p>
        </w:tc>
      </w:tr>
      <w:tr>
        <w:trPr>
          <w:trHeight w:val="248"/>
        </w:trPr>
        <w:tc>
          <w:tcPr>
            <w:tcW w:w="7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Term B Loan</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792,000</w:t>
            </w:r>
          </w:p>
        </w:tc>
        <w:tc>
          <w:tcPr>
            <w:tcW w:w="100" w:type="dxa"/>
            <w:vAlign w:val="bottom"/>
            <w:shd w:val="clear" w:color="auto" w:fill="CFF0FC"/>
          </w:tcPr>
          <w:p>
            <w:pPr>
              <w:spacing w:after="0"/>
              <w:rPr>
                <w:sz w:val="21"/>
                <w:szCs w:val="21"/>
                <w:color w:val="auto"/>
              </w:rPr>
            </w:pPr>
          </w:p>
        </w:tc>
      </w:tr>
      <w:tr>
        <w:trPr>
          <w:trHeight w:val="235"/>
        </w:trPr>
        <w:tc>
          <w:tcPr>
            <w:tcW w:w="7240" w:type="dxa"/>
            <w:vAlign w:val="bottom"/>
          </w:tcPr>
          <w:p>
            <w:pPr>
              <w:spacing w:after="0"/>
              <w:rPr>
                <w:sz w:val="20"/>
                <w:szCs w:val="20"/>
                <w:color w:val="auto"/>
              </w:rPr>
            </w:pPr>
            <w:r>
              <w:rPr>
                <w:rFonts w:ascii="Arial" w:cs="Arial" w:eastAsia="Arial" w:hAnsi="Arial"/>
                <w:sz w:val="18"/>
                <w:szCs w:val="18"/>
                <w:color w:val="auto"/>
              </w:rPr>
              <w:t>Term B Loan—discount</w:t>
            </w:r>
          </w:p>
        </w:tc>
        <w:tc>
          <w:tcPr>
            <w:tcW w:w="220" w:type="dxa"/>
            <w:vAlign w:val="bottom"/>
          </w:tcPr>
          <w:p>
            <w:pPr>
              <w:spacing w:after="0"/>
              <w:rPr>
                <w:sz w:val="20"/>
                <w:szCs w:val="20"/>
                <w:color w:val="auto"/>
              </w:rPr>
            </w:pPr>
          </w:p>
        </w:tc>
        <w:tc>
          <w:tcPr>
            <w:tcW w:w="1540" w:type="dxa"/>
            <w:vAlign w:val="bottom"/>
            <w:gridSpan w:val="2"/>
          </w:tcPr>
          <w:p>
            <w:pPr>
              <w:jc w:val="right"/>
              <w:ind w:right="142"/>
              <w:spacing w:after="0"/>
              <w:rPr>
                <w:sz w:val="20"/>
                <w:szCs w:val="20"/>
                <w:color w:val="auto"/>
              </w:rPr>
            </w:pPr>
            <w:r>
              <w:rPr>
                <w:rFonts w:ascii="Arial" w:cs="Arial" w:eastAsia="Arial" w:hAnsi="Arial"/>
                <w:sz w:val="18"/>
                <w:szCs w:val="18"/>
                <w:color w:val="auto"/>
              </w:rPr>
              <w:t>(1,613 )</w:t>
            </w:r>
          </w:p>
        </w:tc>
        <w:tc>
          <w:tcPr>
            <w:tcW w:w="1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(1,669 )</w:t>
            </w:r>
          </w:p>
        </w:tc>
      </w:tr>
      <w:tr>
        <w:trPr>
          <w:trHeight w:val="248"/>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Term B Loan—deferred financing fees</w:t>
            </w:r>
          </w:p>
        </w:tc>
        <w:tc>
          <w:tcPr>
            <w:tcW w:w="2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(7,926 )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(8,199 )</w:t>
            </w:r>
          </w:p>
        </w:tc>
      </w:tr>
      <w:tr>
        <w:trPr>
          <w:trHeight w:val="235"/>
        </w:trPr>
        <w:tc>
          <w:tcPr>
            <w:tcW w:w="72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Term B Loan—net of discount &amp; fees</w:t>
            </w: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780,461</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782,132</w:t>
            </w:r>
          </w:p>
        </w:tc>
        <w:tc>
          <w:tcPr>
            <w:tcW w:w="100" w:type="dxa"/>
            <w:vAlign w:val="bottom"/>
            <w:tcBorders>
              <w:top w:val="single" w:sz="8" w:color="CFF0FC"/>
            </w:tcBorders>
          </w:tcPr>
          <w:p>
            <w:pPr>
              <w:spacing w:after="0"/>
              <w:rPr>
                <w:sz w:val="20"/>
                <w:szCs w:val="20"/>
                <w:color w:val="auto"/>
              </w:rPr>
            </w:pPr>
          </w:p>
        </w:tc>
      </w:tr>
      <w:tr>
        <w:trPr>
          <w:trHeight w:val="235"/>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Total long-term debt—net of current portion</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772,461</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774,132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-510540</wp:posOffset>
            </wp:positionV>
            <wp:extent cx="67945" cy="170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945" cy="1701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-510540</wp:posOffset>
            </wp:positionV>
            <wp:extent cx="59690" cy="170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170180"/>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-186690</wp:posOffset>
            </wp:positionV>
            <wp:extent cx="67945" cy="1873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-186690</wp:posOffset>
            </wp:positionV>
            <wp:extent cx="59690" cy="1873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187325"/>
                    </a:xfrm>
                    <a:prstGeom prst="rect">
                      <a:avLst/>
                    </a:prstGeom>
                    <a:noFill/>
                  </pic:spPr>
                </pic:pic>
              </a:graphicData>
            </a:graphic>
          </wp:anchor>
        </w:drawing>
      </w:r>
    </w:p>
    <w:p>
      <w:pPr>
        <w:spacing w:after="0" w:line="180" w:lineRule="exact"/>
        <w:rPr>
          <w:sz w:val="20"/>
          <w:szCs w:val="20"/>
          <w:color w:val="auto"/>
        </w:rPr>
      </w:pPr>
    </w:p>
    <w:p>
      <w:pPr>
        <w:ind w:left="520" w:right="260"/>
        <w:spacing w:after="0" w:line="257"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The aggregate notional value of the interest rate cap agreements is $600.0 million with a cap rate of 4.0% and an expiration date of July 31, 2025. As of March 31, 2023 and December 31, 2022, the aggregate fair value of the interest rate cap agreements was $9.3 million and $12.0 million, respectively (see Note 5).</w:t>
      </w:r>
    </w:p>
    <w:p>
      <w:pPr>
        <w:spacing w:after="0" w:line="290"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15" w:lineRule="exact"/>
        <w:rPr>
          <w:rFonts w:ascii="Arial" w:cs="Arial" w:eastAsia="Arial" w:hAnsi="Arial"/>
          <w:sz w:val="18"/>
          <w:szCs w:val="18"/>
          <w:b w:val="1"/>
          <w:bCs w:val="1"/>
          <w:color w:val="auto"/>
        </w:rPr>
      </w:pPr>
    </w:p>
    <w:p>
      <w:pPr>
        <w:ind w:left="520" w:right="1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is authorized to issue up to 100,000,000 shares of undesignated preferred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with such designations, voting and other rights and preferences as may be determined from time to time by the Company’s board of directors. As of March 31, 2023, there were no shares of preferred stock issued or outstanding.</w:t>
      </w:r>
    </w:p>
    <w:p>
      <w:pPr>
        <w:spacing w:after="0" w:line="68" w:lineRule="exact"/>
        <w:rPr>
          <w:rFonts w:ascii="Arial" w:cs="Arial" w:eastAsia="Arial" w:hAnsi="Arial"/>
          <w:sz w:val="18"/>
          <w:szCs w:val="18"/>
          <w:b w:val="1"/>
          <w:bCs w:val="1"/>
          <w:color w:val="auto"/>
        </w:rPr>
      </w:pPr>
    </w:p>
    <w:p>
      <w:pPr>
        <w:ind w:left="520" w:right="28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—The Company is authorized to issue up to 5,000,000,000 shares of common stock with a par value of $0.0001 per share.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common stock is entitled to one (1)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50" w:lineRule="exact"/>
        <w:rPr>
          <w:rFonts w:ascii="Arial" w:cs="Arial" w:eastAsia="Arial" w:hAnsi="Arial"/>
          <w:sz w:val="18"/>
          <w:szCs w:val="18"/>
          <w:b w:val="1"/>
          <w:bCs w:val="1"/>
          <w:color w:val="auto"/>
        </w:rPr>
      </w:pPr>
    </w:p>
    <w:p>
      <w:pPr>
        <w:ind w:left="520" w:right="92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There were 627,683,715 and 622,072,905 shares of common stock issued and outstanding as of March 31, 2023 and December 31, 2022, respectively.</w:t>
      </w:r>
    </w:p>
    <w:p>
      <w:pPr>
        <w:spacing w:after="0" w:line="60" w:lineRule="exact"/>
        <w:rPr>
          <w:rFonts w:ascii="Arial" w:cs="Arial" w:eastAsia="Arial" w:hAnsi="Arial"/>
          <w:sz w:val="18"/>
          <w:szCs w:val="18"/>
          <w:b w:val="1"/>
          <w:bCs w:val="1"/>
          <w:color w:val="auto"/>
        </w:rPr>
      </w:pPr>
    </w:p>
    <w:p>
      <w:pPr>
        <w:ind w:left="520" w:hanging="513"/>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In July 2021, the 2021 Equity Incentive Plan (the "2021 Plan") was adopted and approved by the Company's board of directors and stockholders.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—The table below summarizes the restricted stock unit ("RSU") activity for the three months ended March 31, 2023:</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7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20"/>
                <w:szCs w:val="20"/>
                <w:color w:val="auto"/>
              </w:rPr>
            </w:pPr>
          </w:p>
        </w:tc>
      </w:tr>
      <w:tr>
        <w:trPr>
          <w:trHeight w:val="242"/>
        </w:trPr>
        <w:tc>
          <w:tcPr>
            <w:tcW w:w="7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31"/>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1"/>
                <w:szCs w:val="21"/>
                <w:color w:val="auto"/>
              </w:rPr>
            </w:pPr>
          </w:p>
        </w:tc>
      </w:tr>
      <w:tr>
        <w:trPr>
          <w:trHeight w:val="248"/>
        </w:trPr>
        <w:tc>
          <w:tcPr>
            <w:tcW w:w="7640" w:type="dxa"/>
            <w:vAlign w:val="bottom"/>
          </w:tcPr>
          <w:p>
            <w:pPr>
              <w:spacing w:after="0"/>
              <w:rPr>
                <w:sz w:val="21"/>
                <w:szCs w:val="21"/>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1020" w:type="dxa"/>
            <w:vAlign w:val="bottom"/>
          </w:tcPr>
          <w:p>
            <w:pPr>
              <w:jc w:val="center"/>
              <w:ind w:right="51"/>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1"/>
                <w:szCs w:val="21"/>
                <w:color w:val="auto"/>
              </w:rPr>
            </w:pPr>
          </w:p>
        </w:tc>
      </w:tr>
      <w:tr>
        <w:trPr>
          <w:trHeight w:val="242"/>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Unvested RSUs—December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31,288,688</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21"/>
                <w:szCs w:val="21"/>
                <w:color w:val="auto"/>
              </w:rPr>
            </w:pPr>
          </w:p>
        </w:tc>
      </w:tr>
      <w:tr>
        <w:trPr>
          <w:trHeight w:val="235"/>
        </w:trPr>
        <w:tc>
          <w:tcPr>
            <w:tcW w:w="7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11,845,227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r>
      <w:tr>
        <w:trPr>
          <w:trHeight w:val="248"/>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(3,458,937 )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21"/>
                <w:szCs w:val="21"/>
                <w:color w:val="auto"/>
              </w:rPr>
            </w:pPr>
          </w:p>
        </w:tc>
      </w:tr>
      <w:tr>
        <w:trPr>
          <w:trHeight w:val="242"/>
        </w:trPr>
        <w:tc>
          <w:tcPr>
            <w:tcW w:w="7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(664,230 )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r>
      <w:tr>
        <w:trPr>
          <w:trHeight w:val="275"/>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RSUs—March 31,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39,010,748</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-24765</wp:posOffset>
            </wp:positionV>
            <wp:extent cx="679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679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During the three months ended March 31, 2023, the Company granted 11,845,227 RSUs, of which 10,256,794 have time-based vesting requirements, and 1,588,433 have performance-based vesting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2023, 3,458,937 RSUs vested, of which 1,241,558 were withheld for employee tax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—The table below summarizes the option activity for the three months ended March 31,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5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21"/>
                <w:szCs w:val="21"/>
                <w:color w:val="auto"/>
              </w:rPr>
            </w:pPr>
          </w:p>
        </w:tc>
      </w:tr>
      <w:tr>
        <w:trPr>
          <w:trHeight w:val="242"/>
        </w:trPr>
        <w:tc>
          <w:tcPr>
            <w:tcW w:w="5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1"/>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21"/>
                <w:szCs w:val="21"/>
                <w:color w:val="auto"/>
              </w:rPr>
            </w:pPr>
          </w:p>
        </w:tc>
      </w:tr>
      <w:tr>
        <w:trPr>
          <w:trHeight w:val="242"/>
        </w:trPr>
        <w:tc>
          <w:tcPr>
            <w:tcW w:w="5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51"/>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1"/>
                <w:szCs w:val="21"/>
                <w:color w:val="auto"/>
              </w:rPr>
            </w:pPr>
          </w:p>
        </w:tc>
      </w:tr>
      <w:tr>
        <w:trPr>
          <w:trHeight w:val="248"/>
        </w:trPr>
        <w:tc>
          <w:tcPr>
            <w:tcW w:w="5340" w:type="dxa"/>
            <w:vAlign w:val="bottom"/>
          </w:tcPr>
          <w:p>
            <w:pPr>
              <w:spacing w:after="0"/>
              <w:rPr>
                <w:sz w:val="21"/>
                <w:szCs w:val="21"/>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1"/>
                <w:szCs w:val="21"/>
                <w:color w:val="auto"/>
              </w:rPr>
            </w:pPr>
          </w:p>
        </w:tc>
        <w:tc>
          <w:tcPr>
            <w:tcW w:w="98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1"/>
                <w:szCs w:val="21"/>
                <w:color w:val="auto"/>
              </w:rPr>
            </w:pPr>
          </w:p>
        </w:tc>
      </w:tr>
      <w:tr>
        <w:trPr>
          <w:trHeight w:val="242"/>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outstanding—December 31,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45,249,260</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258,470</w:t>
            </w:r>
          </w:p>
        </w:tc>
        <w:tc>
          <w:tcPr>
            <w:tcW w:w="100" w:type="dxa"/>
            <w:vAlign w:val="bottom"/>
            <w:shd w:val="clear" w:color="auto" w:fill="CFF0FC"/>
          </w:tcPr>
          <w:p>
            <w:pPr>
              <w:spacing w:after="0"/>
              <w:rPr>
                <w:sz w:val="21"/>
                <w:szCs w:val="21"/>
                <w:color w:val="auto"/>
              </w:rPr>
            </w:pPr>
          </w:p>
        </w:tc>
      </w:tr>
      <w:tr>
        <w:trPr>
          <w:trHeight w:val="235"/>
        </w:trPr>
        <w:tc>
          <w:tcPr>
            <w:tcW w:w="53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(3,214,093 )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 and canceled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(454,982 )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53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Options outstanding—March 31, 2023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41,580,185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2.97</w:t>
            </w:r>
          </w:p>
        </w:tc>
        <w:tc>
          <w:tcPr>
            <w:tcW w:w="1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249,303</w:t>
            </w:r>
          </w:p>
        </w:tc>
        <w:tc>
          <w:tcPr>
            <w:tcW w:w="100" w:type="dxa"/>
            <w:vAlign w:val="bottom"/>
            <w:tcBorders>
              <w:top w:val="single" w:sz="8" w:color="CFF0FC"/>
            </w:tcBorders>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2"/>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exercisable—March 31, 2023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38,959,492</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239,876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Options vested and expected to vest—March 31, 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41,441,319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248,857</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-544830</wp:posOffset>
            </wp:positionV>
            <wp:extent cx="67945" cy="1873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45" cy="187325"/>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-203835</wp:posOffset>
            </wp:positionV>
            <wp:extent cx="67945" cy="204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45" cy="20447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options which vested during the three months ended March 31, 2023 was $1.7 million.</w:t>
      </w:r>
    </w:p>
    <w:p>
      <w:pPr>
        <w:spacing w:after="0" w:line="1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Cayman Equity Incentive Plan</w:t>
      </w:r>
      <w:r>
        <w:rPr>
          <w:rFonts w:ascii="Arial" w:cs="Arial" w:eastAsia="Arial" w:hAnsi="Arial"/>
          <w:sz w:val="18"/>
          <w:szCs w:val="18"/>
          <w:color w:val="auto"/>
        </w:rPr>
        <w:t>—In December 2022, the Company adopted the CCCIS Cayman Holdings Employees Equity Incentive Plans</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Incentive Plans”), which provide for the issuance of stock option awards in CCC Cayman (“Cayman Awards”) to eligible employees of the Company's China subsidiaries.</w:t>
      </w:r>
    </w:p>
    <w:p>
      <w:pPr>
        <w:spacing w:after="0" w:line="7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March 31, 2023, the Company granted 539,400 stock options under the Cayman Incentive Plans. The exercise price of the options granted is equal to the fair value of the underlying shares at the grant date. As of March 31, 2023 and December 31, 2022, 1,842,400 and 1,303,000, respectively, of stock options under the Cayman Incentive Plans are outstanding. As of March 31, 2023, none of the outstanding stock options are exercisable.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—In July 2021, the Company adopted the CCC 2021 Employee Stock Purchase Plan ("ESPP").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2023, 179,338 shares were sold under the ESPP.</w:t>
      </w:r>
    </w:p>
    <w:p>
      <w:pPr>
        <w:spacing w:after="0" w:line="115"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The fair value of ESPP purchase rights sold during the three months ended March 31, 2023 was estimated using the Black-Scholes option pricing model with the following assumptions: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20" w:type="dxa"/>
            <w:vAlign w:val="bottom"/>
            <w:shd w:val="clear" w:color="auto" w:fill="CFF0FC"/>
          </w:tcPr>
          <w:p>
            <w:pPr>
              <w:jc w:val="center"/>
              <w:ind w:left="3031"/>
              <w:spacing w:after="0"/>
              <w:rPr>
                <w:sz w:val="20"/>
                <w:szCs w:val="20"/>
                <w:color w:val="auto"/>
              </w:rPr>
            </w:pPr>
            <w:r>
              <w:rPr>
                <w:rFonts w:ascii="Arial" w:cs="Arial" w:eastAsia="Arial" w:hAnsi="Arial"/>
                <w:sz w:val="18"/>
                <w:szCs w:val="18"/>
                <w:color w:val="auto"/>
                <w:w w:val="87"/>
              </w:rPr>
              <w:t>0.5</w:t>
            </w: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5020" w:type="dxa"/>
            <w:vAlign w:val="bottom"/>
          </w:tcPr>
          <w:p>
            <w:pPr>
              <w:jc w:val="center"/>
              <w:ind w:left="3031"/>
              <w:spacing w:after="0"/>
              <w:rPr>
                <w:sz w:val="20"/>
                <w:szCs w:val="20"/>
                <w:color w:val="auto"/>
              </w:rPr>
            </w:pPr>
            <w:r>
              <w:rPr>
                <w:rFonts w:ascii="Arial" w:cs="Arial" w:eastAsia="Arial" w:hAnsi="Arial"/>
                <w:sz w:val="18"/>
                <w:szCs w:val="18"/>
                <w:color w:val="auto"/>
                <w:w w:val="94"/>
              </w:rPr>
              <w:t>51%</w:t>
            </w:r>
          </w:p>
        </w:tc>
      </w:tr>
      <w:tr>
        <w:trPr>
          <w:trHeight w:val="248"/>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020" w:type="dxa"/>
            <w:vAlign w:val="bottom"/>
            <w:shd w:val="clear" w:color="auto" w:fill="CFF0FC"/>
          </w:tcPr>
          <w:p>
            <w:pPr>
              <w:jc w:val="center"/>
              <w:ind w:left="3011"/>
              <w:spacing w:after="0"/>
              <w:rPr>
                <w:sz w:val="20"/>
                <w:szCs w:val="20"/>
                <w:color w:val="auto"/>
              </w:rPr>
            </w:pPr>
            <w:r>
              <w:rPr>
                <w:rFonts w:ascii="Arial" w:cs="Arial" w:eastAsia="Arial" w:hAnsi="Arial"/>
                <w:sz w:val="18"/>
                <w:szCs w:val="18"/>
                <w:color w:val="auto"/>
                <w:w w:val="92"/>
              </w:rPr>
              <w:t>0%</w:t>
            </w: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20" w:type="dxa"/>
            <w:vAlign w:val="bottom"/>
          </w:tcPr>
          <w:p>
            <w:pPr>
              <w:jc w:val="center"/>
              <w:ind w:left="3031"/>
              <w:spacing w:after="0"/>
              <w:rPr>
                <w:sz w:val="20"/>
                <w:szCs w:val="20"/>
                <w:color w:val="auto"/>
              </w:rPr>
            </w:pPr>
            <w:r>
              <w:rPr>
                <w:rFonts w:ascii="Arial" w:cs="Arial" w:eastAsia="Arial" w:hAnsi="Arial"/>
                <w:sz w:val="18"/>
                <w:szCs w:val="18"/>
                <w:color w:val="auto"/>
                <w:w w:val="92"/>
              </w:rPr>
              <w:t>2.5%</w:t>
            </w:r>
          </w:p>
        </w:tc>
      </w:tr>
    </w:tbl>
    <w:p>
      <w:pPr>
        <w:spacing w:after="0" w:line="1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Company Earnout Shares</w:t>
      </w:r>
      <w:r>
        <w:rPr>
          <w:rFonts w:ascii="Arial" w:cs="Arial" w:eastAsia="Arial" w:hAnsi="Arial"/>
          <w:sz w:val="18"/>
          <w:szCs w:val="18"/>
          <w:color w:val="auto"/>
        </w:rPr>
        <w:t>—Pursuant to the Business Combination Agreement, CCCIS shareholders and option holders, subject to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have the right to receive up to an additional 13.5 million and 1.5 million shares of common stock, respectively, (collectively, the "Company Earnout Shares") if before the tenth anniversary of the Closing, (a) the share price has been greater than or equal to $15.00 per share for any twenty trading days within any thirty consecutive trading day period</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69215</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840" w:top="447" w:right="339" w:bottom="1440" w:gutter="0" w:footer="0" w:header="0"/>
        </w:sectPr>
      </w:pPr>
    </w:p>
    <w:bookmarkStart w:id="21" w:name="page22"/>
    <w:bookmarkEnd w:id="21"/>
    <w:p>
      <w:pPr>
        <w:ind w:left="520" w:right="80"/>
        <w:spacing w:after="0" w:line="274" w:lineRule="auto"/>
        <w:rPr>
          <w:sz w:val="20"/>
          <w:szCs w:val="20"/>
          <w:color w:val="auto"/>
        </w:rPr>
      </w:pPr>
      <w:r>
        <w:rPr>
          <w:rFonts w:ascii="Arial" w:cs="Arial" w:eastAsia="Arial" w:hAnsi="Arial"/>
          <w:sz w:val="18"/>
          <w:szCs w:val="18"/>
          <w:color w:val="auto"/>
        </w:rPr>
        <w:t>beginning after Closing, or (b) there is a change in control, as defined in the Business Combination Agreement. As of March 31, 2023, the Company Earnout Shares remain outstanding as neither condition has been satisfied.</w:t>
      </w:r>
    </w:p>
    <w:p>
      <w:pPr>
        <w:spacing w:after="0" w:line="64" w:lineRule="exact"/>
        <w:rPr>
          <w:sz w:val="20"/>
          <w:szCs w:val="20"/>
          <w:color w:val="auto"/>
        </w:rPr>
      </w:pPr>
    </w:p>
    <w:p>
      <w:pPr>
        <w:ind w:left="520" w:right="440"/>
        <w:spacing w:after="0" w:line="305"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—Stock-based compensation expense has been recorded in the accompanying condensed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comprehensive income as follows for the three months ended March 31, 2023 and 2022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For the Three Months Ended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55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5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3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CFF0FC"/>
          </w:tcPr>
          <w:p>
            <w:pPr>
              <w:jc w:val="right"/>
              <w:ind w:right="11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20"/>
                <w:szCs w:val="20"/>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5,875</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0"/>
                <w:szCs w:val="20"/>
                <w:color w:val="auto"/>
              </w:rPr>
            </w:pPr>
          </w:p>
        </w:tc>
      </w:tr>
      <w:tr>
        <w:trPr>
          <w:trHeight w:val="248"/>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FF0FC"/>
          </w:tcPr>
          <w:p>
            <w:pPr>
              <w:spacing w:after="0"/>
              <w:rPr>
                <w:sz w:val="21"/>
                <w:szCs w:val="21"/>
                <w:color w:val="auto"/>
              </w:rPr>
            </w:pP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20"/>
                <w:szCs w:val="20"/>
                <w:color w:val="auto"/>
              </w:rPr>
            </w:pPr>
          </w:p>
        </w:tc>
      </w:tr>
      <w:tr>
        <w:trPr>
          <w:trHeight w:val="275"/>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Borders>
              <w:bottom w:val="single" w:sz="8" w:color="auto"/>
            </w:tcBorders>
            <w:shd w:val="clear" w:color="auto" w:fill="CFF0FC"/>
          </w:tcPr>
          <w:p>
            <w:pPr>
              <w:jc w:val="right"/>
              <w:ind w:right="11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29,234</w:t>
            </w:r>
          </w:p>
        </w:tc>
        <w:tc>
          <w:tcPr>
            <w:tcW w:w="3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5374005</wp:posOffset>
            </wp:positionH>
            <wp:positionV relativeFrom="paragraph">
              <wp:posOffset>-24765</wp:posOffset>
            </wp:positionV>
            <wp:extent cx="679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-7620</wp:posOffset>
            </wp:positionV>
            <wp:extent cx="679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0" w:lineRule="exact"/>
        <w:rPr>
          <w:sz w:val="20"/>
          <w:szCs w:val="20"/>
          <w:color w:val="auto"/>
        </w:rPr>
      </w:pPr>
    </w:p>
    <w:p>
      <w:pPr>
        <w:ind w:left="520" w:right="140"/>
        <w:spacing w:after="0" w:line="257" w:lineRule="auto"/>
        <w:rPr>
          <w:sz w:val="20"/>
          <w:szCs w:val="20"/>
          <w:color w:val="auto"/>
        </w:rPr>
      </w:pPr>
      <w:r>
        <w:rPr>
          <w:rFonts w:ascii="Arial" w:cs="Arial" w:eastAsia="Arial" w:hAnsi="Arial"/>
          <w:sz w:val="18"/>
          <w:szCs w:val="18"/>
          <w:color w:val="auto"/>
        </w:rPr>
        <w:t>As of March 31, 2023, there was $234.6 million of unrecognized stock compensation expense related to unvested time-based awards which is expected to be recognized over a weighted-average period of 3.1 years. As of March 31, 2023, there was $71.3 million of unrecognized stock-based compensation expense related to unvested performance-based awards which is expected to be recognized over a weighted-average period of 1.5 years.</w:t>
      </w:r>
    </w:p>
    <w:p>
      <w:pPr>
        <w:spacing w:after="0" w:line="290" w:lineRule="exact"/>
        <w:rPr>
          <w:sz w:val="20"/>
          <w:szCs w:val="20"/>
          <w:color w:val="auto"/>
        </w:rPr>
      </w:pPr>
    </w:p>
    <w:p>
      <w:pPr>
        <w:ind w:left="520" w:hanging="513"/>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19" w:lineRule="exact"/>
        <w:rPr>
          <w:rFonts w:ascii="Arial" w:cs="Arial" w:eastAsia="Arial" w:hAnsi="Arial"/>
          <w:sz w:val="18"/>
          <w:szCs w:val="18"/>
          <w:b w:val="1"/>
          <w:bCs w:val="1"/>
          <w:color w:val="auto"/>
        </w:rPr>
      </w:pPr>
    </w:p>
    <w:p>
      <w:pPr>
        <w:ind w:left="520" w:right="5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Upon consummation of the Business Combination, the Company assumed publicly-traded warrants ("Public Warrants") and warrants sold in a private placement ("Private Warrants") issued by Dragoneer.</w:t>
      </w:r>
    </w:p>
    <w:p>
      <w:pPr>
        <w:spacing w:after="0" w:line="64" w:lineRule="exact"/>
        <w:rPr>
          <w:rFonts w:ascii="Arial" w:cs="Arial" w:eastAsia="Arial" w:hAnsi="Arial"/>
          <w:sz w:val="18"/>
          <w:szCs w:val="18"/>
          <w:b w:val="1"/>
          <w:bCs w:val="1"/>
          <w:color w:val="auto"/>
        </w:rPr>
      </w:pPr>
    </w:p>
    <w:p>
      <w:pPr>
        <w:ind w:left="52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76" w:lineRule="exact"/>
        <w:rPr>
          <w:rFonts w:ascii="Arial" w:cs="Arial" w:eastAsia="Arial" w:hAnsi="Arial"/>
          <w:sz w:val="18"/>
          <w:szCs w:val="18"/>
          <w:b w:val="1"/>
          <w:bCs w:val="1"/>
          <w:color w:val="auto"/>
        </w:rPr>
      </w:pPr>
    </w:p>
    <w:p>
      <w:pPr>
        <w:ind w:left="5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November 2021, the Company announced that it had elected to redeem all of the outstanding Public Warrants on December 29, 2021. Each Public Warrant not exercised by the exercise deadline was redeemed by the Company for $0.10. Concurrent with the redemption, the Public Warrants ceased trading on the New York Stock Exchange and no Public Warrants remained outstanding.</w:t>
      </w:r>
    </w:p>
    <w:p>
      <w:pPr>
        <w:spacing w:after="0" w:line="76" w:lineRule="exact"/>
        <w:rPr>
          <w:rFonts w:ascii="Arial" w:cs="Arial" w:eastAsia="Arial" w:hAnsi="Arial"/>
          <w:sz w:val="18"/>
          <w:szCs w:val="18"/>
          <w:b w:val="1"/>
          <w:bCs w:val="1"/>
          <w:color w:val="auto"/>
        </w:rPr>
      </w:pPr>
    </w:p>
    <w:p>
      <w:pPr>
        <w:ind w:left="520" w:right="1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57" w:lineRule="exact"/>
        <w:rPr>
          <w:rFonts w:ascii="Arial" w:cs="Arial" w:eastAsia="Arial" w:hAnsi="Arial"/>
          <w:sz w:val="18"/>
          <w:szCs w:val="18"/>
          <w:b w:val="1"/>
          <w:bCs w:val="1"/>
          <w:color w:val="auto"/>
        </w:rPr>
      </w:pPr>
    </w:p>
    <w:p>
      <w:pPr>
        <w:ind w:left="520" w:right="4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57" w:lineRule="exact"/>
        <w:rPr>
          <w:rFonts w:ascii="Arial" w:cs="Arial" w:eastAsia="Arial" w:hAnsi="Arial"/>
          <w:sz w:val="18"/>
          <w:szCs w:val="18"/>
          <w:b w:val="1"/>
          <w:bCs w:val="1"/>
          <w:color w:val="auto"/>
        </w:rPr>
      </w:pPr>
    </w:p>
    <w:p>
      <w:pPr>
        <w:ind w:left="520" w:right="2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There were no exercises or redemptions of the Private Warrants during the three months ended March 31, 2023. As of March 31, 2023 and December 31, 2022, the Company had 17,800,000 Private Warrants outstanding.</w:t>
      </w:r>
    </w:p>
    <w:p>
      <w:pPr>
        <w:spacing w:after="0" w:line="64" w:lineRule="exact"/>
        <w:rPr>
          <w:rFonts w:ascii="Arial" w:cs="Arial" w:eastAsia="Arial" w:hAnsi="Arial"/>
          <w:sz w:val="18"/>
          <w:szCs w:val="18"/>
          <w:b w:val="1"/>
          <w:bCs w:val="1"/>
          <w:color w:val="auto"/>
        </w:rPr>
      </w:pPr>
    </w:p>
    <w:p>
      <w:pPr>
        <w:ind w:left="520" w:right="500"/>
        <w:spacing w:after="0" w:line="305" w:lineRule="auto"/>
        <w:rPr>
          <w:rFonts w:ascii="Arial" w:cs="Arial" w:eastAsia="Arial" w:hAnsi="Arial"/>
          <w:sz w:val="18"/>
          <w:szCs w:val="18"/>
          <w:b w:val="1"/>
          <w:bCs w:val="1"/>
          <w:color w:val="auto"/>
        </w:rPr>
      </w:pPr>
      <w:r>
        <w:rPr>
          <w:rFonts w:ascii="Arial" w:cs="Arial" w:eastAsia="Arial" w:hAnsi="Arial"/>
          <w:sz w:val="17"/>
          <w:szCs w:val="17"/>
          <w:color w:val="auto"/>
        </w:rPr>
        <w:t>The Company recognized income of $1.2 million and $2.1 million as a change in fair value of warrant liabilities in the condensed consolidated statements of operations and comprehensive income for the three months ended March 31, 2023 and 2022, respectively.</w:t>
      </w:r>
    </w:p>
    <w:p>
      <w:pPr>
        <w:spacing w:after="0" w:line="4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As of March 31, 2023 and December 31, 2022, the Company’s warrant liability was $35.2 million and $36.4 million, respectively.</w:t>
      </w:r>
    </w:p>
    <w:p>
      <w:pPr>
        <w:spacing w:after="0" w:line="325" w:lineRule="exact"/>
        <w:rPr>
          <w:rFonts w:ascii="Arial" w:cs="Arial" w:eastAsia="Arial" w:hAnsi="Arial"/>
          <w:sz w:val="18"/>
          <w:szCs w:val="18"/>
          <w:b w:val="1"/>
          <w:bCs w:val="1"/>
          <w:color w:val="auto"/>
        </w:rPr>
      </w:pPr>
    </w:p>
    <w:p>
      <w:pPr>
        <w:ind w:left="520" w:hanging="513"/>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15" w:lineRule="exact"/>
        <w:rPr>
          <w:rFonts w:ascii="Arial" w:cs="Arial" w:eastAsia="Arial" w:hAnsi="Arial"/>
          <w:sz w:val="18"/>
          <w:szCs w:val="18"/>
          <w:b w:val="1"/>
          <w:bCs w:val="1"/>
          <w:color w:val="auto"/>
        </w:rPr>
      </w:pPr>
    </w:p>
    <w:p>
      <w:pPr>
        <w:jc w:val="both"/>
        <w:ind w:left="520" w:right="2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long-term agreements with suppliers and other parties related to licensing data used in its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outsourced data center, disaster recovery, and software as a service that expire at various dates through 2031. As of March 31, 2023, there were no material changes from the amounts disclosed as of December 31, 2022.</w:t>
      </w:r>
    </w:p>
    <w:p>
      <w:pPr>
        <w:spacing w:after="0" w:line="68" w:lineRule="exact"/>
        <w:rPr>
          <w:rFonts w:ascii="Arial" w:cs="Arial" w:eastAsia="Arial" w:hAnsi="Arial"/>
          <w:sz w:val="18"/>
          <w:szCs w:val="18"/>
          <w:b w:val="1"/>
          <w:bCs w:val="1"/>
          <w:color w:val="auto"/>
        </w:rPr>
      </w:pPr>
    </w:p>
    <w:p>
      <w:pPr>
        <w:ind w:left="520" w:right="160"/>
        <w:spacing w:after="0" w:line="279" w:lineRule="auto"/>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r>
        <w:rPr>
          <w:rFonts w:ascii="Arial" w:cs="Arial" w:eastAsia="Arial" w:hAnsi="Arial"/>
          <w:sz w:val="18"/>
          <w:szCs w:val="18"/>
          <w:color w:val="auto"/>
        </w:rPr>
        <w:t>The Company’s services and solutions are typically warranted to perform in a manner consistent with general industry standards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reasonably applicable and substantially in accordance with the Company’s services and solutions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2" w:name="page23"/>
    <w:bookmarkEnd w:id="22"/>
    <w:p>
      <w:pPr>
        <w:ind w:left="520" w:right="20"/>
        <w:spacing w:after="0" w:line="257" w:lineRule="auto"/>
        <w:rPr>
          <w:sz w:val="20"/>
          <w:szCs w:val="20"/>
          <w:color w:val="auto"/>
        </w:rPr>
      </w:pPr>
      <w:r>
        <w:rPr>
          <w:rFonts w:ascii="Arial" w:cs="Arial" w:eastAsia="Arial" w:hAnsi="Arial"/>
          <w:sz w:val="18"/>
          <w:szCs w:val="18"/>
          <w:color w:val="auto"/>
        </w:rPr>
        <w:t>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spacing w:after="0" w:line="80" w:lineRule="exact"/>
        <w:rPr>
          <w:sz w:val="20"/>
          <w:szCs w:val="20"/>
          <w:color w:val="auto"/>
        </w:rPr>
      </w:pPr>
    </w:p>
    <w:p>
      <w:pPr>
        <w:ind w:left="520" w:right="360"/>
        <w:spacing w:after="0" w:line="274" w:lineRule="auto"/>
        <w:rPr>
          <w:sz w:val="20"/>
          <w:szCs w:val="20"/>
          <w:color w:val="auto"/>
        </w:rPr>
      </w:pPr>
      <w:r>
        <w:rPr>
          <w:rFonts w:ascii="Arial" w:cs="Arial" w:eastAsia="Arial" w:hAnsi="Arial"/>
          <w:sz w:val="18"/>
          <w:szCs w:val="18"/>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60" w:lineRule="exact"/>
        <w:rPr>
          <w:sz w:val="20"/>
          <w:szCs w:val="20"/>
          <w:color w:val="auto"/>
        </w:rPr>
      </w:pPr>
    </w:p>
    <w:p>
      <w:pPr>
        <w:ind w:left="520" w:right="400"/>
        <w:spacing w:after="0" w:line="310" w:lineRule="auto"/>
        <w:rPr>
          <w:sz w:val="20"/>
          <w:szCs w:val="20"/>
          <w:color w:val="auto"/>
        </w:rPr>
      </w:pPr>
      <w:r>
        <w:rPr>
          <w:rFonts w:ascii="Arial" w:cs="Arial" w:eastAsia="Arial" w:hAnsi="Arial"/>
          <w:sz w:val="17"/>
          <w:szCs w:val="17"/>
          <w:b w:val="1"/>
          <w:bCs w:val="1"/>
          <w:color w:val="auto"/>
        </w:rPr>
        <w:t>Employment Agreements</w:t>
      </w:r>
      <w:r>
        <w:rPr>
          <w:rFonts w:ascii="Arial" w:cs="Arial" w:eastAsia="Arial" w:hAnsi="Arial"/>
          <w:sz w:val="17"/>
          <w:szCs w:val="17"/>
          <w:color w:val="auto"/>
        </w:rPr>
        <w:t>—The Company is a party to employment agreements with key employees that provide for compensation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benefits. These agreements also provide for severance and bonus payments under certain circumstances.</w:t>
      </w:r>
    </w:p>
    <w:p>
      <w:pPr>
        <w:spacing w:after="0" w:line="247" w:lineRule="exact"/>
        <w:rPr>
          <w:sz w:val="20"/>
          <w:szCs w:val="20"/>
          <w:color w:val="auto"/>
        </w:rPr>
      </w:pPr>
    </w:p>
    <w:p>
      <w:pPr>
        <w:ind w:left="520" w:hanging="513"/>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 AND CONTINGENCIES</w:t>
      </w:r>
    </w:p>
    <w:p>
      <w:pPr>
        <w:spacing w:after="0" w:line="119" w:lineRule="exact"/>
        <w:rPr>
          <w:rFonts w:ascii="Arial" w:cs="Arial" w:eastAsia="Arial" w:hAnsi="Arial"/>
          <w:sz w:val="18"/>
          <w:szCs w:val="18"/>
          <w:b w:val="1"/>
          <w:bCs w:val="1"/>
          <w:color w:val="auto"/>
        </w:rPr>
      </w:pPr>
    </w:p>
    <w:p>
      <w:pPr>
        <w:ind w:left="520" w:right="1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60" w:lineRule="exact"/>
        <w:rPr>
          <w:rFonts w:ascii="Arial" w:cs="Arial" w:eastAsia="Arial" w:hAnsi="Arial"/>
          <w:sz w:val="18"/>
          <w:szCs w:val="18"/>
          <w:b w:val="1"/>
          <w:bCs w:val="1"/>
          <w:color w:val="auto"/>
        </w:rPr>
      </w:pPr>
    </w:p>
    <w:p>
      <w:pPr>
        <w:ind w:left="520" w:hanging="513"/>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19" w:lineRule="exact"/>
        <w:rPr>
          <w:rFonts w:ascii="Arial" w:cs="Arial" w:eastAsia="Arial" w:hAnsi="Arial"/>
          <w:sz w:val="18"/>
          <w:szCs w:val="18"/>
          <w:b w:val="1"/>
          <w:bCs w:val="1"/>
          <w:color w:val="auto"/>
        </w:rPr>
      </w:pPr>
    </w:p>
    <w:p>
      <w:pPr>
        <w:ind w:left="520" w:right="70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Company has engaged in transactions within the ordinary course of business with entities affiliated with its principal equity owners and directors.</w:t>
      </w:r>
    </w:p>
    <w:p>
      <w:pPr>
        <w:spacing w:after="0" w:line="64" w:lineRule="exact"/>
        <w:rPr>
          <w:rFonts w:ascii="Arial" w:cs="Arial" w:eastAsia="Arial" w:hAnsi="Arial"/>
          <w:sz w:val="18"/>
          <w:szCs w:val="18"/>
          <w:b w:val="1"/>
          <w:bCs w:val="1"/>
          <w:color w:val="auto"/>
        </w:rPr>
      </w:pPr>
    </w:p>
    <w:p>
      <w:pPr>
        <w:ind w:left="520" w:right="340"/>
        <w:spacing w:after="0" w:line="274"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revenues recognized and expenses incurred with entities affiliated with one of its principal equity owners for the three months ended March 31, 2023 and 2022 (in thousands):</w:t>
      </w:r>
    </w:p>
    <w:p>
      <w:pPr>
        <w:spacing w:after="0" w:line="74"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For the Three Months Ended</w:t>
      </w:r>
    </w:p>
    <w:p>
      <w:pPr>
        <w:spacing w:after="0" w:line="35"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March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242"/>
        </w:trPr>
        <w:tc>
          <w:tcPr>
            <w:tcW w:w="78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35"/>
        </w:trPr>
        <w:tc>
          <w:tcPr>
            <w:tcW w:w="78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78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Credit card processing</w:t>
            </w:r>
          </w:p>
        </w:tc>
        <w:tc>
          <w:tcPr>
            <w:tcW w:w="920" w:type="dxa"/>
            <w:vAlign w:val="bottom"/>
            <w:shd w:val="clear" w:color="auto" w:fill="CFF0FC"/>
          </w:tcPr>
          <w:p>
            <w:pPr>
              <w:jc w:val="right"/>
              <w:ind w:right="73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8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Employee health insurance benefits</w:t>
            </w:r>
          </w:p>
        </w:tc>
        <w:tc>
          <w:tcPr>
            <w:tcW w:w="9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21"/>
                <w:szCs w:val="21"/>
                <w:color w:val="auto"/>
              </w:rPr>
            </w:pPr>
          </w:p>
        </w:tc>
      </w:tr>
      <w:tr>
        <w:trPr>
          <w:trHeight w:val="235"/>
        </w:trPr>
        <w:tc>
          <w:tcPr>
            <w:tcW w:w="7800" w:type="dxa"/>
            <w:vAlign w:val="bottom"/>
          </w:tcPr>
          <w:p>
            <w:pPr>
              <w:ind w:left="100"/>
              <w:spacing w:after="0"/>
              <w:rPr>
                <w:sz w:val="20"/>
                <w:szCs w:val="20"/>
                <w:color w:val="auto"/>
              </w:rPr>
            </w:pPr>
            <w:r>
              <w:rPr>
                <w:rFonts w:ascii="Arial" w:cs="Arial" w:eastAsia="Arial" w:hAnsi="Arial"/>
                <w:sz w:val="18"/>
                <w:szCs w:val="18"/>
                <w:color w:val="auto"/>
              </w:rPr>
              <w:t>Human resources support services</w:t>
            </w: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r>
      <w:tr>
        <w:trPr>
          <w:trHeight w:val="248"/>
        </w:trPr>
        <w:tc>
          <w:tcPr>
            <w:tcW w:w="78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Sales tax processing and license fees for tax information</w:t>
            </w:r>
          </w:p>
        </w:tc>
        <w:tc>
          <w:tcPr>
            <w:tcW w:w="9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1"/>
                <w:szCs w:val="21"/>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Not a related party during the three months ended March 31, 2023.</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amounts receivable and due to entities affiliated with one of its principal equity owners as of March 31, 2023 and</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December 31, 2022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7800" w:type="dxa"/>
            <w:vAlign w:val="bottom"/>
          </w:tcPr>
          <w:p>
            <w:pPr>
              <w:spacing w:after="0"/>
              <w:rPr>
                <w:sz w:val="20"/>
                <w:szCs w:val="20"/>
                <w:color w:val="auto"/>
              </w:rPr>
            </w:pP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0"/>
                <w:szCs w:val="20"/>
                <w:color w:val="auto"/>
              </w:rPr>
            </w:pPr>
          </w:p>
        </w:tc>
      </w:tr>
      <w:tr>
        <w:trPr>
          <w:trHeight w:val="248"/>
        </w:trPr>
        <w:tc>
          <w:tcPr>
            <w:tcW w:w="9000" w:type="dxa"/>
            <w:vAlign w:val="bottom"/>
            <w:gridSpan w:val="2"/>
          </w:tcPr>
          <w:p>
            <w:pPr>
              <w:ind w:left="832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35"/>
        </w:trPr>
        <w:tc>
          <w:tcPr>
            <w:tcW w:w="7800" w:type="dxa"/>
            <w:vAlign w:val="bottom"/>
          </w:tcPr>
          <w:p>
            <w:pPr>
              <w:spacing w:after="0"/>
              <w:rPr>
                <w:sz w:val="20"/>
                <w:szCs w:val="20"/>
                <w:color w:val="auto"/>
              </w:rPr>
            </w:pPr>
            <w:r>
              <w:rPr>
                <w:rFonts w:ascii="Arial" w:cs="Arial" w:eastAsia="Arial" w:hAnsi="Arial"/>
                <w:sz w:val="18"/>
                <w:szCs w:val="18"/>
                <w:b w:val="1"/>
                <w:bCs w:val="1"/>
                <w:color w:val="auto"/>
              </w:rPr>
              <w:t>Receivables</w:t>
            </w:r>
          </w:p>
        </w:tc>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90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card processing</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Payables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90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Employee health insurance benefits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21"/>
                <w:szCs w:val="21"/>
                <w:color w:val="auto"/>
              </w:rPr>
            </w:pPr>
          </w:p>
        </w:tc>
      </w:tr>
      <w:tr>
        <w:trPr>
          <w:trHeight w:val="235"/>
        </w:trPr>
        <w:tc>
          <w:tcPr>
            <w:tcW w:w="9000" w:type="dxa"/>
            <w:vAlign w:val="bottom"/>
            <w:gridSpan w:val="2"/>
          </w:tcPr>
          <w:p>
            <w:pPr>
              <w:ind w:left="100"/>
              <w:spacing w:after="0"/>
              <w:rPr>
                <w:sz w:val="20"/>
                <w:szCs w:val="20"/>
                <w:color w:val="auto"/>
              </w:rPr>
            </w:pPr>
            <w:r>
              <w:rPr>
                <w:rFonts w:ascii="Arial" w:cs="Arial" w:eastAsia="Arial" w:hAnsi="Arial"/>
                <w:sz w:val="18"/>
                <w:szCs w:val="18"/>
                <w:color w:val="auto"/>
              </w:rPr>
              <w:t>Human resources support services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8"/>
        </w:trPr>
        <w:tc>
          <w:tcPr>
            <w:tcW w:w="90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Sales tax processing and license fees for tax information</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Not significant</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Not a related party as of March 31, 2023.</w:t>
      </w:r>
    </w:p>
    <w:p>
      <w:pPr>
        <w:spacing w:after="0" w:line="100" w:lineRule="exact"/>
        <w:rPr>
          <w:sz w:val="20"/>
          <w:szCs w:val="20"/>
          <w:color w:val="auto"/>
        </w:rPr>
      </w:pPr>
    </w:p>
    <w:p>
      <w:pPr>
        <w:ind w:left="520" w:right="460"/>
        <w:spacing w:after="0" w:line="274" w:lineRule="auto"/>
        <w:rPr>
          <w:sz w:val="20"/>
          <w:szCs w:val="20"/>
          <w:color w:val="auto"/>
        </w:rPr>
      </w:pPr>
      <w:r>
        <w:rPr>
          <w:rFonts w:ascii="Arial" w:cs="Arial" w:eastAsia="Arial" w:hAnsi="Arial"/>
          <w:sz w:val="18"/>
          <w:szCs w:val="18"/>
          <w:color w:val="auto"/>
        </w:rPr>
        <w:t>As of October 2022, the entity which provided sales tax processing and license fees for tax information is no longer affiliated with the principal equity owner and is no longer a related party.</w:t>
      </w:r>
    </w:p>
    <w:p>
      <w:pPr>
        <w:spacing w:after="0" w:line="275" w:lineRule="exact"/>
        <w:rPr>
          <w:sz w:val="20"/>
          <w:szCs w:val="20"/>
          <w:color w:val="auto"/>
        </w:rPr>
      </w:pPr>
    </w:p>
    <w:p>
      <w:pPr>
        <w:ind w:left="520" w:hanging="513"/>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19" w:lineRule="exact"/>
        <w:rPr>
          <w:rFonts w:ascii="Arial" w:cs="Arial" w:eastAsia="Arial" w:hAnsi="Arial"/>
          <w:sz w:val="18"/>
          <w:szCs w:val="18"/>
          <w:b w:val="1"/>
          <w:bCs w:val="1"/>
          <w:color w:val="auto"/>
        </w:rPr>
      </w:pPr>
    </w:p>
    <w:p>
      <w:pPr>
        <w:ind w:left="5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basic earnings per share by dividing the net income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3" w:name="page24"/>
    <w:bookmarkEnd w:id="23"/>
    <w:p>
      <w:pPr>
        <w:ind w:left="520" w:right="40"/>
        <w:spacing w:after="0" w:line="274" w:lineRule="auto"/>
        <w:rPr>
          <w:sz w:val="20"/>
          <w:szCs w:val="20"/>
          <w:color w:val="auto"/>
        </w:rPr>
      </w:pPr>
      <w:r>
        <w:rPr>
          <w:rFonts w:ascii="Arial" w:cs="Arial" w:eastAsia="Arial" w:hAnsi="Arial"/>
          <w:sz w:val="18"/>
          <w:szCs w:val="18"/>
          <w:color w:val="auto"/>
        </w:rPr>
        <w:t>Company excludes common stock equivalent shares from the calculation if their effect is anti-dilutive. In a period where the Company is in a net loss position, the diluted loss per share is calculated using the basic share count.</w:t>
      </w:r>
    </w:p>
    <w:p>
      <w:pPr>
        <w:spacing w:after="0" w:line="64" w:lineRule="exact"/>
        <w:rPr>
          <w:sz w:val="20"/>
          <w:szCs w:val="20"/>
          <w:color w:val="auto"/>
        </w:rPr>
      </w:pPr>
    </w:p>
    <w:p>
      <w:pPr>
        <w:ind w:left="520" w:right="280"/>
        <w:spacing w:after="0" w:line="274"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and diluted earnings per share of common stock (in thousands, except for share and per share data).</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6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20" w:type="dxa"/>
            <w:vAlign w:val="bottom"/>
            <w:gridSpan w:val="4"/>
          </w:tcPr>
          <w:p>
            <w:pPr>
              <w:jc w:val="right"/>
              <w:ind w:right="651"/>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0"/>
                <w:szCs w:val="20"/>
                <w:color w:val="auto"/>
              </w:rPr>
            </w:pPr>
          </w:p>
        </w:tc>
      </w:tr>
      <w:tr>
        <w:trPr>
          <w:trHeight w:val="248"/>
        </w:trPr>
        <w:tc>
          <w:tcPr>
            <w:tcW w:w="68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8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2,184</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0"/>
                <w:szCs w:val="20"/>
                <w:color w:val="auto"/>
              </w:rPr>
            </w:pPr>
          </w:p>
        </w:tc>
      </w:tr>
      <w:tr>
        <w:trPr>
          <w:trHeight w:val="248"/>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6840" w:type="dxa"/>
            <w:vAlign w:val="bottom"/>
          </w:tcPr>
          <w:p>
            <w:pPr>
              <w:spacing w:after="0"/>
              <w:rPr>
                <w:sz w:val="20"/>
                <w:szCs w:val="20"/>
                <w:color w:val="auto"/>
              </w:rPr>
            </w:pPr>
            <w:r>
              <w:rPr>
                <w:rFonts w:ascii="Arial" w:cs="Arial" w:eastAsia="Arial" w:hAnsi="Arial"/>
                <w:sz w:val="18"/>
                <w:szCs w:val="18"/>
                <w:color w:val="auto"/>
              </w:rPr>
              <w:t>Weighted average shares of common stock—basic</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616,217,176</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603,104,839</w:t>
            </w:r>
          </w:p>
        </w:tc>
        <w:tc>
          <w:tcPr>
            <w:tcW w:w="100" w:type="dxa"/>
            <w:vAlign w:val="bottom"/>
          </w:tcPr>
          <w:p>
            <w:pPr>
              <w:spacing w:after="0"/>
              <w:rPr>
                <w:sz w:val="20"/>
                <w:szCs w:val="20"/>
                <w:color w:val="auto"/>
              </w:rPr>
            </w:pPr>
          </w:p>
        </w:tc>
      </w:tr>
      <w:tr>
        <w:trPr>
          <w:trHeight w:val="242"/>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Dilutive effect of stock-based awards</w:t>
            </w: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30,163,785</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37,923,571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6840" w:type="dxa"/>
            <w:vAlign w:val="bottom"/>
          </w:tcPr>
          <w:p>
            <w:pPr>
              <w:spacing w:after="0"/>
              <w:rPr>
                <w:sz w:val="20"/>
                <w:szCs w:val="20"/>
                <w:color w:val="auto"/>
              </w:rPr>
            </w:pPr>
            <w:r>
              <w:rPr>
                <w:rFonts w:ascii="Arial" w:cs="Arial" w:eastAsia="Arial" w:hAnsi="Arial"/>
                <w:sz w:val="18"/>
                <w:szCs w:val="18"/>
                <w:color w:val="auto"/>
              </w:rPr>
              <w:t>Weighted average shares of common stock—diluted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646,380,961</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641,028,410</w:t>
            </w:r>
          </w:p>
        </w:tc>
        <w:tc>
          <w:tcPr>
            <w:tcW w:w="100" w:type="dxa"/>
            <w:vAlign w:val="bottom"/>
          </w:tcPr>
          <w:p>
            <w:pPr>
              <w:spacing w:after="0"/>
              <w:rPr>
                <w:sz w:val="20"/>
                <w:szCs w:val="20"/>
                <w:color w:val="auto"/>
              </w:rPr>
            </w:pPr>
          </w:p>
        </w:tc>
      </w:tr>
      <w:tr>
        <w:trPr>
          <w:trHeight w:val="248"/>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684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r>
      <w:tr>
        <w:trPr>
          <w:trHeight w:val="248"/>
        </w:trPr>
        <w:tc>
          <w:tcPr>
            <w:tcW w:w="6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-621665</wp:posOffset>
            </wp:positionV>
            <wp:extent cx="67945" cy="161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45" cy="16192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-621665</wp:posOffset>
            </wp:positionV>
            <wp:extent cx="59690" cy="161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161925"/>
                    </a:xfrm>
                    <a:prstGeom prst="rect">
                      <a:avLst/>
                    </a:prstGeom>
                    <a:noFill/>
                  </pic:spPr>
                </pic:pic>
              </a:graphicData>
            </a:graphic>
          </wp:anchor>
        </w:drawing>
      </w:r>
    </w:p>
    <w:p>
      <w:pPr>
        <w:spacing w:after="0" w:line="73" w:lineRule="exact"/>
        <w:rPr>
          <w:sz w:val="20"/>
          <w:szCs w:val="20"/>
          <w:color w:val="auto"/>
        </w:rPr>
      </w:pPr>
    </w:p>
    <w:p>
      <w:pPr>
        <w:ind w:left="520" w:right="220"/>
        <w:spacing w:after="0" w:line="274" w:lineRule="auto"/>
        <w:rPr>
          <w:sz w:val="20"/>
          <w:szCs w:val="20"/>
          <w:color w:val="auto"/>
        </w:rPr>
      </w:pPr>
      <w:r>
        <w:rPr>
          <w:rFonts w:ascii="Arial" w:cs="Arial" w:eastAsia="Arial" w:hAnsi="Arial"/>
          <w:sz w:val="18"/>
          <w:szCs w:val="18"/>
          <w:color w:val="auto"/>
        </w:rPr>
        <w:t>Approximately 15,957,331 and 110,393 common stock equivalent shares were excluded from the computation of diluted per share amounts for the three months ended March 31, 2023 and 2022, respectively, because their effect was anti-dilutive.</w:t>
      </w:r>
    </w:p>
    <w:p>
      <w:pPr>
        <w:spacing w:after="0" w:line="64" w:lineRule="exact"/>
        <w:rPr>
          <w:sz w:val="20"/>
          <w:szCs w:val="20"/>
          <w:color w:val="auto"/>
        </w:rPr>
      </w:pPr>
    </w:p>
    <w:p>
      <w:pPr>
        <w:ind w:left="520" w:right="240"/>
        <w:spacing w:after="0" w:line="277" w:lineRule="auto"/>
        <w:rPr>
          <w:sz w:val="20"/>
          <w:szCs w:val="20"/>
          <w:color w:val="auto"/>
        </w:rPr>
      </w:pPr>
      <w:r>
        <w:rPr>
          <w:rFonts w:ascii="Arial" w:cs="Arial" w:eastAsia="Arial" w:hAnsi="Arial"/>
          <w:sz w:val="17"/>
          <w:szCs w:val="17"/>
          <w:color w:val="auto"/>
        </w:rPr>
        <w:t>As part of the Business Combination, 8,625,000 shares issued and held by Dragoneer (the “Sponsor Vesting Shares”) became non-transferable and subject to forfeiture on the tenth anniversary of Closing if neither of the defined triggering events has occurred. The Sponsor Vesting Shares are issued and outstanding as of March 31, 2023 and December 31, 2022 and excluded from the weighted average number of shares of common stock outstanding until the vesting requirement is met and the restriction is removed.</w:t>
      </w:r>
    </w:p>
    <w:p>
      <w:pPr>
        <w:spacing w:after="0" w:line="275" w:lineRule="exact"/>
        <w:rPr>
          <w:sz w:val="20"/>
          <w:szCs w:val="20"/>
          <w:color w:val="auto"/>
        </w:rPr>
      </w:pPr>
    </w:p>
    <w:p>
      <w:pPr>
        <w:ind w:left="520" w:hanging="513"/>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INFORMATION ABOUT GEOGRAPHIC AREAS</w:t>
      </w:r>
    </w:p>
    <w:p>
      <w:pPr>
        <w:spacing w:after="0" w:line="119" w:lineRule="exact"/>
        <w:rPr>
          <w:rFonts w:ascii="Arial" w:cs="Arial" w:eastAsia="Arial" w:hAnsi="Arial"/>
          <w:sz w:val="18"/>
          <w:szCs w:val="18"/>
          <w:b w:val="1"/>
          <w:bCs w:val="1"/>
          <w:color w:val="auto"/>
        </w:rPr>
      </w:pPr>
    </w:p>
    <w:p>
      <w:pPr>
        <w:ind w:left="52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60" w:type="dxa"/>
            <w:vAlign w:val="bottom"/>
            <w:gridSpan w:val="4"/>
          </w:tcPr>
          <w:p>
            <w:pPr>
              <w:jc w:val="center"/>
              <w:ind w:left="1031"/>
              <w:spacing w:after="0"/>
              <w:rPr>
                <w:sz w:val="20"/>
                <w:szCs w:val="20"/>
                <w:color w:val="auto"/>
              </w:rPr>
            </w:pPr>
            <w:r>
              <w:rPr>
                <w:rFonts w:ascii="Arial" w:cs="Arial" w:eastAsia="Arial" w:hAnsi="Arial"/>
                <w:sz w:val="18"/>
                <w:szCs w:val="18"/>
                <w:b w:val="1"/>
                <w:bCs w:val="1"/>
                <w:color w:val="auto"/>
                <w:w w:val="91"/>
              </w:rPr>
              <w:t>For the Three Months Ended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4"/>
          </w:tcPr>
          <w:p>
            <w:pPr>
              <w:jc w:val="center"/>
              <w:ind w:left="1011"/>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1271"/>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jc w:val="right"/>
              <w:ind w:right="531"/>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203,027</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03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184,839</w:t>
            </w:r>
          </w:p>
        </w:tc>
        <w:tc>
          <w:tcPr>
            <w:tcW w:w="100" w:type="dxa"/>
            <w:vAlign w:val="bottom"/>
            <w:shd w:val="clear" w:color="auto" w:fill="CFF0FC"/>
          </w:tcPr>
          <w:p>
            <w:pPr>
              <w:spacing w:after="0"/>
              <w:rPr>
                <w:sz w:val="20"/>
                <w:szCs w:val="20"/>
                <w:color w:val="auto"/>
              </w:rPr>
            </w:pPr>
          </w:p>
        </w:tc>
      </w:tr>
      <w:tr>
        <w:trPr>
          <w:trHeight w:val="242"/>
        </w:trPr>
        <w:tc>
          <w:tcPr>
            <w:tcW w:w="60" w:type="dxa"/>
            <w:vAlign w:val="bottom"/>
          </w:tcPr>
          <w:p>
            <w:pPr>
              <w:spacing w:after="0"/>
              <w:rPr>
                <w:sz w:val="21"/>
                <w:szCs w:val="21"/>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China</w:t>
            </w:r>
          </w:p>
        </w:tc>
        <w:tc>
          <w:tcPr>
            <w:tcW w:w="7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720" w:type="dxa"/>
            <w:vAlign w:val="bottom"/>
            <w:tcBorders>
              <w:bottom w:val="single" w:sz="8" w:color="auto"/>
            </w:tcBorders>
            <w:shd w:val="clear" w:color="auto" w:fill="CFF0FC"/>
          </w:tcPr>
          <w:p>
            <w:pPr>
              <w:jc w:val="right"/>
              <w:ind w:right="531"/>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204,919</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3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186,823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50"/>
        </w:trPr>
        <w:tc>
          <w:tcPr>
            <w:tcW w:w="7560" w:type="dxa"/>
            <w:vAlign w:val="bottom"/>
            <w:gridSpan w:val="6"/>
          </w:tcPr>
          <w:p>
            <w:pPr>
              <w:spacing w:after="0"/>
              <w:rPr>
                <w:sz w:val="20"/>
                <w:szCs w:val="20"/>
                <w:color w:val="auto"/>
              </w:rPr>
            </w:pPr>
            <w:r>
              <w:rPr>
                <w:rFonts w:ascii="Arial" w:cs="Arial" w:eastAsia="Arial" w:hAnsi="Arial"/>
                <w:sz w:val="18"/>
                <w:szCs w:val="18"/>
                <w:color w:val="auto"/>
              </w:rPr>
              <w:t>Software, equipment and property, net by geographic area are as follows (in thousands):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r>
      <w:tr>
        <w:trPr>
          <w:trHeight w:val="248"/>
        </w:trPr>
        <w:tc>
          <w:tcPr>
            <w:tcW w:w="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spacing w:after="0"/>
              <w:rPr>
                <w:sz w:val="21"/>
                <w:szCs w:val="21"/>
                <w:color w:val="auto"/>
              </w:rPr>
            </w:pPr>
          </w:p>
        </w:tc>
        <w:tc>
          <w:tcPr>
            <w:tcW w:w="2500" w:type="dxa"/>
            <w:vAlign w:val="bottom"/>
            <w:gridSpan w:val="2"/>
            <w:shd w:val="clear" w:color="auto" w:fill="CFF0FC"/>
          </w:tcPr>
          <w:p>
            <w:pPr>
              <w:spacing w:after="0"/>
              <w:rPr>
                <w:sz w:val="21"/>
                <w:szCs w:val="21"/>
                <w:color w:val="auto"/>
              </w:rPr>
            </w:pPr>
          </w:p>
        </w:tc>
        <w:tc>
          <w:tcPr>
            <w:tcW w:w="240" w:type="dxa"/>
            <w:vAlign w:val="bottom"/>
            <w:shd w:val="clear" w:color="auto" w:fill="CFF0FC"/>
          </w:tcPr>
          <w:p>
            <w:pPr>
              <w:jc w:val="center"/>
              <w:ind w:right="5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150,441</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146,398</w:t>
            </w:r>
          </w:p>
        </w:tc>
        <w:tc>
          <w:tcPr>
            <w:tcW w:w="100" w:type="dxa"/>
            <w:vAlign w:val="bottom"/>
            <w:shd w:val="clear" w:color="auto" w:fill="CFF0FC"/>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China</w:t>
            </w:r>
          </w:p>
        </w:tc>
        <w:tc>
          <w:tcPr>
            <w:tcW w:w="7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software, equipment and property-net</w:t>
            </w:r>
          </w:p>
        </w:tc>
        <w:tc>
          <w:tcPr>
            <w:tcW w:w="720" w:type="dxa"/>
            <w:vAlign w:val="bottom"/>
            <w:tcBorders>
              <w:bottom w:val="single" w:sz="8" w:color="CFF0FC"/>
            </w:tcBorders>
            <w:shd w:val="clear" w:color="auto" w:fill="CFF0FC"/>
          </w:tcPr>
          <w:p>
            <w:pPr>
              <w:spacing w:after="0"/>
              <w:rPr>
                <w:sz w:val="23"/>
                <w:szCs w:val="23"/>
                <w:color w:val="auto"/>
              </w:rPr>
            </w:pPr>
          </w:p>
        </w:tc>
        <w:tc>
          <w:tcPr>
            <w:tcW w:w="2500" w:type="dxa"/>
            <w:vAlign w:val="bottom"/>
            <w:tcBorders>
              <w:bottom w:val="single" w:sz="8" w:color="CFF0FC"/>
            </w:tcBorders>
            <w:gridSpan w:val="2"/>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center"/>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150,496</w:t>
            </w:r>
          </w:p>
        </w:tc>
        <w:tc>
          <w:tcPr>
            <w:tcW w:w="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146,443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-1269365</wp:posOffset>
            </wp:positionV>
            <wp:extent cx="67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-1252220</wp:posOffset>
            </wp:positionV>
            <wp:extent cx="67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-1269365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-1252220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-24765</wp:posOffset>
            </wp:positionV>
            <wp:extent cx="679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-7620</wp:posOffset>
            </wp:positionV>
            <wp:extent cx="67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-7620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3"/>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COST METHOD INVESTMENT</w:t>
      </w:r>
    </w:p>
    <w:p>
      <w:pPr>
        <w:spacing w:after="0" w:line="119" w:lineRule="exact"/>
        <w:rPr>
          <w:rFonts w:ascii="Arial" w:cs="Arial" w:eastAsia="Arial" w:hAnsi="Arial"/>
          <w:sz w:val="18"/>
          <w:szCs w:val="18"/>
          <w:b w:val="1"/>
          <w:bCs w:val="1"/>
          <w:color w:val="auto"/>
        </w:rPr>
      </w:pPr>
    </w:p>
    <w:p>
      <w:pPr>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during the three months ended March 31, 2022. The investment’s carrying value was $0.3 million at time of the acquisition. The Company no longer has any ownership interest in the investee.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spacing w:after="0" w:line="161"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i w:val="1"/>
          <w:iCs w:val="1"/>
          <w:color w:val="auto"/>
        </w:rPr>
        <w:t>Unless otherwise indicated or the context otherwise requires, references to “CCC,” the “Company,” “we,” “us,” “our” and other similar terms refer to CCC Intelligent Solutions Holdings Inc. and its consolidated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9"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Founded in 1980, CCC is a leading provider of innovative cloud, mobile, artificial intelligence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5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71"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28,500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60"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7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100 U.S. auto insurers actively using AI-powered solutions in production environments. We have processed more than 14 million unique claims using CCC deep learning AI as of December 31, 2022, an increase of more than 50% over December 31, 2021.</w:t>
      </w:r>
    </w:p>
    <w:p>
      <w:pPr>
        <w:spacing w:after="0" w:line="8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One of the primary obstacles facing the P&amp;C insurance economy is increasing complexity. Complexity in the P&amp;C insurance economy is driven by technological advancements, Internet of Things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ecosystem, and we believe we are well positioned to power the P&amp;C insurance economy of the future with our data, network, and platform.</w:t>
      </w:r>
    </w:p>
    <w:p>
      <w:pPr>
        <w:spacing w:after="0" w:line="115"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our acquisition of Safekeep in February 2022 added subrogation solutions that can span insurance lines including automotive, property, and worker's compensation.</w:t>
      </w:r>
    </w:p>
    <w:p>
      <w:pPr>
        <w:spacing w:after="0" w:line="5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28,500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and Operating Metrics</w:t>
      </w:r>
    </w:p>
    <w:p>
      <w:pPr>
        <w:spacing w:after="0" w:line="119" w:lineRule="exact"/>
        <w:rPr>
          <w:sz w:val="20"/>
          <w:szCs w:val="20"/>
          <w:color w:val="auto"/>
        </w:rPr>
      </w:pPr>
    </w:p>
    <w:p>
      <w:pPr>
        <w:jc w:val="both"/>
        <w:ind w:right="100" w:firstLine="509"/>
        <w:spacing w:after="0" w:line="261" w:lineRule="auto"/>
        <w:rPr>
          <w:sz w:val="20"/>
          <w:szCs w:val="20"/>
          <w:color w:val="auto"/>
        </w:rPr>
      </w:pPr>
      <w:r>
        <w:rPr>
          <w:rFonts w:ascii="Arial" w:cs="Arial" w:eastAsia="Arial" w:hAnsi="Arial"/>
          <w:sz w:val="18"/>
          <w:szCs w:val="18"/>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NDR</w:t>
      </w:r>
    </w:p>
    <w:p>
      <w:pPr>
        <w:spacing w:after="0" w:line="115"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1440" w:type="dxa"/>
            <w:vAlign w:val="bottom"/>
          </w:tcPr>
          <w:p>
            <w:pPr>
              <w:ind w:left="100"/>
              <w:spacing w:after="0"/>
              <w:rPr>
                <w:sz w:val="20"/>
                <w:szCs w:val="20"/>
                <w:color w:val="auto"/>
              </w:rPr>
            </w:pPr>
            <w:r>
              <w:rPr>
                <w:rFonts w:ascii="Arial" w:cs="Arial" w:eastAsia="Arial" w:hAnsi="Arial"/>
                <w:sz w:val="18"/>
                <w:szCs w:val="18"/>
                <w:b w:val="1"/>
                <w:bCs w:val="1"/>
                <w:color w:val="auto"/>
              </w:rPr>
              <w:t>Quarter Ending</w:t>
            </w:r>
          </w:p>
        </w:tc>
        <w:tc>
          <w:tcPr>
            <w:tcW w:w="160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580" w:type="dxa"/>
            <w:vAlign w:val="bottom"/>
            <w:gridSpan w:val="2"/>
          </w:tcPr>
          <w:p>
            <w:pPr>
              <w:jc w:val="center"/>
              <w:ind w:left="71"/>
              <w:spacing w:after="0"/>
              <w:rPr>
                <w:sz w:val="20"/>
                <w:szCs w:val="20"/>
                <w:color w:val="auto"/>
              </w:rPr>
            </w:pPr>
            <w:r>
              <w:rPr>
                <w:rFonts w:ascii="Arial" w:cs="Arial" w:eastAsia="Arial" w:hAnsi="Arial"/>
                <w:sz w:val="18"/>
                <w:szCs w:val="18"/>
                <w:b w:val="1"/>
                <w:bCs w:val="1"/>
                <w:color w:val="auto"/>
                <w:w w:val="84"/>
              </w:rPr>
              <w:t>2022</w:t>
            </w: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NDR</w:t>
            </w:r>
          </w:p>
        </w:tc>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March 31</w:t>
            </w:r>
          </w:p>
        </w:tc>
        <w:tc>
          <w:tcPr>
            <w:tcW w:w="18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ind w:right="411"/>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114%</w:t>
            </w:r>
          </w:p>
        </w:tc>
      </w:tr>
      <w:tr>
        <w:trPr>
          <w:trHeight w:val="235"/>
        </w:trPr>
        <w:tc>
          <w:tcPr>
            <w:tcW w:w="66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gridSpan w:val="2"/>
          </w:tcPr>
          <w:p>
            <w:pPr>
              <w:jc w:val="center"/>
              <w:ind w:left="71"/>
              <w:spacing w:after="0"/>
              <w:rPr>
                <w:sz w:val="20"/>
                <w:szCs w:val="20"/>
                <w:color w:val="auto"/>
              </w:rPr>
            </w:pPr>
            <w:r>
              <w:rPr>
                <w:rFonts w:ascii="Arial" w:cs="Arial" w:eastAsia="Arial" w:hAnsi="Arial"/>
                <w:sz w:val="18"/>
                <w:szCs w:val="18"/>
                <w:color w:val="auto"/>
                <w:w w:val="91"/>
              </w:rPr>
              <w:t>111%</w:t>
            </w:r>
          </w:p>
        </w:tc>
      </w:tr>
      <w:tr>
        <w:trPr>
          <w:trHeight w:val="248"/>
        </w:trPr>
        <w:tc>
          <w:tcPr>
            <w:tcW w:w="6620" w:type="dxa"/>
            <w:vAlign w:val="bottom"/>
            <w:shd w:val="clear" w:color="auto" w:fill="CFF0FC"/>
          </w:tcPr>
          <w:p>
            <w:pPr>
              <w:spacing w:after="0"/>
              <w:rPr>
                <w:sz w:val="21"/>
                <w:szCs w:val="21"/>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30</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1"/>
              </w:rPr>
              <w:t>110%</w:t>
            </w:r>
          </w:p>
        </w:tc>
      </w:tr>
      <w:tr>
        <w:trPr>
          <w:trHeight w:val="229"/>
        </w:trPr>
        <w:tc>
          <w:tcPr>
            <w:tcW w:w="662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gridSpan w:val="2"/>
          </w:tcPr>
          <w:p>
            <w:pPr>
              <w:jc w:val="center"/>
              <w:ind w:left="71"/>
              <w:spacing w:after="0"/>
              <w:rPr>
                <w:sz w:val="20"/>
                <w:szCs w:val="20"/>
                <w:color w:val="auto"/>
              </w:rPr>
            </w:pPr>
            <w:r>
              <w:rPr>
                <w:rFonts w:ascii="Arial" w:cs="Arial" w:eastAsia="Arial" w:hAnsi="Arial"/>
                <w:sz w:val="18"/>
                <w:szCs w:val="18"/>
                <w:color w:val="auto"/>
                <w:w w:val="91"/>
              </w:rPr>
              <w:t>106%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GDR</w:t>
      </w:r>
    </w:p>
    <w:p>
      <w:pPr>
        <w:spacing w:after="0" w:line="115"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6" w:name="page27"/>
    <w:bookmarkEnd w:id="26"/>
    <w:p>
      <w:pPr>
        <w:ind w:right="220"/>
        <w:spacing w:after="0" w:line="270" w:lineRule="auto"/>
        <w:rPr>
          <w:sz w:val="20"/>
          <w:szCs w:val="20"/>
          <w:color w:val="auto"/>
        </w:rPr>
      </w:pPr>
      <w:r>
        <w:rPr>
          <w:rFonts w:ascii="Arial" w:cs="Arial" w:eastAsia="Arial" w:hAnsi="Arial"/>
          <w:sz w:val="17"/>
          <w:szCs w:val="17"/>
          <w:color w:val="auto"/>
        </w:rPr>
        <w:t>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40" w:type="dxa"/>
            <w:vAlign w:val="bottom"/>
          </w:tcPr>
          <w:p>
            <w:pPr>
              <w:ind w:left="100"/>
              <w:spacing w:after="0"/>
              <w:rPr>
                <w:sz w:val="20"/>
                <w:szCs w:val="20"/>
                <w:color w:val="auto"/>
              </w:rPr>
            </w:pPr>
            <w:r>
              <w:rPr>
                <w:rFonts w:ascii="Arial" w:cs="Arial" w:eastAsia="Arial" w:hAnsi="Arial"/>
                <w:sz w:val="18"/>
                <w:szCs w:val="18"/>
                <w:b w:val="1"/>
                <w:bCs w:val="1"/>
                <w:color w:val="auto"/>
              </w:rPr>
              <w:t>Quarter Ending</w:t>
            </w:r>
          </w:p>
        </w:tc>
        <w:tc>
          <w:tcPr>
            <w:tcW w:w="160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580" w:type="dxa"/>
            <w:vAlign w:val="bottom"/>
            <w:gridSpan w:val="2"/>
          </w:tcPr>
          <w:p>
            <w:pPr>
              <w:jc w:val="center"/>
              <w:ind w:left="71"/>
              <w:spacing w:after="0"/>
              <w:rPr>
                <w:sz w:val="20"/>
                <w:szCs w:val="20"/>
                <w:color w:val="auto"/>
              </w:rPr>
            </w:pPr>
            <w:r>
              <w:rPr>
                <w:rFonts w:ascii="Arial" w:cs="Arial" w:eastAsia="Arial" w:hAnsi="Arial"/>
                <w:sz w:val="18"/>
                <w:szCs w:val="18"/>
                <w:b w:val="1"/>
                <w:bCs w:val="1"/>
                <w:color w:val="auto"/>
                <w:w w:val="84"/>
              </w:rPr>
              <w:t>2022</w:t>
            </w:r>
          </w:p>
        </w:tc>
      </w:tr>
      <w:tr>
        <w:trPr>
          <w:trHeight w:val="242"/>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GDR</w:t>
            </w:r>
          </w:p>
        </w:tc>
        <w:tc>
          <w:tcPr>
            <w:tcW w:w="3300" w:type="dxa"/>
            <w:vAlign w:val="bottom"/>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March 31</w:t>
            </w:r>
          </w:p>
        </w:tc>
        <w:tc>
          <w:tcPr>
            <w:tcW w:w="18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ind w:right="471"/>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99%</w:t>
            </w:r>
          </w:p>
        </w:tc>
      </w:tr>
      <w:tr>
        <w:trPr>
          <w:trHeight w:val="235"/>
        </w:trPr>
        <w:tc>
          <w:tcPr>
            <w:tcW w:w="3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gridSpan w:val="2"/>
          </w:tcPr>
          <w:p>
            <w:pPr>
              <w:jc w:val="center"/>
              <w:ind w:left="71"/>
              <w:spacing w:after="0"/>
              <w:rPr>
                <w:sz w:val="20"/>
                <w:szCs w:val="20"/>
                <w:color w:val="auto"/>
              </w:rPr>
            </w:pPr>
            <w:r>
              <w:rPr>
                <w:rFonts w:ascii="Arial" w:cs="Arial" w:eastAsia="Arial" w:hAnsi="Arial"/>
                <w:sz w:val="18"/>
                <w:szCs w:val="18"/>
                <w:color w:val="auto"/>
                <w:w w:val="94"/>
              </w:rPr>
              <w:t>99%</w:t>
            </w:r>
          </w:p>
        </w:tc>
      </w:tr>
      <w:tr>
        <w:trPr>
          <w:trHeight w:val="248"/>
        </w:trPr>
        <w:tc>
          <w:tcPr>
            <w:tcW w:w="3320" w:type="dxa"/>
            <w:vAlign w:val="bottom"/>
            <w:shd w:val="clear" w:color="auto" w:fill="CFF0FC"/>
          </w:tcPr>
          <w:p>
            <w:pPr>
              <w:spacing w:after="0"/>
              <w:rPr>
                <w:sz w:val="21"/>
                <w:szCs w:val="21"/>
                <w:color w:val="auto"/>
              </w:rPr>
            </w:pPr>
          </w:p>
        </w:tc>
        <w:tc>
          <w:tcPr>
            <w:tcW w:w="3300" w:type="dxa"/>
            <w:vAlign w:val="bottom"/>
            <w:shd w:val="clear" w:color="auto" w:fill="CFF0FC"/>
          </w:tcPr>
          <w:p>
            <w:pPr>
              <w:spacing w:after="0"/>
              <w:rPr>
                <w:sz w:val="21"/>
                <w:szCs w:val="21"/>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30</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center"/>
              <w:ind w:left="71"/>
              <w:spacing w:after="0"/>
              <w:rPr>
                <w:sz w:val="20"/>
                <w:szCs w:val="20"/>
                <w:color w:val="auto"/>
              </w:rPr>
            </w:pPr>
            <w:r>
              <w:rPr>
                <w:rFonts w:ascii="Arial" w:cs="Arial" w:eastAsia="Arial" w:hAnsi="Arial"/>
                <w:sz w:val="18"/>
                <w:szCs w:val="18"/>
                <w:color w:val="auto"/>
                <w:w w:val="94"/>
              </w:rPr>
              <w:t>99%</w:t>
            </w:r>
          </w:p>
        </w:tc>
      </w:tr>
      <w:tr>
        <w:trPr>
          <w:trHeight w:val="229"/>
        </w:trPr>
        <w:tc>
          <w:tcPr>
            <w:tcW w:w="3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gridSpan w:val="2"/>
          </w:tcPr>
          <w:p>
            <w:pPr>
              <w:jc w:val="center"/>
              <w:ind w:left="71"/>
              <w:spacing w:after="0"/>
              <w:rPr>
                <w:sz w:val="20"/>
                <w:szCs w:val="20"/>
                <w:color w:val="auto"/>
              </w:rPr>
            </w:pPr>
            <w:r>
              <w:rPr>
                <w:rFonts w:ascii="Arial" w:cs="Arial" w:eastAsia="Arial" w:hAnsi="Arial"/>
                <w:sz w:val="18"/>
                <w:szCs w:val="18"/>
                <w:color w:val="auto"/>
                <w:w w:val="94"/>
              </w:rPr>
              <w:t>99%</w:t>
            </w:r>
          </w:p>
        </w:tc>
      </w:tr>
      <w:tr>
        <w:trPr>
          <w:trHeight w:val="657"/>
        </w:trPr>
        <w:tc>
          <w:tcPr>
            <w:tcW w:w="3320" w:type="dxa"/>
            <w:vAlign w:val="bottom"/>
          </w:tcPr>
          <w:p>
            <w:pPr>
              <w:spacing w:after="0"/>
              <w:rPr>
                <w:sz w:val="24"/>
                <w:szCs w:val="24"/>
                <w:color w:val="auto"/>
              </w:rPr>
            </w:pPr>
          </w:p>
        </w:tc>
        <w:tc>
          <w:tcPr>
            <w:tcW w:w="3300" w:type="dxa"/>
            <w:vAlign w:val="bottom"/>
          </w:tcPr>
          <w:p>
            <w:pPr>
              <w:jc w:val="right"/>
              <w:ind w:right="811"/>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4"/>
        </w:trPr>
        <w:tc>
          <w:tcPr>
            <w:tcW w:w="332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4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to the three months ended March 31, 2022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Three Months Ended March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(dollar amounts in thousands, except share and per share data)</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47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300" w:type="dxa"/>
            <w:vAlign w:val="bottom"/>
          </w:tcPr>
          <w:p>
            <w:pPr>
              <w:jc w:val="right"/>
              <w:ind w:right="47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204,919</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186,823</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18,096</w:t>
            </w:r>
          </w:p>
        </w:tc>
        <w:tc>
          <w:tcPr>
            <w:tcW w:w="2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6"/>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Cost of revenues, exclusive of amortization of acquired</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technologies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7,746</w:t>
            </w:r>
          </w:p>
        </w:tc>
        <w:tc>
          <w:tcPr>
            <w:tcW w:w="2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55"/>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technologies</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6,695</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(10 )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5"/>
        </w:trPr>
        <w:tc>
          <w:tcPr>
            <w:tcW w:w="54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57,132</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49,396</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137,427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10,360</w:t>
            </w:r>
          </w:p>
        </w:tc>
        <w:tc>
          <w:tcPr>
            <w:tcW w:w="2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1"/>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ind w:left="380"/>
              <w:spacing w:after="0" w:line="242"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40,996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5,315</w:t>
            </w: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2"/>
        </w:trPr>
        <w:tc>
          <w:tcPr>
            <w:tcW w:w="5400" w:type="dxa"/>
            <w:vAlign w:val="bottom"/>
            <w:gridSpan w:val="2"/>
          </w:tcPr>
          <w:p>
            <w:pPr>
              <w:ind w:left="380"/>
              <w:spacing w:after="0" w:line="242"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33,531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26,802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6,729</w:t>
            </w: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64"/>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41,865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44,207</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(2,342 )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2"/>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18,066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(14 )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5"/>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134,458</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124,770</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8"/>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(13,832 )</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(7,341 )</w:t>
            </w:r>
          </w:p>
        </w:tc>
        <w:tc>
          <w:tcPr>
            <w:tcW w:w="340" w:type="dxa"/>
            <w:vAlign w:val="bottom"/>
          </w:tcPr>
          <w:p>
            <w:pPr>
              <w:spacing w:after="0"/>
              <w:rPr>
                <w:sz w:val="19"/>
                <w:szCs w:val="19"/>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(6,491 )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-88.4 %</w:t>
            </w:r>
          </w:p>
        </w:tc>
        <w:tc>
          <w:tcPr>
            <w:tcW w:w="0" w:type="dxa"/>
            <w:vAlign w:val="bottom"/>
          </w:tcPr>
          <w:p>
            <w:pPr>
              <w:spacing w:after="0"/>
              <w:rPr>
                <w:sz w:val="1"/>
                <w:szCs w:val="1"/>
                <w:color w:val="auto"/>
              </w:rPr>
            </w:pPr>
          </w:p>
        </w:tc>
      </w:tr>
      <w:tr>
        <w:trPr>
          <w:trHeight w:val="254"/>
        </w:trPr>
        <w:tc>
          <w:tcPr>
            <w:tcW w:w="54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(2,604 )</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(2,604 )</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(941 )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42"/>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Gain on sale of cost method investment</w:t>
            </w:r>
          </w:p>
        </w:tc>
        <w:tc>
          <w:tcPr>
            <w:tcW w:w="12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(3,578 )</w:t>
            </w:r>
          </w:p>
        </w:tc>
        <w:tc>
          <w:tcPr>
            <w:tcW w:w="1460" w:type="dxa"/>
            <w:vAlign w:val="bottom"/>
            <w:gridSpan w:val="3"/>
          </w:tcPr>
          <w:p>
            <w:pPr>
              <w:ind w:left="10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5"/>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(28 )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(11,928 )</w:t>
            </w: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(1,545 )</w:t>
            </w:r>
          </w:p>
        </w:tc>
        <w:tc>
          <w:tcPr>
            <w:tcW w:w="340" w:type="dxa"/>
            <w:vAlign w:val="bottom"/>
          </w:tcPr>
          <w:p>
            <w:pPr>
              <w:spacing w:after="0"/>
              <w:rPr>
                <w:sz w:val="20"/>
                <w:szCs w:val="20"/>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(10,383 )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-672.0 %</w:t>
            </w: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-87.4 %</w:t>
            </w:r>
          </w:p>
        </w:tc>
        <w:tc>
          <w:tcPr>
            <w:tcW w:w="0" w:type="dxa"/>
            <w:vAlign w:val="bottom"/>
          </w:tcPr>
          <w:p>
            <w:pPr>
              <w:spacing w:after="0"/>
              <w:rPr>
                <w:sz w:val="1"/>
                <w:szCs w:val="1"/>
                <w:color w:val="auto"/>
              </w:rPr>
            </w:pPr>
          </w:p>
        </w:tc>
      </w:tr>
      <w:tr>
        <w:trPr>
          <w:trHeight w:val="254"/>
        </w:trPr>
        <w:tc>
          <w:tcPr>
            <w:tcW w:w="5400" w:type="dxa"/>
            <w:vAlign w:val="bottom"/>
            <w:gridSpan w:val="2"/>
          </w:tcPr>
          <w:p>
            <w:pPr>
              <w:ind w:left="38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(80 )</w:t>
            </w:r>
          </w:p>
        </w:tc>
        <w:tc>
          <w:tcPr>
            <w:tcW w:w="1460" w:type="dxa"/>
            <w:vAlign w:val="bottom"/>
            <w:gridSpan w:val="3"/>
          </w:tcPr>
          <w:p>
            <w:pPr>
              <w:ind w:left="10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2,184</w:t>
            </w:r>
          </w:p>
        </w:tc>
        <w:tc>
          <w:tcPr>
            <w:tcW w:w="28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11,975</w:t>
            </w:r>
          </w:p>
        </w:tc>
        <w:tc>
          <w:tcPr>
            <w:tcW w:w="24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2"/>
              <w:spacing w:after="0"/>
              <w:rPr>
                <w:sz w:val="20"/>
                <w:szCs w:val="20"/>
                <w:color w:val="auto"/>
              </w:rPr>
            </w:pPr>
            <w:r>
              <w:rPr>
                <w:rFonts w:ascii="Arial" w:cs="Arial" w:eastAsia="Arial" w:hAnsi="Arial"/>
                <w:sz w:val="18"/>
                <w:szCs w:val="18"/>
                <w:color w:val="auto"/>
              </w:rPr>
              <w:t>(9,791 )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-81.8 %</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shares used in computing net income per share</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616,217,176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603,104,839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646,380,961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641,028,410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-4814570</wp:posOffset>
            </wp:positionV>
            <wp:extent cx="7132955" cy="1536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-4371340</wp:posOffset>
            </wp:positionV>
            <wp:extent cx="7132955" cy="4775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955" cy="4775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-3740785</wp:posOffset>
            </wp:positionV>
            <wp:extent cx="7132955" cy="1536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-3434080</wp:posOffset>
            </wp:positionV>
            <wp:extent cx="7132955" cy="1536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-3118485</wp:posOffset>
            </wp:positionV>
            <wp:extent cx="7132955" cy="315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955" cy="3155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-2189480</wp:posOffset>
            </wp:positionV>
            <wp:extent cx="7132955" cy="1536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-1882775</wp:posOffset>
            </wp:positionV>
            <wp:extent cx="7132955" cy="4775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955" cy="4775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-1243330</wp:posOffset>
            </wp:positionV>
            <wp:extent cx="7132955" cy="3409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955" cy="340995"/>
                    </a:xfrm>
                    <a:prstGeom prst="rect">
                      <a:avLst/>
                    </a:prstGeom>
                    <a:noFill/>
                  </pic:spPr>
                </pic:pic>
              </a:graphicData>
            </a:graphic>
          </wp:anchor>
        </w:drawing>
      </w:r>
    </w:p>
    <w:p>
      <w:pPr>
        <w:spacing w:after="0" w:line="221" w:lineRule="exact"/>
        <w:rPr>
          <w:sz w:val="20"/>
          <w:szCs w:val="20"/>
          <w:color w:val="auto"/>
        </w:rPr>
      </w:pPr>
    </w:p>
    <w:p>
      <w:pPr>
        <w:ind w:left="20" w:right="6880" w:firstLine="1"/>
        <w:spacing w:after="0" w:line="220" w:lineRule="auto"/>
        <w:tabs>
          <w:tab w:leader="none" w:pos="249" w:val="left"/>
        </w:tabs>
        <w:numPr>
          <w:ilvl w:val="0"/>
          <w:numId w:val="29"/>
        </w:numPr>
        <w:rPr>
          <w:rFonts w:ascii="Arial" w:cs="Arial" w:eastAsia="Arial" w:hAnsi="Arial"/>
          <w:sz w:val="24"/>
          <w:szCs w:val="24"/>
          <w:color w:val="auto"/>
          <w:vertAlign w:val="superscript"/>
        </w:rPr>
      </w:pPr>
      <w:r>
        <w:rPr>
          <w:rFonts w:ascii="Arial" w:cs="Arial" w:eastAsia="Arial" w:hAnsi="Arial"/>
          <w:sz w:val="18"/>
          <w:szCs w:val="18"/>
          <w:color w:val="auto"/>
        </w:rPr>
        <w:t>Includes stock-based compensation expense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20"/>
                <w:szCs w:val="20"/>
                <w:color w:val="auto"/>
              </w:rPr>
            </w:pPr>
          </w:p>
        </w:tc>
      </w:tr>
      <w:tr>
        <w:trPr>
          <w:trHeight w:val="235"/>
        </w:trPr>
        <w:tc>
          <w:tcPr>
            <w:tcW w:w="5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0"/>
                <w:szCs w:val="20"/>
                <w:color w:val="auto"/>
              </w:rPr>
            </w:pPr>
          </w:p>
        </w:tc>
      </w:tr>
      <w:tr>
        <w:trPr>
          <w:trHeight w:val="248"/>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FF0FC"/>
          </w:tcPr>
          <w:p>
            <w:pPr>
              <w:spacing w:after="0"/>
              <w:rPr>
                <w:sz w:val="21"/>
                <w:szCs w:val="21"/>
                <w:color w:val="auto"/>
              </w:rPr>
            </w:pPr>
          </w:p>
        </w:tc>
      </w:tr>
      <w:tr>
        <w:trPr>
          <w:trHeight w:val="235"/>
        </w:trPr>
        <w:tc>
          <w:tcPr>
            <w:tcW w:w="5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20"/>
                <w:szCs w:val="20"/>
                <w:color w:val="auto"/>
              </w:rPr>
            </w:pPr>
          </w:p>
        </w:tc>
      </w:tr>
      <w:tr>
        <w:trPr>
          <w:trHeight w:val="275"/>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29,234</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-24765</wp:posOffset>
            </wp:positionV>
            <wp:extent cx="67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-7620</wp:posOffset>
            </wp:positionV>
            <wp:extent cx="67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NM—Not Meaningful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Revenues increased by $18.1 million to $204.9 million, or 9.7%, for the three months ended March 31, 2023, compared to the three months ended March 31, 2022. The Company's software subscription revenues accounted for $196.3 million and $179.8 million, or 96% of total revenue during the three months ended March 31, 2023 and 2022, respectively.</w:t>
      </w:r>
    </w:p>
    <w:p>
      <w:pPr>
        <w:spacing w:after="0" w:line="76" w:lineRule="exact"/>
        <w:rPr>
          <w:sz w:val="20"/>
          <w:szCs w:val="20"/>
          <w:color w:val="auto"/>
        </w:rPr>
      </w:pPr>
    </w:p>
    <w:p>
      <w:pPr>
        <w:ind w:right="440" w:firstLine="509"/>
        <w:spacing w:after="0" w:line="274" w:lineRule="auto"/>
        <w:rPr>
          <w:sz w:val="20"/>
          <w:szCs w:val="20"/>
          <w:color w:val="auto"/>
        </w:rPr>
      </w:pPr>
      <w:r>
        <w:rPr>
          <w:rFonts w:ascii="Arial" w:cs="Arial" w:eastAsia="Arial" w:hAnsi="Arial"/>
          <w:sz w:val="18"/>
          <w:szCs w:val="18"/>
          <w:color w:val="auto"/>
        </w:rPr>
        <w:t>The increase in revenue was primarily a result of 6% growth from existing customer upgrades and expanding solution offerings to these existing customers as well as 4% growth from new customers.</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55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5" w:lineRule="exact"/>
        <w:rPr>
          <w:sz w:val="20"/>
          <w:szCs w:val="20"/>
          <w:color w:val="auto"/>
        </w:rPr>
      </w:pPr>
    </w:p>
    <w:p>
      <w:pPr>
        <w:ind w:right="240" w:firstLine="509"/>
        <w:spacing w:after="0" w:line="274" w:lineRule="auto"/>
        <w:rPr>
          <w:sz w:val="20"/>
          <w:szCs w:val="20"/>
          <w:color w:val="auto"/>
        </w:rPr>
      </w:pPr>
      <w:r>
        <w:rPr>
          <w:rFonts w:ascii="Arial" w:cs="Arial" w:eastAsia="Arial" w:hAnsi="Arial"/>
          <w:sz w:val="18"/>
          <w:szCs w:val="18"/>
          <w:color w:val="auto"/>
        </w:rPr>
        <w:t>Cost of revenues increased by $7.7 million to $57.1 million, or 15.7%, for the three months ended March 31, 2023, compared to the three months ended March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of acquired technologies</w:t>
      </w:r>
    </w:p>
    <w:p>
      <w:pPr>
        <w:spacing w:after="0" w:line="115"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Cost of revenues, exclusive of amortization of acquired technologies, increased by $7.7 million to $50.4 million, or 18.1%, for the three months ended March 31, 2023, compared to the three months ended March 31, 2022. The increase was primarily due to a $3.1 million increase in depreciation expense related to additional investments in platform and infrastructure enhancements, a $2.8 million increase in personnel-related costs, including stock-based compensation, a $0.9 million increase in information technology ("IT") related costs and a $0.8 million increase in third party fees and direct costs associated with our revenue growth.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technologies was $6.7 million for the three months ended March 31, 2023 and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Gross profit increased by $10.4 million to $147.8 million, or 7.5%, for the three months ended March 31, 2023, compared to the three months ended March 31, 2022. Our gross profit margin was 72.1% for the three months ended March 31, 2023, compared to 73.6% for the three months ended March 31, 2022. The increase in gross profit was due to increased software subscription revenues and economies of scale resulting from fixed cost arrangements, partially offset by the increase in depreciation expense related to additional investments in platform and infrastructure enhancements.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color w:val="auto"/>
        </w:rPr>
        <w:t>Research and development expense increased by $5.3 million to $41.0 million, or 14.9%, for the three months ended March 31, 2023, compared to the three months ended March 31, 2022. The increase was primarily due to a $5.5 million increase in personnel-related costs, including stock-based compensation, a $3.5 million increase in consulting and other professional service costs and a $1.1 million increase in IT related costs, partially offset by a $4.9 million increase in the amount of capitalized time on platform and infrastructure enhancements.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Selling and marketing expense increased by $6.7 million to $33.5 million, or 25.1%, for the three months ended March 31, 2023, compared to the three months ended March 31, 2022. The increase was primarily due to a $5.4 million increase in personnel-related costs, including stock-based compensation and sales incentives and a $0.5 million increase in travel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General and administrative expense decreased by $2.3 million to $41.9 million, or 5.3%, for the three months ended March 31, 2023, compared to the three months ended March 31, 2022. The decrease was primarily due to a $1.3 million decrease in the Company's facilities costs and a $0.6 million loss on disposal recognized during the three months ended March 31, 2022 due to the closure of the Company's previous headquarters in March 2022 and a $1.1 million decrease in consulting and other professional service costs. These items were partially offset by a $1.1 million increase in personnel-related costs, including stock-based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intangible assets was $18.1 million for the three months ended March 31, 2023 and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280" w:firstLine="509"/>
        <w:spacing w:after="0" w:line="274" w:lineRule="auto"/>
        <w:rPr>
          <w:sz w:val="20"/>
          <w:szCs w:val="20"/>
          <w:color w:val="auto"/>
        </w:rPr>
      </w:pPr>
      <w:r>
        <w:rPr>
          <w:rFonts w:ascii="Arial" w:cs="Arial" w:eastAsia="Arial" w:hAnsi="Arial"/>
          <w:sz w:val="18"/>
          <w:szCs w:val="18"/>
          <w:color w:val="auto"/>
        </w:rPr>
        <w:t>Interest expense increased by $6.5 million to $13.8 million, or 88.4%, for the three months ended March 31, 2023, compared to the three months ended March 31, 2022, due to higher variable interest rates during the three months ended March 31, 2023.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was $3.3 million for the three months ended March 31, 2023. The interest income was due to interest earned on our cash balances.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interest income for the three months ended March 31,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Instruments</w:t>
      </w:r>
    </w:p>
    <w:p>
      <w:pPr>
        <w:spacing w:after="0" w:line="11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Change in fair value of derivative instruments was a loss of $2.6 million for the three months ended March 31, 2023. The change in fair value recognized for the three months ended March 31, 2023 is related to the interest rate cap agreement entered into in August 2022 and driven by the proximity of the maturity date and changes in the forward yield curve during the quarter.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1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recognized income of $1.2 million from a change in fair value of warrant liabilities for the three months ended March 31, 2023, compared to $2.1 million for the three months ended March 31, 2022. The income recognized for the three months ended March 31, 2023 was due to the decrease in the estimated fair value of the Private Warrants, primarily from the lower price of the Company's common stock as of March 31, 2023, compared to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5"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Income tax benefit was $0.8 million for the three months ended March 31, 2023, compared to a benefit of $0.9 million for the three months ended March 31, 2022. The income tax benefit during each period was due to the tax benefits from discrete items related to share-based compensation expense, as well as the tax benefit associated with the re-measurement of the Company's deferred tax liability for changes in state tax rates being greater than the tax expense related to pre-tax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ind w:right="140" w:firstLine="509"/>
        <w:spacing w:after="0" w:line="286" w:lineRule="auto"/>
        <w:rPr>
          <w:sz w:val="20"/>
          <w:szCs w:val="20"/>
          <w:color w:val="auto"/>
        </w:rPr>
      </w:pPr>
      <w:r>
        <w:rPr>
          <w:rFonts w:ascii="Arial" w:cs="Arial" w:eastAsia="Arial" w:hAnsi="Arial"/>
          <w:sz w:val="16"/>
          <w:szCs w:val="16"/>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5" w:lineRule="exact"/>
        <w:rPr>
          <w:sz w:val="20"/>
          <w:szCs w:val="20"/>
          <w:color w:val="auto"/>
        </w:rPr>
      </w:pPr>
    </w:p>
    <w:p>
      <w:pPr>
        <w:ind w:right="400" w:firstLine="509"/>
        <w:spacing w:after="0" w:line="277" w:lineRule="auto"/>
        <w:rPr>
          <w:sz w:val="20"/>
          <w:szCs w:val="20"/>
          <w:color w:val="auto"/>
        </w:rPr>
      </w:pPr>
      <w:r>
        <w:rPr>
          <w:rFonts w:ascii="Arial" w:cs="Arial" w:eastAsia="Arial" w:hAnsi="Arial"/>
          <w:sz w:val="17"/>
          <w:szCs w:val="17"/>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Gross Profit to Adjusted Gross Profit for the three months ended March 31,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 in thousands, except percentages)</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147,787</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technologies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Stock-based compensation and related employer payroll tax</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156,588</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gridSpan w:val="2"/>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1"/>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Adjusted Gross Profit Margin</w:t>
            </w:r>
          </w:p>
        </w:tc>
        <w:tc>
          <w:tcPr>
            <w:tcW w:w="360" w:type="dxa"/>
            <w:vAlign w:val="bottom"/>
          </w:tcPr>
          <w:p>
            <w:pPr>
              <w:spacing w:after="0"/>
              <w:rPr>
                <w:sz w:val="20"/>
                <w:szCs w:val="20"/>
                <w:color w:val="auto"/>
              </w:rPr>
            </w:pPr>
          </w:p>
        </w:tc>
        <w:tc>
          <w:tcPr>
            <w:tcW w:w="1600" w:type="dxa"/>
            <w:vAlign w:val="bottom"/>
            <w:gridSpan w:val="2"/>
          </w:tcPr>
          <w:p>
            <w:pPr>
              <w:jc w:val="right"/>
              <w:ind w:right="51"/>
              <w:spacing w:after="0"/>
              <w:rPr>
                <w:sz w:val="20"/>
                <w:szCs w:val="20"/>
                <w:color w:val="auto"/>
              </w:rPr>
            </w:pPr>
            <w:r>
              <w:rPr>
                <w:rFonts w:ascii="Arial" w:cs="Arial" w:eastAsia="Arial" w:hAnsi="Arial"/>
                <w:sz w:val="18"/>
                <w:szCs w:val="18"/>
                <w:color w:val="auto"/>
              </w:rPr>
              <w:t>76 %</w:t>
            </w:r>
          </w:p>
        </w:tc>
        <w:tc>
          <w:tcPr>
            <w:tcW w:w="4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-485140</wp:posOffset>
            </wp:positionV>
            <wp:extent cx="7132955" cy="3409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955" cy="340995"/>
                    </a:xfrm>
                    <a:prstGeom prst="rect">
                      <a:avLst/>
                    </a:prstGeom>
                    <a:noFill/>
                  </pic:spPr>
                </pic:pic>
              </a:graphicData>
            </a:graphic>
          </wp:anchor>
        </w:drawing>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Expenses</w:t>
      </w:r>
    </w:p>
    <w:p>
      <w:pPr>
        <w:spacing w:after="0" w:line="115"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stock-based compensation expense and related employer payroll tax, plaintiff litigation costs, merger and acquisition ("M&amp;A") and integration costs, lease overlap costs for the incremental expenses associated with the Company’s new corporate headquarters prior to termination of its then existing headquarters’ lease, lease abandonment charges, Business Combination transaction costs and net costs related to divestiture.</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447"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7"/>
          <w:szCs w:val="17"/>
          <w:color w:val="auto"/>
        </w:rPr>
        <w:t>The following table reconciles operating expenses to Adjusted Operating Expenses for the three months ended March 31,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134,458</w:t>
            </w:r>
          </w:p>
        </w:tc>
        <w:tc>
          <w:tcPr>
            <w:tcW w:w="3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124,770</w:t>
            </w:r>
          </w:p>
        </w:tc>
        <w:tc>
          <w:tcPr>
            <w:tcW w:w="100" w:type="dxa"/>
            <w:vAlign w:val="bottom"/>
            <w:shd w:val="clear" w:color="auto" w:fill="CFF0FC"/>
          </w:tcPr>
          <w:p>
            <w:pPr>
              <w:spacing w:after="0"/>
              <w:rPr>
                <w:sz w:val="20"/>
                <w:szCs w:val="20"/>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(18,066 )</w:t>
            </w:r>
          </w:p>
        </w:tc>
        <w:tc>
          <w:tcPr>
            <w:tcW w:w="4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(18,080 )</w:t>
            </w: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 and related employer payroll tax</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(29,094 )</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(23,723 )</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Plaintiff litigation costs</w:t>
            </w:r>
          </w:p>
        </w:tc>
        <w:tc>
          <w:tcPr>
            <w:tcW w:w="3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(986 )</w:t>
            </w: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M&amp;A and integration costs</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(1,407 )</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Lease overlap costs</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(1,338 )</w:t>
            </w: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abandonment</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(1,222 )</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(732 )</w:t>
            </w:r>
          </w:p>
        </w:tc>
      </w:tr>
      <w:tr>
        <w:trPr>
          <w:trHeight w:val="242"/>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costs related to divestiture</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(60 )</w:t>
            </w:r>
          </w:p>
        </w:tc>
      </w:tr>
      <w:tr>
        <w:trPr>
          <w:trHeight w:val="235"/>
        </w:trPr>
        <w:tc>
          <w:tcPr>
            <w:tcW w:w="73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operating expenses</w:t>
            </w: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86,312</w:t>
            </w:r>
          </w:p>
        </w:tc>
        <w:tc>
          <w:tcPr>
            <w:tcW w:w="3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78,208</w:t>
            </w:r>
          </w:p>
        </w:tc>
        <w:tc>
          <w:tcPr>
            <w:tcW w:w="100" w:type="dxa"/>
            <w:vAlign w:val="bottom"/>
            <w:tcBorders>
              <w:top w:val="single" w:sz="8" w:color="CFF0FC"/>
            </w:tcBorders>
          </w:tcPr>
          <w:p>
            <w:pPr>
              <w:spacing w:after="0"/>
              <w:rPr>
                <w:sz w:val="20"/>
                <w:szCs w:val="20"/>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-186690</wp:posOffset>
            </wp:positionV>
            <wp:extent cx="76835" cy="1873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8732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-186690</wp:posOffset>
            </wp:positionV>
            <wp:extent cx="67945" cy="1873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945" cy="18732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115"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adjusted for amortization, stock-based compensation expense and related employer payroll tax, plaintiff litigation costs, M&amp;A and integration costs, lease overlap costs for the incremental expenses associated with the Company’s new corporate headquarters prior to termination of its then existing headquarters’ lease, lease abandonment charges, Business Combination transaction costs and net costs related to divestiture.</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operating income to Adjusted Operating Income for the three months ended March 31,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20"/>
                <w:szCs w:val="20"/>
                <w:color w:val="auto"/>
              </w:rPr>
            </w:pPr>
          </w:p>
        </w:tc>
        <w:tc>
          <w:tcPr>
            <w:tcW w:w="1340" w:type="dxa"/>
            <w:vAlign w:val="bottom"/>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13,329</w:t>
            </w:r>
          </w:p>
        </w:tc>
        <w:tc>
          <w:tcPr>
            <w:tcW w:w="3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shd w:val="clear" w:color="auto" w:fill="CFF0FC"/>
          </w:tcPr>
          <w:p>
            <w:pPr>
              <w:spacing w:after="0"/>
              <w:rPr>
                <w:sz w:val="20"/>
                <w:szCs w:val="20"/>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18,066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 expense and related employer payroll tax</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31,210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Plaintiff litigation costs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M&amp;A and integration costs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overlap costs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Lease abandonment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Net costs related to divestiture</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75"/>
        </w:trPr>
        <w:tc>
          <w:tcPr>
            <w:tcW w:w="7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70,276</w:t>
            </w:r>
          </w:p>
        </w:tc>
        <w:tc>
          <w:tcPr>
            <w:tcW w:w="3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66,847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believe that Adjusted EBITDA, as defined below, is useful in evaluating our operational performance distinct and apart from financing costs, certain expenses and non-operational expenses. Adjusted EBITDA is defined as net income adjusted for interest, taxes, amortization, depreciation,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costs related to divestiture and gain on sale of cost method investment. Adjusted EBITDA Margin is defined as Adjusted EBITDA divided by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The following table reconciles net income to Adjusted EBITDA for the three months ended March 31,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13,832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(3,259 )</w:t>
            </w:r>
          </w:p>
        </w:tc>
        <w:tc>
          <w:tcPr>
            <w:tcW w:w="4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0"/>
                <w:szCs w:val="20"/>
                <w:color w:val="auto"/>
              </w:rPr>
            </w:pPr>
          </w:p>
        </w:tc>
        <w:tc>
          <w:tcPr>
            <w:tcW w:w="1600" w:type="dxa"/>
            <w:vAlign w:val="bottom"/>
            <w:gridSpan w:val="2"/>
          </w:tcPr>
          <w:p>
            <w:pPr>
              <w:jc w:val="right"/>
              <w:ind w:right="131"/>
              <w:spacing w:after="0"/>
              <w:rPr>
                <w:sz w:val="20"/>
                <w:szCs w:val="20"/>
                <w:color w:val="auto"/>
              </w:rPr>
            </w:pPr>
            <w:r>
              <w:rPr>
                <w:rFonts w:ascii="Arial" w:cs="Arial" w:eastAsia="Arial" w:hAnsi="Arial"/>
                <w:sz w:val="18"/>
                <w:szCs w:val="18"/>
                <w:color w:val="auto"/>
              </w:rPr>
              <w:t>(783 )</w:t>
            </w: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(863 )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Depreciation and amortization of software, equipment and property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 of software, equipment and property—Cost of revenue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45,931</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 expense and related employer payroll tax</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31,210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Plaintiff litigation costs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(1,195 )</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M&amp;A and integration costs</w:t>
            </w:r>
          </w:p>
        </w:tc>
        <w:tc>
          <w:tcPr>
            <w:tcW w:w="360" w:type="dxa"/>
            <w:vAlign w:val="bottom"/>
          </w:tcPr>
          <w:p>
            <w:pPr>
              <w:spacing w:after="0"/>
              <w:rPr>
                <w:sz w:val="20"/>
                <w:szCs w:val="20"/>
                <w:color w:val="auto"/>
              </w:rPr>
            </w:pPr>
          </w:p>
        </w:tc>
        <w:tc>
          <w:tcPr>
            <w:tcW w:w="16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overlap costs</w:t>
            </w:r>
          </w:p>
        </w:tc>
        <w:tc>
          <w:tcPr>
            <w:tcW w:w="3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Lease abandonment</w:t>
            </w:r>
          </w:p>
        </w:tc>
        <w:tc>
          <w:tcPr>
            <w:tcW w:w="360" w:type="dxa"/>
            <w:vAlign w:val="bottom"/>
          </w:tcPr>
          <w:p>
            <w:pPr>
              <w:spacing w:after="0"/>
              <w:rPr>
                <w:sz w:val="20"/>
                <w:szCs w:val="20"/>
                <w:color w:val="auto"/>
              </w:rPr>
            </w:pPr>
          </w:p>
        </w:tc>
        <w:tc>
          <w:tcPr>
            <w:tcW w:w="16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3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2"/>
          </w:tcPr>
          <w:p>
            <w:pPr>
              <w:ind w:left="380"/>
              <w:spacing w:after="0"/>
              <w:rPr>
                <w:sz w:val="20"/>
                <w:szCs w:val="20"/>
                <w:color w:val="auto"/>
              </w:rPr>
            </w:pPr>
            <w:r>
              <w:rPr>
                <w:rFonts w:ascii="Arial" w:cs="Arial" w:eastAsia="Arial" w:hAnsi="Arial"/>
                <w:sz w:val="18"/>
                <w:szCs w:val="18"/>
                <w:color w:val="auto"/>
              </w:rPr>
              <w:t>Net costs related to divestiture</w:t>
            </w:r>
          </w:p>
        </w:tc>
        <w:tc>
          <w:tcPr>
            <w:tcW w:w="360" w:type="dxa"/>
            <w:vAlign w:val="bottom"/>
          </w:tcPr>
          <w:p>
            <w:pPr>
              <w:spacing w:after="0"/>
              <w:rPr>
                <w:sz w:val="20"/>
                <w:szCs w:val="20"/>
                <w:color w:val="auto"/>
              </w:rPr>
            </w:pPr>
          </w:p>
        </w:tc>
        <w:tc>
          <w:tcPr>
            <w:tcW w:w="16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Gain on sale of cost method investment</w:t>
            </w:r>
          </w:p>
        </w:tc>
        <w:tc>
          <w:tcPr>
            <w:tcW w:w="3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79,536</w:t>
            </w:r>
          </w:p>
        </w:tc>
        <w:tc>
          <w:tcPr>
            <w:tcW w:w="30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73,736</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EBITDA Margin</w:t>
            </w:r>
          </w:p>
        </w:tc>
        <w:tc>
          <w:tcPr>
            <w:tcW w:w="3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gridSpan w:val="2"/>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3409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955" cy="34099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11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income adjusted for the after-tax effects of amortization, stock-based compensation expense and related employer payroll tax, change in fair value of derivative instruments, plaintiff litigation costs, change in fair value of warrant liabilities, M&amp;A and integration costs, lease overlap costs for the incremental expenses associated with the Company’s new corporate headquarters prior to termination of its then existing headquarters’ lease, lease abandonment charges, Business Combination transaction costs, net costs related to divestiture and gain on sale of cost method investment.</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447" w:right="279" w:bottom="1440" w:gutter="0" w:footer="0" w:header="0"/>
        </w:sectPr>
      </w:pPr>
    </w:p>
    <w:bookmarkStart w:id="32" w:name="page33"/>
    <w:bookmarkEnd w:id="32"/>
    <w:p>
      <w:pPr>
        <w:ind w:left="520"/>
        <w:spacing w:after="0"/>
        <w:rPr>
          <w:sz w:val="20"/>
          <w:szCs w:val="20"/>
          <w:color w:val="auto"/>
        </w:rPr>
      </w:pPr>
      <w:r>
        <w:rPr>
          <w:rFonts w:ascii="Arial" w:cs="Arial" w:eastAsia="Arial" w:hAnsi="Arial"/>
          <w:sz w:val="16"/>
          <w:szCs w:val="16"/>
          <w:color w:val="auto"/>
        </w:rPr>
        <w:t>The following table reconciles net income to Adjusted Net Income and Adjusted Earnings per Share for the three months ended March 31, 2023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3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shd w:val="clear" w:color="auto" w:fill="CFF0FC"/>
          </w:tcPr>
          <w:p>
            <w:pPr>
              <w:spacing w:after="0"/>
              <w:rPr>
                <w:sz w:val="20"/>
                <w:szCs w:val="20"/>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18,066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acquired technologies—Cost of revenue</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 expense and related employer payroll tax</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31,210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 in fair value of derivative instruments</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Plaintiff litigation costs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(1,195 )</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(2,136 )</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M&amp;A and integration costs</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Lease overlap costs</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Lease abandonment</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Business Combination transaction and related costs</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Net costs related to divestiture</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Gain on sale of cost method investment</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(3,578 )</w:t>
            </w: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Tax effect of adjustments</w:t>
            </w:r>
          </w:p>
        </w:tc>
        <w:tc>
          <w:tcPr>
            <w:tcW w:w="3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(14,046 )</w:t>
            </w:r>
          </w:p>
        </w:tc>
        <w:tc>
          <w:tcPr>
            <w:tcW w:w="4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(11,577 )</w:t>
            </w:r>
          </w:p>
        </w:tc>
      </w:tr>
      <w:tr>
        <w:trPr>
          <w:trHeight w:val="241"/>
        </w:trPr>
        <w:tc>
          <w:tcPr>
            <w:tcW w:w="7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46,494</w:t>
            </w:r>
          </w:p>
        </w:tc>
        <w:tc>
          <w:tcPr>
            <w:tcW w:w="3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48,874</w:t>
            </w:r>
          </w:p>
        </w:tc>
        <w:tc>
          <w:tcPr>
            <w:tcW w:w="100" w:type="dxa"/>
            <w:vAlign w:val="bottom"/>
            <w:shd w:val="clear" w:color="auto" w:fill="CFF0FC"/>
          </w:tcPr>
          <w:p>
            <w:pPr>
              <w:spacing w:after="0"/>
              <w:rPr>
                <w:sz w:val="20"/>
                <w:szCs w:val="20"/>
                <w:color w:val="auto"/>
              </w:rPr>
            </w:pPr>
          </w:p>
        </w:tc>
      </w:tr>
      <w:tr>
        <w:trPr>
          <w:trHeight w:val="235"/>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Adjusted net income per share attributable to common stockholders: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3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616,217,176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603,104,839</w:t>
            </w:r>
          </w:p>
        </w:tc>
        <w:tc>
          <w:tcPr>
            <w:tcW w:w="100" w:type="dxa"/>
            <w:vAlign w:val="bottom"/>
          </w:tcPr>
          <w:p>
            <w:pPr>
              <w:spacing w:after="0"/>
              <w:rPr>
                <w:sz w:val="20"/>
                <w:szCs w:val="20"/>
                <w:color w:val="auto"/>
              </w:rPr>
            </w:pPr>
          </w:p>
        </w:tc>
      </w:tr>
      <w:tr>
        <w:trPr>
          <w:trHeight w:val="248"/>
        </w:trPr>
        <w:tc>
          <w:tcPr>
            <w:tcW w:w="7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646,380,961</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641,028,410</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net cash provided by operating activities to Free Cash Flow for the three months ended March 31,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33,078</w:t>
            </w:r>
          </w:p>
        </w:tc>
        <w:tc>
          <w:tcPr>
            <w:tcW w:w="3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46,865</w:t>
            </w:r>
          </w:p>
        </w:tc>
        <w:tc>
          <w:tcPr>
            <w:tcW w:w="100" w:type="dxa"/>
            <w:vAlign w:val="bottom"/>
            <w:shd w:val="clear" w:color="auto" w:fill="CFF0FC"/>
          </w:tcPr>
          <w:p>
            <w:pPr>
              <w:spacing w:after="0"/>
              <w:rPr>
                <w:sz w:val="20"/>
                <w:szCs w:val="20"/>
                <w:color w:val="auto"/>
              </w:rPr>
            </w:pPr>
          </w:p>
        </w:tc>
      </w:tr>
      <w:tr>
        <w:trPr>
          <w:trHeight w:val="235"/>
        </w:trPr>
        <w:tc>
          <w:tcPr>
            <w:tcW w:w="7380" w:type="dxa"/>
            <w:vAlign w:val="bottom"/>
            <w:gridSpan w:val="2"/>
          </w:tcPr>
          <w:p>
            <w:pPr>
              <w:ind w:left="380"/>
              <w:spacing w:after="0"/>
              <w:rPr>
                <w:sz w:val="20"/>
                <w:szCs w:val="20"/>
                <w:color w:val="auto"/>
              </w:rPr>
            </w:pPr>
            <w:r>
              <w:rPr>
                <w:rFonts w:ascii="Arial" w:cs="Arial" w:eastAsia="Arial" w:hAnsi="Arial"/>
                <w:sz w:val="18"/>
                <w:szCs w:val="18"/>
                <w:color w:val="auto"/>
              </w:rPr>
              <w:t>Less: Purchases of software, equipment, and property</w:t>
            </w:r>
          </w:p>
        </w:tc>
        <w:tc>
          <w:tcPr>
            <w:tcW w:w="3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(14,534 )</w:t>
            </w:r>
          </w:p>
        </w:tc>
        <w:tc>
          <w:tcPr>
            <w:tcW w:w="4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(14,280 )</w:t>
            </w:r>
          </w:p>
        </w:tc>
      </w:tr>
      <w:tr>
        <w:trPr>
          <w:trHeight w:val="275"/>
        </w:trPr>
        <w:tc>
          <w:tcPr>
            <w:tcW w:w="73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38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18,544</w:t>
            </w:r>
          </w:p>
        </w:tc>
        <w:tc>
          <w:tcPr>
            <w:tcW w:w="3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top w:val="single" w:sz="8" w:color="auto"/>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have financed our operations with cash flows from operations. The Company generated $33.1 million of cash flows from operating activities during the three months ended March 31, 2023. As of March 31, 2023, the Company had cash and cash equivalents of $338.4 million, a working capital surplus of $360.3 million and an accumulated deficit totaling $705.8 million. As of March 31, 2023, the Company had $790.0 million aggregate principal outstanding on its term loan.</w:t>
      </w:r>
    </w:p>
    <w:p>
      <w:pPr>
        <w:spacing w:after="0" w:line="80" w:lineRule="exact"/>
        <w:rPr>
          <w:sz w:val="20"/>
          <w:szCs w:val="20"/>
          <w:color w:val="auto"/>
        </w:rPr>
      </w:pPr>
    </w:p>
    <w:p>
      <w:pPr>
        <w:jc w:val="both"/>
        <w:ind w:right="720" w:firstLine="509"/>
        <w:spacing w:after="0" w:line="261" w:lineRule="auto"/>
        <w:rPr>
          <w:sz w:val="20"/>
          <w:szCs w:val="20"/>
          <w:color w:val="auto"/>
        </w:rPr>
      </w:pPr>
      <w:r>
        <w:rPr>
          <w:rFonts w:ascii="Arial" w:cs="Arial" w:eastAsia="Arial" w:hAnsi="Arial"/>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76" w:lineRule="exact"/>
        <w:rPr>
          <w:sz w:val="20"/>
          <w:szCs w:val="20"/>
          <w:color w:val="auto"/>
        </w:rPr>
      </w:pPr>
    </w:p>
    <w:p>
      <w:pPr>
        <w:ind w:right="180" w:firstLine="509"/>
        <w:spacing w:after="0" w:line="309" w:lineRule="auto"/>
        <w:rPr>
          <w:sz w:val="20"/>
          <w:szCs w:val="20"/>
          <w:color w:val="auto"/>
        </w:rPr>
      </w:pPr>
      <w:r>
        <w:rPr>
          <w:rFonts w:ascii="Arial" w:cs="Arial" w:eastAsia="Arial" w:hAnsi="Arial"/>
          <w:sz w:val="16"/>
          <w:szCs w:val="16"/>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5" w:lineRule="exact"/>
        <w:rPr>
          <w:sz w:val="20"/>
          <w:szCs w:val="20"/>
          <w:color w:val="auto"/>
        </w:rPr>
      </w:pPr>
    </w:p>
    <w:p>
      <w:pPr>
        <w:ind w:right="860" w:firstLine="509"/>
        <w:spacing w:after="0" w:line="274" w:lineRule="auto"/>
        <w:rPr>
          <w:sz w:val="20"/>
          <w:szCs w:val="20"/>
          <w:color w:val="auto"/>
        </w:rPr>
      </w:pPr>
      <w:r>
        <w:rPr>
          <w:rFonts w:ascii="Arial" w:cs="Arial" w:eastAsia="Arial" w:hAnsi="Arial"/>
          <w:sz w:val="18"/>
          <w:szCs w:val="18"/>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3" w:name="page34"/>
    <w:bookmarkEnd w:id="33"/>
    <w:p>
      <w:pPr>
        <w:ind w:right="260" w:firstLine="509"/>
        <w:spacing w:after="0" w:line="274" w:lineRule="auto"/>
        <w:rPr>
          <w:sz w:val="20"/>
          <w:szCs w:val="20"/>
          <w:color w:val="auto"/>
        </w:rPr>
      </w:pPr>
      <w:r>
        <w:rPr>
          <w:rFonts w:ascii="Arial" w:cs="Arial" w:eastAsia="Arial" w:hAnsi="Arial"/>
          <w:sz w:val="18"/>
          <w:szCs w:val="18"/>
          <w:color w:val="auto"/>
        </w:rPr>
        <w:t>The proceeds of the 2021 Credit Agreement and cash on hand were used to repay all outstanding borrowings under the Company's previous credit agreement.</w:t>
      </w:r>
    </w:p>
    <w:p>
      <w:pPr>
        <w:spacing w:after="0" w:line="6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spacing w:after="0" w:line="8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Term B Loan requires quarterly principal payments of $2.0 million until June 30, 2028, with the remaining outstanding principal amount required to be paid on the maturity date, September 21, 2028. Beginning with the fiscal year ended December 31, 2022,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2022, the Company's leverage ratio did not exceed the 3.5 threshold and the Company was not subject to the annual excess cash flow calculation and, as such, was not required to make a principal prepayment.</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the amount outstanding on the Term B Loan was $790.0 million, of which, $8.0 million is classified as current.</w:t>
      </w:r>
    </w:p>
    <w:p>
      <w:pPr>
        <w:spacing w:after="0" w:line="115" w:lineRule="exact"/>
        <w:rPr>
          <w:sz w:val="20"/>
          <w:szCs w:val="20"/>
          <w:color w:val="auto"/>
        </w:rPr>
      </w:pPr>
    </w:p>
    <w:p>
      <w:pPr>
        <w:ind w:right="180" w:firstLine="509"/>
        <w:spacing w:after="0" w:line="305" w:lineRule="auto"/>
        <w:rPr>
          <w:sz w:val="20"/>
          <w:szCs w:val="20"/>
          <w:color w:val="auto"/>
        </w:rPr>
      </w:pPr>
      <w:r>
        <w:rPr>
          <w:rFonts w:ascii="Arial" w:cs="Arial" w:eastAsia="Arial" w:hAnsi="Arial"/>
          <w:sz w:val="17"/>
          <w:szCs w:val="17"/>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40" w:lineRule="exact"/>
        <w:rPr>
          <w:sz w:val="20"/>
          <w:szCs w:val="20"/>
          <w:color w:val="auto"/>
        </w:rPr>
      </w:pPr>
    </w:p>
    <w:p>
      <w:pPr>
        <w:ind w:right="440" w:firstLine="509"/>
        <w:spacing w:after="0" w:line="274" w:lineRule="auto"/>
        <w:rPr>
          <w:sz w:val="20"/>
          <w:szCs w:val="20"/>
          <w:color w:val="auto"/>
        </w:rPr>
      </w:pPr>
      <w:r>
        <w:rPr>
          <w:rFonts w:ascii="Arial" w:cs="Arial" w:eastAsia="Arial" w:hAnsi="Arial"/>
          <w:sz w:val="18"/>
          <w:szCs w:val="18"/>
          <w:color w:val="auto"/>
        </w:rPr>
        <w:t>A quarterly commitment fee of up to 0.50% is payable on the unused portion of the 2021 Revolving Credit Facility. The 2021 Revolving Credit Facility matures on September 21, 2026.</w:t>
      </w:r>
    </w:p>
    <w:p>
      <w:pPr>
        <w:spacing w:after="0" w:line="6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During the three months ended March 31, 2023 and 2022, the weighted-average interest rate on the outstanding borrowings under the Term B Loan was 6.9% and 3.0%, respectively. During the three months ended March 31, 2023 and 2022, the Company made interest payments of $13.6 million and $5.9 million, respectively.</w:t>
      </w:r>
    </w:p>
    <w:p>
      <w:pPr>
        <w:spacing w:after="0" w:line="76" w:lineRule="exact"/>
        <w:rPr>
          <w:sz w:val="20"/>
          <w:szCs w:val="20"/>
          <w:color w:val="auto"/>
        </w:rPr>
      </w:pPr>
    </w:p>
    <w:p>
      <w:pPr>
        <w:ind w:right="640" w:firstLine="509"/>
        <w:spacing w:after="0" w:line="339" w:lineRule="auto"/>
        <w:rPr>
          <w:sz w:val="20"/>
          <w:szCs w:val="20"/>
          <w:color w:val="auto"/>
        </w:rPr>
      </w:pPr>
      <w:r>
        <w:rPr>
          <w:rFonts w:ascii="Arial" w:cs="Arial" w:eastAsia="Arial" w:hAnsi="Arial"/>
          <w:sz w:val="16"/>
          <w:szCs w:val="16"/>
          <w:color w:val="auto"/>
        </w:rPr>
        <w:t>The Company has an outstanding standby letter of credit for $0.7 million which reduces the amount available to be borrowed under the 2021 Revolving Credit Facility. As of March 31, 2023, $249.3 million was available to be borrowed under the 2021 Revolving Credit Facility.</w:t>
      </w:r>
    </w:p>
    <w:p>
      <w:pPr>
        <w:spacing w:after="0" w:line="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terms of the 2021 Credit Agreement include a financial covenant which requires that, at the end of each fiscal quarter, if the aggregate amount of borrowings under the 2021 Revolving Credit Facility exceeds 35% of the aggregate commitments, the leverage ratio of CCC Intelligent Solutions Inc. and certain of its subsidiaries cannot exceed 6.25 to 1.00. Borrowings under the 2021 Revolving Credit Facility did not exceed 35% of the aggregate commitments and the Company was not subject to the leverage test as of March 31, 2023.</w:t>
      </w:r>
    </w:p>
    <w:p>
      <w:pPr>
        <w:spacing w:after="0" w:line="80"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—In August 2022, the Company entered into two interest rate cap agreements to reduce its exposure to increases in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its floating rate long-term debt. The aggregate notional value of the interest rate cap agreements is $600.0 million with a cap rate of 4.0% and an expiration date of July 31,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cash flow data for the three months ended March 31,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37"/>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33,078</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46,865</w:t>
            </w:r>
          </w:p>
        </w:tc>
        <w:tc>
          <w:tcPr>
            <w:tcW w:w="100" w:type="dxa"/>
            <w:vAlign w:val="bottom"/>
            <w:shd w:val="clear" w:color="auto" w:fill="CFF0FC"/>
          </w:tcPr>
          <w:p>
            <w:pPr>
              <w:spacing w:after="0"/>
              <w:rPr>
                <w:sz w:val="20"/>
                <w:szCs w:val="20"/>
                <w:color w:val="auto"/>
              </w:rPr>
            </w:pPr>
          </w:p>
        </w:tc>
      </w:tr>
      <w:tr>
        <w:trPr>
          <w:trHeight w:val="23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(14,534 )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(42,615 )</w:t>
            </w:r>
          </w:p>
        </w:tc>
      </w:tr>
      <w:tr>
        <w:trPr>
          <w:trHeight w:val="248"/>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(4,014 )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8,691</w:t>
            </w:r>
          </w:p>
        </w:tc>
        <w:tc>
          <w:tcPr>
            <w:tcW w:w="100" w:type="dxa"/>
            <w:vAlign w:val="bottom"/>
            <w:shd w:val="clear" w:color="auto" w:fill="CFF0FC"/>
          </w:tcPr>
          <w:p>
            <w:pPr>
              <w:spacing w:after="0"/>
              <w:rPr>
                <w:sz w:val="21"/>
                <w:szCs w:val="21"/>
                <w:color w:val="auto"/>
              </w:rPr>
            </w:pPr>
          </w:p>
        </w:tc>
      </w:tr>
      <w:tr>
        <w:trPr>
          <w:trHeight w:val="235"/>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effect of exchange rate change</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75"/>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14,566</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-24765</wp:posOffset>
            </wp:positionV>
            <wp:extent cx="679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-7620</wp:posOffset>
            </wp:positionV>
            <wp:extent cx="679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00" w:lineRule="exact"/>
        <w:rPr>
          <w:sz w:val="20"/>
          <w:szCs w:val="20"/>
          <w:color w:val="auto"/>
        </w:rPr>
      </w:pPr>
    </w:p>
    <w:p>
      <w:pPr>
        <w:ind w:right="20" w:firstLine="563"/>
        <w:spacing w:after="0" w:line="253" w:lineRule="auto"/>
        <w:rPr>
          <w:sz w:val="20"/>
          <w:szCs w:val="20"/>
          <w:color w:val="auto"/>
        </w:rPr>
      </w:pPr>
      <w:r>
        <w:rPr>
          <w:rFonts w:ascii="Arial" w:cs="Arial" w:eastAsia="Arial" w:hAnsi="Arial"/>
          <w:sz w:val="18"/>
          <w:szCs w:val="18"/>
          <w:color w:val="auto"/>
        </w:rPr>
        <w:t>Net cash provided by operating activities was $33.1 million for the three months ended March 31, 2023. Net cash provided by operating activities consists of net income of $2.2 million, adjusted for $59.3 million of non-cash items, ($19.7) million for changes in working capital and ($8.7) million for the effect of changes in other operating assets and liabilities. Significant non-cash adjustments include depreciation and amortization of $34.0 million, stock-based compensation expense of $29.2 million, a change in fair value of derivative instruments of $2.6 million, non-cash lease expense of $0.9 million, deferred income tax benefits of ($6.8) million, and a change in fair value of warrant liabilities of ($1.2) million. The change in net operating assets and liabilities was primarily a result of a decrease in accrued expenses of $25.7 million due to timing of cash disbursements and employee incentive plan payments,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4" w:name="page35"/>
    <w:bookmarkEnd w:id="34"/>
    <w:p>
      <w:pPr>
        <w:ind w:right="20"/>
        <w:spacing w:after="0" w:line="257" w:lineRule="auto"/>
        <w:rPr>
          <w:sz w:val="20"/>
          <w:szCs w:val="20"/>
          <w:color w:val="auto"/>
        </w:rPr>
      </w:pPr>
      <w:r>
        <w:rPr>
          <w:rFonts w:ascii="Arial" w:cs="Arial" w:eastAsia="Arial" w:hAnsi="Arial"/>
          <w:sz w:val="18"/>
          <w:szCs w:val="18"/>
          <w:color w:val="auto"/>
        </w:rPr>
        <w:t>decrease in accounts payable of $11.9 million due to timing of cash disbursements, an increase in non-current other assets of $8.6 million due to timing of payments for prepaid and other deferred costs and a change in income taxes of $5.8 million due to timing of payments, partially offset by a decrease in accounts receivable of $6.1 million due to timing of receipts of payments from customers and an increase in deferred revenue of $5.0 million due to timing of customer receipts and revenue recognition.</w:t>
      </w:r>
    </w:p>
    <w:p>
      <w:pPr>
        <w:spacing w:after="0" w:line="80" w:lineRule="exact"/>
        <w:rPr>
          <w:sz w:val="20"/>
          <w:szCs w:val="20"/>
          <w:color w:val="auto"/>
        </w:rPr>
      </w:pPr>
    </w:p>
    <w:p>
      <w:pPr>
        <w:ind w:right="100" w:firstLine="509"/>
        <w:spacing w:after="0" w:line="274" w:lineRule="auto"/>
        <w:rPr>
          <w:sz w:val="20"/>
          <w:szCs w:val="20"/>
          <w:color w:val="auto"/>
        </w:rPr>
      </w:pPr>
      <w:r>
        <w:rPr>
          <w:rFonts w:ascii="Arial" w:cs="Arial" w:eastAsia="Arial" w:hAnsi="Arial"/>
          <w:sz w:val="18"/>
          <w:szCs w:val="18"/>
          <w:color w:val="auto"/>
        </w:rPr>
        <w:t>Net cash used in investing activities was $14.5 million for the three months ended March 31, 2023. Net cash used in investing activities was due to capitalized internally developed software projects and purchases of software, equipment and property.</w:t>
      </w:r>
    </w:p>
    <w:p>
      <w:pPr>
        <w:spacing w:after="0" w:line="64"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Net cash used in financing activities was $4.0 million for the three months ended March 31, 2023. Net cash used in financing activities was due to $11.4 million of tax payments related to the net share settlement of employee equity awards and $2.0 million of principal payments of long-term debt, partially offset by $8.1 million of proceeds from stock option exercises and $1.3 million of proceeds from shares purchased through the Company's ESPP.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jc w:val="both"/>
        <w:ind w:right="180" w:firstLine="509"/>
        <w:spacing w:after="0" w:line="261" w:lineRule="auto"/>
        <w:rPr>
          <w:sz w:val="20"/>
          <w:szCs w:val="20"/>
          <w:color w:val="auto"/>
        </w:rPr>
      </w:pPr>
      <w:r>
        <w:rPr>
          <w:rFonts w:ascii="Arial" w:cs="Arial" w:eastAsia="Arial" w:hAnsi="Arial"/>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81" w:lineRule="exact"/>
        <w:rPr>
          <w:sz w:val="20"/>
          <w:szCs w:val="20"/>
          <w:color w:val="auto"/>
        </w:rPr>
      </w:pPr>
    </w:p>
    <w:p>
      <w:pPr>
        <w:ind w:right="120" w:firstLine="509"/>
        <w:spacing w:after="0" w:line="339" w:lineRule="auto"/>
        <w:rPr>
          <w:sz w:val="20"/>
          <w:szCs w:val="20"/>
          <w:color w:val="auto"/>
        </w:rPr>
      </w:pPr>
      <w:r>
        <w:rPr>
          <w:rFonts w:ascii="Arial" w:cs="Arial" w:eastAsia="Arial" w:hAnsi="Arial"/>
          <w:sz w:val="16"/>
          <w:szCs w:val="16"/>
          <w:color w:val="auto"/>
        </w:rPr>
        <w:t>There have been no material changes to our critical accounting estimates as compared to the critical accounting policies and estimates disclosed in our audited consolidated financial statements and notes thereto for the year ended December 31, 2022, included in our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ind w:right="60" w:firstLine="509"/>
        <w:spacing w:after="0" w:line="274" w:lineRule="auto"/>
        <w:rPr>
          <w:sz w:val="20"/>
          <w:szCs w:val="20"/>
          <w:color w:val="auto"/>
        </w:rPr>
      </w:pPr>
      <w:r>
        <w:rPr>
          <w:rFonts w:ascii="Arial" w:cs="Arial" w:eastAsia="Arial" w:hAnsi="Arial"/>
          <w:sz w:val="18"/>
          <w:szCs w:val="18"/>
          <w:color w:val="auto"/>
        </w:rPr>
        <w:t>There have been no material changes in our market risk compared to the disclosures in Part II, Item 7A of our Annual Report on Form 10-K for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2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March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2023 identified in management’s evaluation pursuant to in Rules 13a-15(d) and 15d-15(d) of the Exchange Act that materially affected, or are reasonably likely to materially affect, our internal control over financial reporting.</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447"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7"/>
          <w:szCs w:val="17"/>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risk factors relating to our business, please refer to the section entitled “Risk Factors” in our Annual Report on Form 10-K for the year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Any of these factors could result in a significant or material adverse effect on our results of operations or financial condition.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Additional risk factors not presently known to us or that we currently deem immaterial may also impair our business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100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74"/>
        </w:trPr>
        <w:tc>
          <w:tcPr>
            <w:tcW w:w="90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FF"/>
            </w:tcBorders>
            <w:gridSpan w:val="5"/>
            <w:shd w:val="clear" w:color="auto" w:fill="CCEEFF"/>
          </w:tcPr>
          <w:p>
            <w:pPr>
              <w:spacing w:after="0" w:line="175" w:lineRule="exact"/>
              <w:rPr>
                <w:sz w:val="20"/>
                <w:szCs w:val="20"/>
                <w:color w:val="auto"/>
              </w:rPr>
            </w:pPr>
            <w:r>
              <w:rPr>
                <w:rFonts w:ascii="Arial" w:cs="Arial" w:eastAsia="Arial" w:hAnsi="Arial"/>
                <w:sz w:val="18"/>
                <w:szCs w:val="18"/>
                <w:color w:val="0000FF"/>
                <w:w w:val="91"/>
              </w:rPr>
              <w:t>Certification of Chief Executive Officer (Principal Executive Officer) Pursuant to Rules 13a-14(a) and 15d-14(a) under the Securities</w:t>
            </w:r>
          </w:p>
        </w:tc>
        <w:tc>
          <w:tcPr>
            <w:tcW w:w="480" w:type="dxa"/>
            <w:vAlign w:val="bottom"/>
            <w:tcBorders>
              <w:bottom w:val="single" w:sz="8" w:color="CCEEFF"/>
            </w:tcBorders>
            <w:gridSpan w:val="4"/>
            <w:shd w:val="clear" w:color="auto" w:fill="CCEEFF"/>
          </w:tcPr>
          <w:p>
            <w:pPr>
              <w:spacing w:after="0"/>
              <w:rPr>
                <w:sz w:val="15"/>
                <w:szCs w:val="15"/>
                <w:color w:val="auto"/>
              </w:rPr>
            </w:pP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89"/>
              </w:rPr>
              <w:t>Exchange Act of 1934, as Adopted Pursuant to Section 302 of the Sarbanes-Oxley Act of 2002.</w:t>
            </w:r>
          </w:p>
        </w:tc>
        <w:tc>
          <w:tcPr>
            <w:tcW w:w="3240" w:type="dxa"/>
            <w:vAlign w:val="bottom"/>
            <w:tcBorders>
              <w:bottom w:val="single" w:sz="8" w:color="CCEEFF"/>
            </w:tcBorders>
            <w:gridSpan w:val="6"/>
            <w:shd w:val="clear" w:color="auto" w:fill="CCEEFF"/>
          </w:tcPr>
          <w:p>
            <w:pPr>
              <w:spacing w:after="0"/>
              <w:rPr>
                <w:sz w:val="18"/>
                <w:szCs w:val="18"/>
                <w:color w:val="auto"/>
              </w:rPr>
            </w:pPr>
          </w:p>
        </w:tc>
      </w:tr>
      <w:tr>
        <w:trPr>
          <w:trHeight w:val="174"/>
        </w:trPr>
        <w:tc>
          <w:tcPr>
            <w:tcW w:w="900" w:type="dxa"/>
            <w:vAlign w:val="bottom"/>
          </w:tcPr>
          <w:p>
            <w:pPr>
              <w:ind w:left="20"/>
              <w:spacing w:after="0" w:line="175"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5"/>
                <w:szCs w:val="15"/>
                <w:color w:val="auto"/>
              </w:rPr>
            </w:pPr>
          </w:p>
        </w:tc>
        <w:tc>
          <w:tcPr>
            <w:tcW w:w="9920" w:type="dxa"/>
            <w:vAlign w:val="bottom"/>
            <w:tcBorders>
              <w:bottom w:val="single" w:sz="8" w:color="0000FF"/>
            </w:tcBorders>
            <w:gridSpan w:val="6"/>
          </w:tcPr>
          <w:p>
            <w:pPr>
              <w:spacing w:after="0" w:line="175" w:lineRule="exact"/>
              <w:rPr>
                <w:sz w:val="20"/>
                <w:szCs w:val="20"/>
                <w:color w:val="auto"/>
              </w:rPr>
            </w:pPr>
            <w:r>
              <w:rPr>
                <w:rFonts w:ascii="Arial" w:cs="Arial" w:eastAsia="Arial" w:hAnsi="Arial"/>
                <w:sz w:val="18"/>
                <w:szCs w:val="18"/>
                <w:color w:val="0000FF"/>
                <w:w w:val="91"/>
              </w:rPr>
              <w:t>Certification of Chief Financial Officer (Principal Financial and Accounting Officer) Pursuant to Rules 13a-14(a) and 15d-14(a) under the</w:t>
            </w:r>
          </w:p>
        </w:tc>
        <w:tc>
          <w:tcPr>
            <w:tcW w:w="160" w:type="dxa"/>
            <w:vAlign w:val="bottom"/>
            <w:gridSpan w:val="3"/>
          </w:tcPr>
          <w:p>
            <w:pPr>
              <w:spacing w:after="0"/>
              <w:rPr>
                <w:sz w:val="15"/>
                <w:szCs w:val="15"/>
                <w:color w:val="auto"/>
              </w:rPr>
            </w:pPr>
          </w:p>
        </w:tc>
      </w:tr>
      <w:tr>
        <w:trPr>
          <w:trHeight w:val="195"/>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9"/>
          </w:tcPr>
          <w:p>
            <w:pPr>
              <w:spacing w:after="0" w:line="195" w:lineRule="exact"/>
              <w:rPr>
                <w:sz w:val="20"/>
                <w:szCs w:val="20"/>
                <w:color w:val="auto"/>
              </w:rPr>
            </w:pPr>
            <w:r>
              <w:rPr>
                <w:rFonts w:ascii="Arial" w:cs="Arial" w:eastAsia="Arial" w:hAnsi="Arial"/>
                <w:sz w:val="18"/>
                <w:szCs w:val="18"/>
                <w:color w:val="0000FF"/>
              </w:rPr>
              <w:t>Securities Exchange Act of 1934, as Adopted Pursuant to Section 302 of the Sarbanes-Oxley Act of 2002.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39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90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32.1**</w:t>
            </w:r>
          </w:p>
        </w:tc>
        <w:tc>
          <w:tcPr>
            <w:tcW w:w="14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FF"/>
            </w:tcBorders>
            <w:gridSpan w:val="7"/>
            <w:shd w:val="clear" w:color="auto" w:fill="CCEEFF"/>
          </w:tcPr>
          <w:p>
            <w:pPr>
              <w:spacing w:after="0" w:line="175" w:lineRule="exact"/>
              <w:rPr>
                <w:sz w:val="20"/>
                <w:szCs w:val="20"/>
                <w:color w:val="auto"/>
              </w:rPr>
            </w:pPr>
            <w:r>
              <w:rPr>
                <w:rFonts w:ascii="Arial" w:cs="Arial" w:eastAsia="Arial" w:hAnsi="Arial"/>
                <w:sz w:val="18"/>
                <w:szCs w:val="18"/>
                <w:color w:val="0000FF"/>
                <w:w w:val="91"/>
              </w:rPr>
              <w:t>Certification of Chief Executive Officer (Principal Executive Officer) Pursuant to 18 U.S.C. Section 1350, as Adopted Pursuant to Section</w:t>
            </w:r>
          </w:p>
        </w:tc>
        <w:tc>
          <w:tcPr>
            <w:tcW w:w="140" w:type="dxa"/>
            <w:vAlign w:val="bottom"/>
            <w:tcBorders>
              <w:bottom w:val="single" w:sz="8" w:color="CCEEFF"/>
            </w:tcBorders>
            <w:gridSpan w:val="2"/>
            <w:shd w:val="clear" w:color="auto" w:fill="CCEEFF"/>
          </w:tcPr>
          <w:p>
            <w:pPr>
              <w:spacing w:after="0"/>
              <w:rPr>
                <w:sz w:val="15"/>
                <w:szCs w:val="15"/>
                <w:color w:val="auto"/>
              </w:rPr>
            </w:pP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0000FF"/>
            </w:tcBorders>
            <w:gridSpan w:val="2"/>
            <w:shd w:val="clear" w:color="auto" w:fill="CCEEFF"/>
          </w:tcPr>
          <w:p>
            <w:pPr>
              <w:spacing w:after="0" w:line="195" w:lineRule="exact"/>
              <w:rPr>
                <w:sz w:val="20"/>
                <w:szCs w:val="20"/>
                <w:color w:val="auto"/>
              </w:rPr>
            </w:pPr>
            <w:r>
              <w:rPr>
                <w:rFonts w:ascii="Arial" w:cs="Arial" w:eastAsia="Arial" w:hAnsi="Arial"/>
                <w:sz w:val="18"/>
                <w:szCs w:val="18"/>
                <w:color w:val="0000FF"/>
                <w:w w:val="90"/>
              </w:rPr>
              <w:t>906 of the Sarbanes-Oxley Act of 2002.</w:t>
            </w:r>
          </w:p>
        </w:tc>
        <w:tc>
          <w:tcPr>
            <w:tcW w:w="7220" w:type="dxa"/>
            <w:vAlign w:val="bottom"/>
            <w:tcBorders>
              <w:bottom w:val="single" w:sz="8" w:color="CCEEFF"/>
            </w:tcBorders>
            <w:gridSpan w:val="7"/>
            <w:shd w:val="clear" w:color="auto" w:fill="CCEEFF"/>
          </w:tcPr>
          <w:p>
            <w:pPr>
              <w:spacing w:after="0"/>
              <w:rPr>
                <w:sz w:val="18"/>
                <w:szCs w:val="18"/>
                <w:color w:val="auto"/>
              </w:rPr>
            </w:pPr>
          </w:p>
        </w:tc>
      </w:tr>
      <w:tr>
        <w:trPr>
          <w:trHeight w:val="174"/>
        </w:trPr>
        <w:tc>
          <w:tcPr>
            <w:tcW w:w="900" w:type="dxa"/>
            <w:vAlign w:val="bottom"/>
          </w:tcPr>
          <w:p>
            <w:pPr>
              <w:ind w:left="20"/>
              <w:spacing w:after="0" w:line="175"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5"/>
                <w:szCs w:val="15"/>
                <w:color w:val="auto"/>
              </w:rPr>
            </w:pPr>
          </w:p>
        </w:tc>
        <w:tc>
          <w:tcPr>
            <w:tcW w:w="10040" w:type="dxa"/>
            <w:vAlign w:val="bottom"/>
            <w:tcBorders>
              <w:bottom w:val="single" w:sz="8" w:color="0000FF"/>
            </w:tcBorders>
            <w:gridSpan w:val="8"/>
          </w:tcPr>
          <w:p>
            <w:pPr>
              <w:spacing w:after="0" w:line="175" w:lineRule="exact"/>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40" w:type="dxa"/>
            <w:vAlign w:val="bottom"/>
          </w:tcPr>
          <w:p>
            <w:pPr>
              <w:spacing w:after="0"/>
              <w:rPr>
                <w:sz w:val="15"/>
                <w:szCs w:val="15"/>
                <w:color w:val="auto"/>
              </w:rPr>
            </w:pPr>
          </w:p>
        </w:tc>
      </w:tr>
      <w:tr>
        <w:trPr>
          <w:trHeight w:val="195"/>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9"/>
          </w:tcPr>
          <w:p>
            <w:pPr>
              <w:spacing w:after="0" w:line="195" w:lineRule="exact"/>
              <w:rPr>
                <w:sz w:val="20"/>
                <w:szCs w:val="20"/>
                <w:color w:val="auto"/>
              </w:rPr>
            </w:pPr>
            <w:r>
              <w:rPr>
                <w:rFonts w:ascii="Arial" w:cs="Arial" w:eastAsia="Arial" w:hAnsi="Arial"/>
                <w:sz w:val="18"/>
                <w:szCs w:val="18"/>
                <w:color w:val="0000FF"/>
              </w:rPr>
              <w:t>of 2002.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shd w:val="clear" w:color="auto" w:fill="CCEEFF"/>
          </w:tcPr>
          <w:p>
            <w:pPr>
              <w:spacing w:after="0"/>
              <w:rPr>
                <w:sz w:val="18"/>
                <w:szCs w:val="18"/>
                <w:color w:val="auto"/>
              </w:rPr>
            </w:pPr>
          </w:p>
        </w:tc>
        <w:tc>
          <w:tcPr>
            <w:tcW w:w="100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5"/>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shd w:val="clear" w:color="auto" w:fill="CCEEFF"/>
          </w:tcPr>
          <w:p>
            <w:pPr>
              <w:spacing w:after="0"/>
              <w:rPr>
                <w:sz w:val="18"/>
                <w:szCs w:val="18"/>
                <w:color w:val="auto"/>
              </w:rPr>
            </w:pPr>
          </w:p>
        </w:tc>
        <w:tc>
          <w:tcPr>
            <w:tcW w:w="100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shd w:val="clear" w:color="auto" w:fill="CCEEFF"/>
          </w:tcPr>
          <w:p>
            <w:pPr>
              <w:spacing w:after="0"/>
              <w:rPr>
                <w:sz w:val="18"/>
                <w:szCs w:val="18"/>
                <w:color w:val="auto"/>
              </w:rPr>
            </w:pPr>
          </w:p>
        </w:tc>
        <w:tc>
          <w:tcPr>
            <w:tcW w:w="100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00"/>
        </w:trPr>
        <w:tc>
          <w:tcPr>
            <w:tcW w:w="900" w:type="dxa"/>
            <w:vAlign w:val="bottom"/>
          </w:tcPr>
          <w:p>
            <w:pPr>
              <w:ind w:left="20"/>
              <w:spacing w:after="0" w:line="201" w:lineRule="exact"/>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7"/>
                <w:szCs w:val="17"/>
                <w:color w:val="auto"/>
              </w:rPr>
            </w:pPr>
          </w:p>
        </w:tc>
        <w:tc>
          <w:tcPr>
            <w:tcW w:w="10080" w:type="dxa"/>
            <w:vAlign w:val="bottom"/>
            <w:gridSpan w:val="9"/>
          </w:tcPr>
          <w:p>
            <w:pPr>
              <w:spacing w:after="0" w:line="201"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w w:val="92"/>
              </w:rPr>
              <w:t>Cover Page Interactive Data File - The cover page interactive data file does not appear in the Interactive Data File because its XBRL tags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056120" cy="272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56120" cy="27241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3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36" w:right="4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w:t>
      </w:r>
    </w:p>
    <w:p>
      <w:pPr>
        <w:spacing w:after="0" w:line="226" w:lineRule="exact"/>
        <w:rPr>
          <w:sz w:val="20"/>
          <w:szCs w:val="20"/>
          <w:color w:val="auto"/>
        </w:rPr>
      </w:pPr>
    </w:p>
    <w:p>
      <w:pPr>
        <w:ind w:right="520" w:firstLine="509"/>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80" w:type="dxa"/>
            <w:vAlign w:val="bottom"/>
          </w:tcPr>
          <w:p>
            <w:pPr>
              <w:ind w:left="20"/>
              <w:spacing w:after="0"/>
              <w:rPr>
                <w:sz w:val="20"/>
                <w:szCs w:val="20"/>
                <w:color w:val="auto"/>
              </w:rPr>
            </w:pPr>
            <w:r>
              <w:rPr>
                <w:rFonts w:ascii="Arial" w:cs="Arial" w:eastAsia="Arial" w:hAnsi="Arial"/>
                <w:sz w:val="18"/>
                <w:szCs w:val="18"/>
                <w:color w:val="auto"/>
              </w:rPr>
              <w:t>Dated: May 2, 2023</w:t>
            </w:r>
          </w:p>
        </w:tc>
        <w:tc>
          <w:tcPr>
            <w:tcW w:w="7640" w:type="dxa"/>
            <w:vAlign w:val="bottom"/>
            <w:gridSpan w:val="2"/>
          </w:tcPr>
          <w:p>
            <w:pPr>
              <w:ind w:left="2060"/>
              <w:spacing w:after="0"/>
              <w:rPr>
                <w:sz w:val="20"/>
                <w:szCs w:val="20"/>
                <w:color w:val="auto"/>
              </w:rPr>
            </w:pPr>
            <w:r>
              <w:rPr>
                <w:rFonts w:ascii="Arial" w:cs="Arial" w:eastAsia="Arial" w:hAnsi="Arial"/>
                <w:sz w:val="18"/>
                <w:szCs w:val="18"/>
                <w:b w:val="1"/>
                <w:bCs w:val="1"/>
                <w:color w:val="auto"/>
              </w:rPr>
              <w:t>CCC INTELLIGENT SOLUTIONS HOLDINGS INC.</w:t>
            </w:r>
          </w:p>
        </w:tc>
        <w:tc>
          <w:tcPr>
            <w:tcW w:w="120" w:type="dxa"/>
            <w:vAlign w:val="bottom"/>
          </w:tcPr>
          <w:p>
            <w:pPr>
              <w:spacing w:after="0"/>
              <w:rPr>
                <w:sz w:val="20"/>
                <w:szCs w:val="20"/>
                <w:color w:val="auto"/>
              </w:rPr>
            </w:pPr>
          </w:p>
        </w:tc>
      </w:tr>
      <w:tr>
        <w:trPr>
          <w:trHeight w:val="436"/>
        </w:trPr>
        <w:tc>
          <w:tcPr>
            <w:tcW w:w="3480" w:type="dxa"/>
            <w:vAlign w:val="bottom"/>
          </w:tcPr>
          <w:p>
            <w:pPr>
              <w:spacing w:after="0"/>
              <w:rPr>
                <w:sz w:val="24"/>
                <w:szCs w:val="24"/>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Githesh Ramamurthy</w:t>
            </w:r>
          </w:p>
        </w:tc>
        <w:tc>
          <w:tcPr>
            <w:tcW w:w="120" w:type="dxa"/>
            <w:vAlign w:val="bottom"/>
          </w:tcPr>
          <w:p>
            <w:pPr>
              <w:spacing w:after="0"/>
              <w:rPr>
                <w:sz w:val="24"/>
                <w:szCs w:val="24"/>
                <w:color w:val="auto"/>
              </w:rPr>
            </w:pPr>
          </w:p>
        </w:tc>
      </w:tr>
      <w:tr>
        <w:trPr>
          <w:trHeight w:val="200"/>
        </w:trPr>
        <w:tc>
          <w:tcPr>
            <w:tcW w:w="3480" w:type="dxa"/>
            <w:vAlign w:val="bottom"/>
          </w:tcPr>
          <w:p>
            <w:pPr>
              <w:spacing w:after="0"/>
              <w:rPr>
                <w:sz w:val="17"/>
                <w:szCs w:val="17"/>
                <w:color w:val="auto"/>
              </w:rPr>
            </w:pPr>
          </w:p>
        </w:tc>
        <w:tc>
          <w:tcPr>
            <w:tcW w:w="268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ind w:left="20"/>
              <w:spacing w:after="0" w:line="201" w:lineRule="exact"/>
              <w:rPr>
                <w:sz w:val="20"/>
                <w:szCs w:val="20"/>
                <w:color w:val="auto"/>
              </w:rPr>
            </w:pPr>
            <w:r>
              <w:rPr>
                <w:rFonts w:ascii="Arial" w:cs="Arial" w:eastAsia="Arial" w:hAnsi="Arial"/>
                <w:sz w:val="18"/>
                <w:szCs w:val="18"/>
                <w:color w:val="auto"/>
              </w:rPr>
              <w:t>Githesh Ramamurthy</w:t>
            </w:r>
          </w:p>
        </w:tc>
        <w:tc>
          <w:tcPr>
            <w:tcW w:w="120" w:type="dxa"/>
            <w:vAlign w:val="bottom"/>
          </w:tcPr>
          <w:p>
            <w:pPr>
              <w:spacing w:after="0"/>
              <w:rPr>
                <w:sz w:val="17"/>
                <w:szCs w:val="17"/>
                <w:color w:val="auto"/>
              </w:rPr>
            </w:pPr>
          </w:p>
        </w:tc>
      </w:tr>
      <w:tr>
        <w:trPr>
          <w:trHeight w:val="215"/>
        </w:trPr>
        <w:tc>
          <w:tcPr>
            <w:tcW w:w="3480" w:type="dxa"/>
            <w:vAlign w:val="bottom"/>
          </w:tcPr>
          <w:p>
            <w:pPr>
              <w:spacing w:after="0"/>
              <w:rPr>
                <w:sz w:val="18"/>
                <w:szCs w:val="18"/>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w w:val="98"/>
              </w:rPr>
              <w:t>Chief Executive Officer and Chairman of the Board of Directors</w:t>
            </w:r>
          </w:p>
        </w:tc>
        <w:tc>
          <w:tcPr>
            <w:tcW w:w="120" w:type="dxa"/>
            <w:vAlign w:val="bottom"/>
          </w:tcPr>
          <w:p>
            <w:pPr>
              <w:spacing w:after="0"/>
              <w:rPr>
                <w:sz w:val="18"/>
                <w:szCs w:val="18"/>
                <w:color w:val="auto"/>
              </w:rPr>
            </w:pPr>
          </w:p>
        </w:tc>
      </w:tr>
      <w:tr>
        <w:trPr>
          <w:trHeight w:val="229"/>
        </w:trPr>
        <w:tc>
          <w:tcPr>
            <w:tcW w:w="3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r>
      <w:tr>
        <w:trPr>
          <w:trHeight w:val="429"/>
        </w:trPr>
        <w:tc>
          <w:tcPr>
            <w:tcW w:w="3480" w:type="dxa"/>
            <w:vAlign w:val="bottom"/>
          </w:tcPr>
          <w:p>
            <w:pPr>
              <w:ind w:left="20"/>
              <w:spacing w:after="0"/>
              <w:rPr>
                <w:sz w:val="20"/>
                <w:szCs w:val="20"/>
                <w:color w:val="auto"/>
              </w:rPr>
            </w:pPr>
            <w:r>
              <w:rPr>
                <w:rFonts w:ascii="Arial" w:cs="Arial" w:eastAsia="Arial" w:hAnsi="Arial"/>
                <w:sz w:val="18"/>
                <w:szCs w:val="18"/>
                <w:color w:val="auto"/>
              </w:rPr>
              <w:t>Dated: May 2, 2023</w:t>
            </w:r>
          </w:p>
        </w:tc>
        <w:tc>
          <w:tcPr>
            <w:tcW w:w="2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6"/>
        </w:trPr>
        <w:tc>
          <w:tcPr>
            <w:tcW w:w="3480" w:type="dxa"/>
            <w:vAlign w:val="bottom"/>
          </w:tcPr>
          <w:p>
            <w:pPr>
              <w:spacing w:after="0"/>
              <w:rPr>
                <w:sz w:val="24"/>
                <w:szCs w:val="24"/>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Herb</w:t>
            </w:r>
          </w:p>
        </w:tc>
        <w:tc>
          <w:tcPr>
            <w:tcW w:w="120" w:type="dxa"/>
            <w:vAlign w:val="bottom"/>
          </w:tcPr>
          <w:p>
            <w:pPr>
              <w:spacing w:after="0"/>
              <w:rPr>
                <w:sz w:val="24"/>
                <w:szCs w:val="24"/>
                <w:color w:val="auto"/>
              </w:rPr>
            </w:pPr>
          </w:p>
        </w:tc>
      </w:tr>
      <w:tr>
        <w:trPr>
          <w:trHeight w:val="200"/>
        </w:trPr>
        <w:tc>
          <w:tcPr>
            <w:tcW w:w="3480" w:type="dxa"/>
            <w:vAlign w:val="bottom"/>
          </w:tcPr>
          <w:p>
            <w:pPr>
              <w:spacing w:after="0"/>
              <w:rPr>
                <w:sz w:val="17"/>
                <w:szCs w:val="17"/>
                <w:color w:val="auto"/>
              </w:rPr>
            </w:pPr>
          </w:p>
        </w:tc>
        <w:tc>
          <w:tcPr>
            <w:tcW w:w="268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ind w:left="20"/>
              <w:spacing w:after="0" w:line="201" w:lineRule="exact"/>
              <w:rPr>
                <w:sz w:val="20"/>
                <w:szCs w:val="20"/>
                <w:color w:val="auto"/>
              </w:rPr>
            </w:pPr>
            <w:r>
              <w:rPr>
                <w:rFonts w:ascii="Arial" w:cs="Arial" w:eastAsia="Arial" w:hAnsi="Arial"/>
                <w:sz w:val="18"/>
                <w:szCs w:val="18"/>
                <w:color w:val="auto"/>
              </w:rPr>
              <w:t>Brian Herb</w:t>
            </w:r>
          </w:p>
        </w:tc>
        <w:tc>
          <w:tcPr>
            <w:tcW w:w="120" w:type="dxa"/>
            <w:vAlign w:val="bottom"/>
          </w:tcPr>
          <w:p>
            <w:pPr>
              <w:spacing w:after="0"/>
              <w:rPr>
                <w:sz w:val="17"/>
                <w:szCs w:val="17"/>
                <w:color w:val="auto"/>
              </w:rPr>
            </w:pPr>
          </w:p>
        </w:tc>
      </w:tr>
      <w:tr>
        <w:trPr>
          <w:trHeight w:val="215"/>
        </w:trPr>
        <w:tc>
          <w:tcPr>
            <w:tcW w:w="3480" w:type="dxa"/>
            <w:vAlign w:val="bottom"/>
          </w:tcPr>
          <w:p>
            <w:pPr>
              <w:spacing w:after="0"/>
              <w:rPr>
                <w:sz w:val="18"/>
                <w:szCs w:val="18"/>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and Administrative</w:t>
            </w:r>
          </w:p>
        </w:tc>
        <w:tc>
          <w:tcPr>
            <w:tcW w:w="120" w:type="dxa"/>
            <w:vAlign w:val="bottom"/>
          </w:tcPr>
          <w:p>
            <w:pPr>
              <w:spacing w:after="0"/>
              <w:rPr>
                <w:sz w:val="18"/>
                <w:szCs w:val="18"/>
                <w:color w:val="auto"/>
              </w:rPr>
            </w:pPr>
          </w:p>
        </w:tc>
      </w:tr>
      <w:tr>
        <w:trPr>
          <w:trHeight w:val="215"/>
        </w:trPr>
        <w:tc>
          <w:tcPr>
            <w:tcW w:w="3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8"/>
                <w:szCs w:val="18"/>
                <w:color w:val="auto"/>
              </w:rPr>
            </w:pPr>
          </w:p>
        </w:tc>
      </w:tr>
      <w:tr>
        <w:trPr>
          <w:trHeight w:val="229"/>
        </w:trPr>
        <w:tc>
          <w:tcPr>
            <w:tcW w:w="34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19"/>
                <w:szCs w:val="19"/>
                <w:color w:val="auto"/>
              </w:rPr>
            </w:pPr>
          </w:p>
        </w:tc>
      </w:tr>
      <w:tr>
        <w:trPr>
          <w:trHeight w:val="644"/>
        </w:trPr>
        <w:tc>
          <w:tcPr>
            <w:tcW w:w="3480" w:type="dxa"/>
            <w:vAlign w:val="bottom"/>
          </w:tcPr>
          <w:p>
            <w:pPr>
              <w:spacing w:after="0"/>
              <w:rPr>
                <w:sz w:val="24"/>
                <w:szCs w:val="24"/>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37</w:t>
            </w: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4"/>
        </w:trPr>
        <w:tc>
          <w:tcPr>
            <w:tcW w:w="348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Githesh Ramamurthy, certify that:</w:t>
      </w:r>
    </w:p>
    <w:p>
      <w:pPr>
        <w:spacing w:after="0" w:line="222" w:lineRule="exact"/>
        <w:rPr>
          <w:sz w:val="20"/>
          <w:szCs w:val="20"/>
          <w:color w:val="auto"/>
        </w:rPr>
      </w:pPr>
    </w:p>
    <w:p>
      <w:pPr>
        <w:ind w:left="380" w:hanging="373"/>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49" w:lineRule="exact"/>
        <w:rPr>
          <w:rFonts w:ascii="Arial" w:cs="Arial" w:eastAsia="Arial" w:hAnsi="Arial"/>
          <w:sz w:val="18"/>
          <w:szCs w:val="18"/>
          <w:color w:val="auto"/>
        </w:rPr>
      </w:pPr>
    </w:p>
    <w:p>
      <w:pPr>
        <w:jc w:val="both"/>
        <w:ind w:left="380" w:right="460" w:hanging="373"/>
        <w:spacing w:after="0" w:line="261"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80" w:right="420" w:hanging="373"/>
        <w:spacing w:after="0" w:line="305"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80" w:right="660" w:hanging="373"/>
        <w:spacing w:after="0" w:line="27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8" w:lineRule="exact"/>
        <w:rPr>
          <w:rFonts w:ascii="Arial" w:cs="Arial" w:eastAsia="Arial" w:hAnsi="Arial"/>
          <w:sz w:val="18"/>
          <w:szCs w:val="18"/>
          <w:color w:val="auto"/>
        </w:rPr>
      </w:pPr>
    </w:p>
    <w:p>
      <w:pPr>
        <w:ind w:left="760" w:right="160" w:hanging="4"/>
        <w:spacing w:after="0" w:line="261" w:lineRule="auto"/>
        <w:tabs>
          <w:tab w:leader="none" w:pos="11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20" w:hanging="364"/>
        <w:spacing w:after="0"/>
        <w:tabs>
          <w:tab w:leader="none" w:pos="1120" w:val="left"/>
        </w:tabs>
        <w:numPr>
          <w:ilvl w:val="1"/>
          <w:numId w:val="30"/>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45" w:lineRule="exact"/>
        <w:rPr>
          <w:rFonts w:ascii="Arial" w:cs="Arial" w:eastAsia="Arial" w:hAnsi="Arial"/>
          <w:sz w:val="16"/>
          <w:szCs w:val="16"/>
          <w:color w:val="auto"/>
        </w:rPr>
      </w:pPr>
    </w:p>
    <w:p>
      <w:pPr>
        <w:ind w:left="760" w:right="20"/>
        <w:spacing w:after="0" w:line="257"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6"/>
          <w:szCs w:val="16"/>
          <w:color w:val="auto"/>
        </w:rPr>
      </w:pPr>
    </w:p>
    <w:p>
      <w:pPr>
        <w:ind w:left="760" w:right="480" w:hanging="4"/>
        <w:spacing w:after="0" w:line="339" w:lineRule="auto"/>
        <w:tabs>
          <w:tab w:leader="none" w:pos="111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760" w:right="460" w:hanging="4"/>
        <w:spacing w:after="0" w:line="261" w:lineRule="auto"/>
        <w:tabs>
          <w:tab w:leader="none" w:pos="11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80" w:right="340" w:hanging="373"/>
        <w:spacing w:after="0" w:line="305"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760" w:right="700" w:hanging="4"/>
        <w:spacing w:after="0" w:line="339" w:lineRule="auto"/>
        <w:tabs>
          <w:tab w:leader="none" w:pos="111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760" w:right="400" w:hanging="4"/>
        <w:spacing w:after="0" w:line="274" w:lineRule="auto"/>
        <w:tabs>
          <w:tab w:leader="none" w:pos="11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tabs>
          <w:tab w:leader="none" w:pos="4740" w:val="left"/>
        </w:tabs>
        <w:rPr>
          <w:sz w:val="20"/>
          <w:szCs w:val="20"/>
          <w:color w:val="auto"/>
        </w:rPr>
      </w:pPr>
      <w:r>
        <w:rPr>
          <w:rFonts w:ascii="Arial" w:cs="Arial" w:eastAsia="Arial" w:hAnsi="Arial"/>
          <w:sz w:val="18"/>
          <w:szCs w:val="18"/>
          <w:color w:val="auto"/>
        </w:rPr>
        <w:t>Dated: May 2, 2023</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31115</wp:posOffset>
            </wp:positionV>
            <wp:extent cx="42697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69740" cy="8255"/>
                    </a:xfrm>
                    <a:prstGeom prst="rect">
                      <a:avLst/>
                    </a:prstGeom>
                    <a:noFill/>
                  </pic:spPr>
                </pic:pic>
              </a:graphicData>
            </a:graphic>
          </wp:anchor>
        </w:drawing>
      </w:r>
    </w:p>
    <w:p>
      <w:pPr>
        <w:spacing w:after="0" w:line="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3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100965</wp:posOffset>
            </wp:positionV>
            <wp:extent cx="7158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Brian Herb, certify that:</w:t>
      </w:r>
    </w:p>
    <w:p>
      <w:pPr>
        <w:spacing w:after="0" w:line="249" w:lineRule="exact"/>
        <w:rPr>
          <w:sz w:val="20"/>
          <w:szCs w:val="20"/>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49" w:lineRule="exact"/>
        <w:rPr>
          <w:rFonts w:ascii="Arial" w:cs="Arial" w:eastAsia="Arial" w:hAnsi="Arial"/>
          <w:sz w:val="18"/>
          <w:szCs w:val="18"/>
          <w:color w:val="auto"/>
        </w:rPr>
      </w:pPr>
    </w:p>
    <w:p>
      <w:pPr>
        <w:jc w:val="both"/>
        <w:ind w:left="380" w:right="460" w:hanging="373"/>
        <w:spacing w:after="0" w:line="261"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80" w:right="420" w:hanging="373"/>
        <w:spacing w:after="0" w:line="305"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80" w:right="660" w:hanging="373"/>
        <w:spacing w:after="0" w:line="27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8" w:lineRule="exact"/>
        <w:rPr>
          <w:rFonts w:ascii="Arial" w:cs="Arial" w:eastAsia="Arial" w:hAnsi="Arial"/>
          <w:sz w:val="18"/>
          <w:szCs w:val="18"/>
          <w:color w:val="auto"/>
        </w:rPr>
      </w:pPr>
    </w:p>
    <w:p>
      <w:pPr>
        <w:ind w:left="760" w:right="160" w:hanging="4"/>
        <w:spacing w:after="0" w:line="261" w:lineRule="auto"/>
        <w:tabs>
          <w:tab w:leader="none" w:pos="11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20" w:hanging="364"/>
        <w:spacing w:after="0"/>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45" w:lineRule="exact"/>
        <w:rPr>
          <w:rFonts w:ascii="Arial" w:cs="Arial" w:eastAsia="Arial" w:hAnsi="Arial"/>
          <w:sz w:val="16"/>
          <w:szCs w:val="16"/>
          <w:color w:val="auto"/>
        </w:rPr>
      </w:pPr>
    </w:p>
    <w:p>
      <w:pPr>
        <w:ind w:left="760" w:right="20"/>
        <w:spacing w:after="0" w:line="257"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6"/>
          <w:szCs w:val="16"/>
          <w:color w:val="auto"/>
        </w:rPr>
      </w:pPr>
    </w:p>
    <w:p>
      <w:pPr>
        <w:ind w:left="760" w:right="480" w:hanging="4"/>
        <w:spacing w:after="0" w:line="339" w:lineRule="auto"/>
        <w:tabs>
          <w:tab w:leader="none" w:pos="11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760" w:right="460" w:hanging="4"/>
        <w:spacing w:after="0" w:line="261" w:lineRule="auto"/>
        <w:tabs>
          <w:tab w:leader="none" w:pos="11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80" w:right="340" w:hanging="373"/>
        <w:spacing w:after="0" w:line="305"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760" w:right="700" w:hanging="4"/>
        <w:spacing w:after="0" w:line="339" w:lineRule="auto"/>
        <w:tabs>
          <w:tab w:leader="none" w:pos="11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760" w:right="400" w:hanging="4"/>
        <w:spacing w:after="0" w:line="274" w:lineRule="auto"/>
        <w:tabs>
          <w:tab w:leader="none" w:pos="11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380"/>
        <w:spacing w:after="0"/>
        <w:tabs>
          <w:tab w:leader="none" w:pos="4420" w:val="left"/>
        </w:tabs>
        <w:rPr>
          <w:sz w:val="20"/>
          <w:szCs w:val="20"/>
          <w:color w:val="auto"/>
        </w:rPr>
      </w:pPr>
      <w:r>
        <w:rPr>
          <w:rFonts w:ascii="Arial" w:cs="Arial" w:eastAsia="Arial" w:hAnsi="Arial"/>
          <w:sz w:val="18"/>
          <w:szCs w:val="18"/>
          <w:color w:val="auto"/>
        </w:rPr>
        <w:t>Dated: May 2, 2023</w:t>
      </w:r>
      <w:r>
        <w:rPr>
          <w:sz w:val="20"/>
          <w:szCs w:val="20"/>
          <w:color w:val="auto"/>
        </w:rPr>
        <w:tab/>
      </w:r>
      <w:r>
        <w:rPr>
          <w:rFonts w:ascii="Arial" w:cs="Arial" w:eastAsia="Arial" w:hAnsi="Arial"/>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31115</wp:posOffset>
            </wp:positionV>
            <wp:extent cx="42697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69740" cy="8255"/>
                    </a:xfrm>
                    <a:prstGeom prst="rect">
                      <a:avLst/>
                    </a:prstGeom>
                    <a:noFill/>
                  </pic:spPr>
                </pic:pic>
              </a:graphicData>
            </a:graphic>
          </wp:anchor>
        </w:drawing>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3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3320"/>
        <w:spacing w:after="0"/>
        <w:rPr>
          <w:sz w:val="20"/>
          <w:szCs w:val="20"/>
          <w:color w:val="auto"/>
        </w:rPr>
      </w:pPr>
      <w:r>
        <w:rPr>
          <w:rFonts w:ascii="Arial" w:cs="Arial" w:eastAsia="Arial" w:hAnsi="Arial"/>
          <w:sz w:val="16"/>
          <w:szCs w:val="16"/>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100965</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35"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March 31, 2023,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214" w:lineRule="exact"/>
        <w:rPr>
          <w:sz w:val="20"/>
          <w:szCs w:val="20"/>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380" w:hanging="373"/>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4740" w:val="left"/>
        </w:tabs>
        <w:rPr>
          <w:sz w:val="20"/>
          <w:szCs w:val="20"/>
          <w:color w:val="auto"/>
        </w:rPr>
      </w:pPr>
      <w:r>
        <w:rPr>
          <w:rFonts w:ascii="Arial" w:cs="Arial" w:eastAsia="Arial" w:hAnsi="Arial"/>
          <w:sz w:val="18"/>
          <w:szCs w:val="18"/>
          <w:color w:val="auto"/>
        </w:rPr>
        <w:t>Dated: May 2, 2023</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31115</wp:posOffset>
            </wp:positionV>
            <wp:extent cx="40652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65270" cy="8255"/>
                    </a:xfrm>
                    <a:prstGeom prst="rect">
                      <a:avLst/>
                    </a:prstGeom>
                    <a:noFill/>
                  </pic:spPr>
                </pic:pic>
              </a:graphicData>
            </a:graphic>
          </wp:anchor>
        </w:drawing>
      </w:r>
    </w:p>
    <w:p>
      <w:pPr>
        <w:spacing w:after="0" w:line="5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Githesh Ramamurthy</w:t>
      </w:r>
    </w:p>
    <w:p>
      <w:pPr>
        <w:spacing w:after="0" w:line="61"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March 31, 2023,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380" w:hanging="373"/>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380" w:hanging="373"/>
        <w:spacing w:after="0"/>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4420" w:val="left"/>
        </w:tabs>
        <w:rPr>
          <w:sz w:val="20"/>
          <w:szCs w:val="20"/>
          <w:color w:val="auto"/>
        </w:rPr>
      </w:pPr>
      <w:r>
        <w:rPr>
          <w:rFonts w:ascii="Arial" w:cs="Arial" w:eastAsia="Arial" w:hAnsi="Arial"/>
          <w:sz w:val="18"/>
          <w:szCs w:val="18"/>
          <w:color w:val="auto"/>
        </w:rPr>
        <w:t>Dated: May 2, 2023</w:t>
      </w:r>
      <w:r>
        <w:rPr>
          <w:sz w:val="20"/>
          <w:szCs w:val="20"/>
          <w:color w:val="auto"/>
        </w:rPr>
        <w:tab/>
      </w:r>
      <w:r>
        <w:rPr>
          <w:rFonts w:ascii="Arial" w:cs="Arial" w:eastAsia="Arial" w:hAnsi="Arial"/>
          <w:sz w:val="17"/>
          <w:szCs w:val="17"/>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31115</wp:posOffset>
            </wp:positionV>
            <wp:extent cx="42697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69740" cy="8255"/>
                    </a:xfrm>
                    <a:prstGeom prst="rect">
                      <a:avLst/>
                    </a:prstGeom>
                    <a:noFill/>
                  </pic:spPr>
                </pic:pic>
              </a:graphicData>
            </a:graphic>
          </wp:anchor>
        </w:drawing>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Brian Herb</w:t>
      </w:r>
    </w:p>
    <w:p>
      <w:pPr>
        <w:spacing w:after="0" w:line="61" w:lineRule="exact"/>
        <w:rPr>
          <w:sz w:val="20"/>
          <w:szCs w:val="20"/>
          <w:color w:val="auto"/>
        </w:rPr>
      </w:pPr>
    </w:p>
    <w:p>
      <w:pPr>
        <w:ind w:left="444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55"/>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upperLetter"/>
      <w:start w:val="55"/>
    </w:lvl>
  </w:abstractNum>
  <w:abstractNum w:abstractNumId="5">
    <w:nsid w:val="257130A3"/>
    <w:multiLevelType w:val="hybridMultilevel"/>
    <w:lvl w:ilvl="0">
      <w:lvlJc w:val="left"/>
      <w:lvlText w:val="%1"/>
      <w:numFmt w:val="upperLetter"/>
      <w:start w:val="55"/>
    </w:lvl>
  </w:abstractNum>
  <w:abstractNum w:abstractNumId="6">
    <w:nsid w:val="62BBD95A"/>
    <w:multiLevelType w:val="hybridMultilevel"/>
    <w:lvl w:ilvl="0">
      <w:lvlJc w:val="left"/>
      <w:lvlText w:val="%1"/>
      <w:numFmt w:val="upperLetter"/>
      <w:start w:val="55"/>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upperLetter"/>
      <w:start w:val="55"/>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4"/>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3"/>
    </w:lvl>
  </w:abstractNum>
  <w:abstractNum w:abstractNumId="21">
    <w:nsid w:val="71F32454"/>
    <w:multiLevelType w:val="hybridMultilevel"/>
    <w:lvl w:ilvl="0">
      <w:lvlJc w:val="left"/>
      <w:lvlText w:val="%1."/>
      <w:numFmt w:val="decimal"/>
      <w:start w:val="14"/>
    </w:lvl>
  </w:abstractNum>
  <w:abstractNum w:abstractNumId="22">
    <w:nsid w:val="2CA88611"/>
    <w:multiLevelType w:val="hybridMultilevel"/>
    <w:lvl w:ilvl="0">
      <w:lvlJc w:val="left"/>
      <w:lvlText w:val="%1."/>
      <w:numFmt w:val="decimal"/>
      <w:start w:val="15"/>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1."/>
      <w:numFmt w:val="decimal"/>
      <w:start w:val="19"/>
    </w:lvl>
  </w:abstractNum>
  <w:abstractNum w:abstractNumId="25">
    <w:nsid w:val="3A95F874"/>
    <w:multiLevelType w:val="hybridMultilevel"/>
    <w:lvl w:ilvl="0">
      <w:lvlJc w:val="left"/>
      <w:lvlText w:val="%1."/>
      <w:numFmt w:val="decimal"/>
      <w:start w:val="21"/>
    </w:lvl>
  </w:abstractNum>
  <w:abstractNum w:abstractNumId="26">
    <w:nsid w:val="8138641"/>
    <w:multiLevelType w:val="hybridMultilevel"/>
    <w:lvl w:ilvl="0">
      <w:lvlJc w:val="left"/>
      <w:lvlText w:val="%1."/>
      <w:numFmt w:val="decimal"/>
      <w:start w:val="22"/>
    </w:lvl>
  </w:abstractNum>
  <w:abstractNum w:abstractNumId="27">
    <w:nsid w:val="1E7FF521"/>
    <w:multiLevelType w:val="hybridMultilevel"/>
    <w:lvl w:ilvl="0">
      <w:lvlJc w:val="left"/>
      <w:lvlText w:val="%1."/>
      <w:numFmt w:val="decimal"/>
      <w:start w:val="23"/>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2023-05-02T16:21:05Z</dcterms:created>
  <dcterms:modified xsi:type="dcterms:W3CDTF">2023-05-02T16:21:05Z</dcterms:modified>
</cp:coreProperties>
</file>