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96" w:lineRule="exact"/>
        <w:rPr>
          <w:rFonts w:ascii="MS PGothic" w:cs="MS PGothic" w:eastAsia="MS PGothic" w:hAnsi="MS PGothic"/>
          <w:sz w:val="18"/>
          <w:szCs w:val="18"/>
          <w:color w:val="auto"/>
        </w:rPr>
      </w:pPr>
    </w:p>
    <w:p>
      <w:pPr>
        <w:ind w:left="2444" w:hanging="780"/>
        <w:spacing w:after="0"/>
        <w:tabs>
          <w:tab w:leader="none" w:pos="2444" w:val="left"/>
        </w:tabs>
        <w:numPr>
          <w:ilvl w:val="1"/>
          <w:numId w:val="2"/>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32"/>
          <w:szCs w:val="32"/>
          <w:b w:val="1"/>
          <w:bCs w:val="1"/>
          <w:color w:val="auto"/>
        </w:rPr>
        <w:t>INTELLIGENT SOLUTIONS HOLDINGS, INC.</w:t>
      </w:r>
    </w:p>
    <w:p>
      <w:pPr>
        <w:spacing w:after="0" w:line="45" w:lineRule="exact"/>
        <w:rPr>
          <w:sz w:val="24"/>
          <w:szCs w:val="24"/>
          <w:color w:val="auto"/>
        </w:rPr>
      </w:pPr>
    </w:p>
    <w:p>
      <w:pPr>
        <w:ind w:left="368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Schedule 14A relates solely to preliminary communications made prior to furnishing stockholders of CCC Intelligence Solutions Holdings, Inc., a Delaware corporation (the “Company”), with a definitive proxy statement related to a proposed transaction with Mozart Parent, LLC, a Delaware limited liability company (“Parent”), and Mozart Merger Sub (DE), Inc., a Delaware corporation and wholly owned subsidiary of Parent (“Merger Sub”), pursuant to which the Merger Sub will merge with and into the Company (the “Merger”), with the Company surviving the Merger as a wholly owned subsidiary of Parent (collectively, the “Transaction”), upon the terms and subject to the conditions set forth in the Agreement and Plan of Merger, dated as of October 14, 2026 (the “Merger Agreement”), by and among the Company, Parent and Merger Sub.</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Schedule 14A filing consists of (i) a quote given by the Company’s Chairman and CEO made available in Company’s earnings press release on October 29, 2026 and (ii) an excerpt from a social media post made available on the Company’s LinkedIn page on October 29,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Earnings Press Release</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pending transaction with GTCR and Elliott marks an exciting next chapter for CCC and our customers,” continued Ramamurthy. “Together, we expect to accelerate the AI and agentic capabilities our customers want from us, expand the network at the center of our platform, and make long-term investments in innovation that help customers navigate growing complexity across the claims lifecycle. We believe this positions CCC to deliver even greater value to the insurance economy in the years ahead.”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Social Media Post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Earlier this month, we announced a definitive agreement for CCC to be acquired by a consortium of private investment firms led by GTCR and including Elliott Investment Management L.P. They share our belief that sustained investment in technology and people is essential to delivering more value for customers. Together, we expect to accelerate the AI and agentic capabilities customers want, expand our network and keep investing in innovation across the claims and repair lifecycle.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w:t>
      </w:r>
    </w:p>
    <w:p>
      <w:pPr>
        <w:sectPr>
          <w:pgSz w:w="11900" w:h="16838" w:orient="portrait"/>
          <w:cols w:equalWidth="0" w:num="1">
            <w:col w:w="10980"/>
          </w:cols>
          <w:pgMar w:left="440" w:top="2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upperLetter"/>
      <w:start w:val="5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2026-10-29T16:59:27Z</dcterms:created>
  <dcterms:modified xsi:type="dcterms:W3CDTF">2026-10-29T16:59:27Z</dcterms:modified>
</cp:coreProperties>
</file>