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93" w:lineRule="exact"/>
        <w:rPr>
          <w:sz w:val="24"/>
          <w:szCs w:val="24"/>
          <w:color w:val="auto"/>
        </w:rPr>
      </w:pPr>
    </w:p>
    <w:p>
      <w:pPr>
        <w:ind w:left="3900" w:right="1680" w:hanging="3879"/>
        <w:spacing w:after="0" w:line="26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30" w:lineRule="exact"/>
        <w:rPr>
          <w:sz w:val="24"/>
          <w:szCs w:val="24"/>
          <w:color w:val="auto"/>
        </w:rPr>
      </w:pPr>
    </w:p>
    <w:p>
      <w:pPr>
        <w:ind w:left="2880" w:right="1660" w:hanging="2859"/>
        <w:spacing w:after="0" w:line="295"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CCC INTELLIGENT SOLUTIONS HOLDINGS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3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Delaware</w:t>
            </w:r>
          </w:p>
        </w:tc>
        <w:tc>
          <w:tcPr>
            <w:tcW w:w="1700" w:type="dxa"/>
            <w:vAlign w:val="bottom"/>
          </w:tcPr>
          <w:p>
            <w:pPr>
              <w:ind w:left="800"/>
              <w:spacing w:after="0"/>
              <w:rPr>
                <w:sz w:val="20"/>
                <w:szCs w:val="20"/>
                <w:color w:val="auto"/>
              </w:rPr>
            </w:pPr>
            <w:r>
              <w:rPr>
                <w:rFonts w:ascii="Arial" w:cs="Arial" w:eastAsia="Arial" w:hAnsi="Arial"/>
                <w:sz w:val="18"/>
                <w:szCs w:val="18"/>
                <w:b w:val="1"/>
                <w:bCs w:val="1"/>
                <w:color w:val="auto"/>
              </w:rPr>
              <w:t>001-39447</w:t>
            </w:r>
          </w:p>
        </w:tc>
        <w:tc>
          <w:tcPr>
            <w:tcW w:w="140" w:type="dxa"/>
            <w:vAlign w:val="bottom"/>
          </w:tcPr>
          <w:p>
            <w:pPr>
              <w:spacing w:after="0"/>
              <w:rPr>
                <w:sz w:val="19"/>
                <w:szCs w:val="19"/>
                <w:color w:val="auto"/>
              </w:rPr>
            </w:pPr>
          </w:p>
        </w:tc>
        <w:tc>
          <w:tcPr>
            <w:tcW w:w="4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98-1546280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0"/>
              </w:rPr>
              <w:t>(State or other jurisdiction</w:t>
            </w:r>
          </w:p>
        </w:tc>
        <w:tc>
          <w:tcPr>
            <w:tcW w:w="1840" w:type="dxa"/>
            <w:vAlign w:val="bottom"/>
            <w:gridSpan w:val="2"/>
          </w:tcPr>
          <w:p>
            <w:pPr>
              <w:ind w:left="660"/>
              <w:spacing w:after="0"/>
              <w:rPr>
                <w:sz w:val="20"/>
                <w:szCs w:val="20"/>
                <w:color w:val="auto"/>
              </w:rPr>
            </w:pPr>
            <w:r>
              <w:rPr>
                <w:rFonts w:ascii="Arial" w:cs="Arial" w:eastAsia="Arial" w:hAnsi="Arial"/>
                <w:sz w:val="18"/>
                <w:szCs w:val="18"/>
                <w:b w:val="1"/>
                <w:bCs w:val="1"/>
                <w:color w:val="auto"/>
              </w:rPr>
              <w:t>(Commission</w:t>
            </w:r>
          </w:p>
        </w:tc>
        <w:tc>
          <w:tcPr>
            <w:tcW w:w="4920" w:type="dxa"/>
            <w:vAlign w:val="bottom"/>
          </w:tcPr>
          <w:p>
            <w:pPr>
              <w:jc w:val="center"/>
              <w:ind w:left="1110"/>
              <w:spacing w:after="0"/>
              <w:rPr>
                <w:sz w:val="20"/>
                <w:szCs w:val="20"/>
                <w:color w:val="auto"/>
              </w:rPr>
            </w:pPr>
            <w:r>
              <w:rPr>
                <w:rFonts w:ascii="Arial" w:cs="Arial" w:eastAsia="Arial" w:hAnsi="Arial"/>
                <w:sz w:val="18"/>
                <w:szCs w:val="18"/>
                <w:b w:val="1"/>
                <w:bCs w:val="1"/>
                <w:color w:val="auto"/>
                <w:w w:val="94"/>
              </w:rPr>
              <w:t>(IRS Employer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of incorporation or organization)</w:t>
            </w:r>
          </w:p>
        </w:tc>
        <w:tc>
          <w:tcPr>
            <w:tcW w:w="1840" w:type="dxa"/>
            <w:vAlign w:val="bottom"/>
            <w:gridSpan w:val="2"/>
          </w:tcPr>
          <w:p>
            <w:pPr>
              <w:ind w:left="680"/>
              <w:spacing w:after="0"/>
              <w:rPr>
                <w:sz w:val="20"/>
                <w:szCs w:val="20"/>
                <w:color w:val="auto"/>
              </w:rPr>
            </w:pPr>
            <w:r>
              <w:rPr>
                <w:rFonts w:ascii="Arial" w:cs="Arial" w:eastAsia="Arial" w:hAnsi="Arial"/>
                <w:sz w:val="18"/>
                <w:szCs w:val="18"/>
                <w:b w:val="1"/>
                <w:bCs w:val="1"/>
                <w:color w:val="auto"/>
              </w:rPr>
              <w:t>File Number)</w:t>
            </w:r>
          </w:p>
        </w:tc>
        <w:tc>
          <w:tcPr>
            <w:tcW w:w="4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Identification No.)</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38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90"/>
              </w:rPr>
              <w:t>167 N. Green Street, 9th Floor</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vMerge w:val="restart"/>
          </w:tcPr>
          <w:p>
            <w:pPr>
              <w:jc w:val="right"/>
              <w:ind w:right="2430"/>
              <w:spacing w:after="0"/>
              <w:rPr>
                <w:sz w:val="20"/>
                <w:szCs w:val="20"/>
                <w:color w:val="auto"/>
              </w:rPr>
            </w:pPr>
            <w:r>
              <w:rPr>
                <w:rFonts w:ascii="Arial" w:cs="Arial" w:eastAsia="Arial" w:hAnsi="Arial"/>
                <w:sz w:val="18"/>
                <w:szCs w:val="18"/>
                <w:b w:val="1"/>
                <w:bCs w:val="1"/>
                <w:color w:val="auto"/>
              </w:rPr>
              <w:t>60607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380" w:type="dxa"/>
            <w:vAlign w:val="bottom"/>
            <w:gridSpan w:val="2"/>
            <w:vMerge w:val="restart"/>
          </w:tcPr>
          <w:p>
            <w:pPr>
              <w:jc w:val="center"/>
              <w:ind w:left="950"/>
              <w:spacing w:after="0"/>
              <w:rPr>
                <w:sz w:val="20"/>
                <w:szCs w:val="20"/>
                <w:color w:val="auto"/>
              </w:rPr>
            </w:pPr>
            <w:r>
              <w:rPr>
                <w:rFonts w:ascii="Arial" w:cs="Arial" w:eastAsia="Arial" w:hAnsi="Arial"/>
                <w:sz w:val="18"/>
                <w:szCs w:val="18"/>
                <w:b w:val="1"/>
                <w:bCs w:val="1"/>
                <w:color w:val="auto"/>
                <w:w w:val="91"/>
              </w:rPr>
              <w:t>Chicago, Illinois</w:t>
            </w: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3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920" w:type="dxa"/>
            <w:vAlign w:val="bottom"/>
            <w:vMerge w:val="restart"/>
          </w:tcPr>
          <w:p>
            <w:pPr>
              <w:jc w:val="center"/>
              <w:ind w:right="430"/>
              <w:spacing w:after="0"/>
              <w:rPr>
                <w:sz w:val="20"/>
                <w:szCs w:val="20"/>
                <w:color w:val="auto"/>
              </w:rPr>
            </w:pPr>
            <w:r>
              <w:rPr>
                <w:rFonts w:ascii="Arial" w:cs="Arial" w:eastAsia="Arial" w:hAnsi="Arial"/>
                <w:sz w:val="18"/>
                <w:szCs w:val="18"/>
                <w:b w:val="1"/>
                <w:bCs w:val="1"/>
                <w:color w:val="auto"/>
                <w:w w:val="94"/>
              </w:rPr>
              <w:t>(Zip Code)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80" w:type="dxa"/>
            <w:vAlign w:val="bottom"/>
            <w:gridSpan w:val="2"/>
            <w:vMerge w:val="restart"/>
          </w:tcPr>
          <w:p>
            <w:pPr>
              <w:jc w:val="center"/>
              <w:ind w:left="99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380" w:type="dxa"/>
            <w:vAlign w:val="bottom"/>
            <w:tcBorders>
              <w:bottom w:val="single" w:sz="8" w:color="auto"/>
            </w:tcBorders>
            <w:gridSpan w:val="2"/>
            <w:vMerge w:val="continue"/>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ind w:left="680"/>
              <w:spacing w:after="0" w:line="197" w:lineRule="exact"/>
              <w:rPr>
                <w:sz w:val="20"/>
                <w:szCs w:val="20"/>
                <w:color w:val="auto"/>
              </w:rPr>
            </w:pPr>
            <w:r>
              <w:rPr>
                <w:rFonts w:ascii="Arial" w:cs="Arial" w:eastAsia="Arial" w:hAnsi="Arial"/>
                <w:sz w:val="18"/>
                <w:szCs w:val="18"/>
                <w:b w:val="1"/>
                <w:bCs w:val="1"/>
                <w:color w:val="auto"/>
                <w:w w:val="92"/>
              </w:rPr>
              <w:t>(800) 621-8070</w:t>
            </w: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1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680"/>
              <w:spacing w:after="0"/>
              <w:rPr>
                <w:sz w:val="20"/>
                <w:szCs w:val="20"/>
                <w:color w:val="auto"/>
              </w:rPr>
            </w:pPr>
            <w:r>
              <w:rPr>
                <w:rFonts w:ascii="Arial" w:cs="Arial" w:eastAsia="Arial" w:hAnsi="Arial"/>
                <w:sz w:val="18"/>
                <w:szCs w:val="18"/>
                <w:b w:val="1"/>
                <w:bCs w:val="1"/>
                <w:color w:val="auto"/>
                <w:w w:val="90"/>
              </w:rPr>
              <w:t>Not Applicable</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1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Trading</w:t>
            </w: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49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CCCS</w:t>
            </w:r>
          </w:p>
        </w:tc>
        <w:tc>
          <w:tcPr>
            <w:tcW w:w="140" w:type="dxa"/>
            <w:vAlign w:val="bottom"/>
          </w:tcPr>
          <w:p>
            <w:pPr>
              <w:spacing w:after="0"/>
              <w:rPr>
                <w:sz w:val="19"/>
                <w:szCs w:val="19"/>
                <w:color w:val="auto"/>
              </w:rPr>
            </w:pPr>
          </w:p>
        </w:tc>
        <w:tc>
          <w:tcPr>
            <w:tcW w:w="49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1"/>
              </w:rPr>
              <w:t>The Nasdaq Stock Market LLC</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302"/>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3"/>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3"/>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8"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14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28, 2023, 632,128,260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191770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1" w:name="page2"/>
    <w:bookmarkEnd w:id="1"/>
    <w:p>
      <w:pPr>
        <w:ind w:left="5200" w:right="3520" w:hanging="1677"/>
        <w:spacing w:after="0" w:line="260" w:lineRule="auto"/>
        <w:tabs>
          <w:tab w:leader="none" w:pos="395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Form 10-Q</w:t>
      </w: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01"/>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gridSpan w:val="21"/>
          </w:tcPr>
          <w:p>
            <w:pPr>
              <w:spacing w:after="0" w:line="201" w:lineRule="exact"/>
              <w:rPr>
                <w:sz w:val="20"/>
                <w:szCs w:val="20"/>
                <w:color w:val="auto"/>
              </w:rPr>
            </w:pPr>
            <w:r>
              <w:rPr>
                <w:rFonts w:ascii="Arial" w:cs="Arial" w:eastAsia="Arial" w:hAnsi="Arial"/>
                <w:sz w:val="18"/>
                <w:szCs w:val="18"/>
                <w:b w:val="1"/>
                <w:bCs w:val="1"/>
                <w:color w:val="0000FF"/>
              </w:rPr>
              <w:t>PART I. FINANCIAL INFORMATION</w:t>
            </w:r>
            <w:r>
              <w:rPr>
                <w:rFonts w:ascii="Arial" w:cs="Arial" w:eastAsia="Arial" w:hAnsi="Arial"/>
                <w:sz w:val="18"/>
                <w:szCs w:val="18"/>
                <w:b w:val="1"/>
                <w:bCs w:val="1"/>
                <w:color w:val="000000"/>
              </w:rPr>
              <w:t>`</w:t>
            </w:r>
          </w:p>
        </w:tc>
        <w:tc>
          <w:tcPr>
            <w:tcW w:w="6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6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Arial" w:cs="Arial" w:eastAsia="Arial" w:hAnsi="Arial"/>
                <w:sz w:val="18"/>
                <w:szCs w:val="18"/>
                <w:color w:val="0000FF"/>
              </w:rPr>
              <w:t>Cautionary Statement Regarding Forward-Looking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7"/>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June 30, 2023 (unaudited) and December 31, 2022</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Arial" w:cs="Arial" w:eastAsia="Arial" w:hAnsi="Arial"/>
                <w:sz w:val="18"/>
                <w:szCs w:val="18"/>
                <w:color w:val="0000FF"/>
                <w:w w:val="90"/>
              </w:rPr>
              <w:t>Unaudited Condensed Consolidated Statements of Operations and Comprehensive (Loss) Income for the three and six months ended</w:t>
            </w:r>
          </w:p>
        </w:tc>
        <w:tc>
          <w:tcPr>
            <w:tcW w:w="620" w:type="dxa"/>
            <w:vAlign w:val="bottom"/>
          </w:tcPr>
          <w:p>
            <w:pPr>
              <w:spacing w:after="0"/>
              <w:rPr>
                <w:sz w:val="19"/>
                <w:szCs w:val="19"/>
                <w:color w:val="auto"/>
              </w:rPr>
            </w:pPr>
          </w:p>
        </w:tc>
      </w:tr>
      <w:tr>
        <w:trPr>
          <w:trHeight w:val="195"/>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Borders>
              <w:top w:val="single" w:sz="8" w:color="0000FF"/>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86"/>
              </w:rPr>
              <w:t>June 30, 2023 and 2022</w:t>
            </w:r>
          </w:p>
        </w:tc>
        <w:tc>
          <w:tcPr>
            <w:tcW w:w="7840" w:type="dxa"/>
            <w:vAlign w:val="bottom"/>
            <w:tcBorders>
              <w:top w:val="single" w:sz="8" w:color="0000FF"/>
            </w:tcBorders>
            <w:gridSpan w:val="13"/>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Arial" w:cs="Arial" w:eastAsia="Arial" w:hAnsi="Arial"/>
                <w:sz w:val="18"/>
                <w:szCs w:val="18"/>
                <w:color w:val="0000FF"/>
                <w:w w:val="89"/>
              </w:rPr>
              <w:t>Unaudited Condensed Consolidated Statements of Mezzanine Equity and Stockholders’ Equity for the three and six months ended June</w:t>
            </w:r>
          </w:p>
        </w:tc>
        <w:tc>
          <w:tcPr>
            <w:tcW w:w="620" w:type="dxa"/>
            <w:vAlign w:val="bottom"/>
          </w:tcPr>
          <w:p>
            <w:pPr>
              <w:spacing w:after="0"/>
              <w:rPr>
                <w:sz w:val="19"/>
                <w:szCs w:val="19"/>
                <w:color w:val="auto"/>
              </w:rPr>
            </w:pPr>
          </w:p>
        </w:tc>
      </w:tr>
      <w:tr>
        <w:trPr>
          <w:trHeight w:val="195"/>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Borders>
              <w:top w:val="single" w:sz="8" w:color="0000FF"/>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87"/>
              </w:rPr>
              <w:t>30, 2023 and 2022</w:t>
            </w:r>
          </w:p>
        </w:tc>
        <w:tc>
          <w:tcPr>
            <w:tcW w:w="8380" w:type="dxa"/>
            <w:vAlign w:val="bottom"/>
            <w:tcBorders>
              <w:top w:val="single" w:sz="8" w:color="0000FF"/>
            </w:tcBorders>
            <w:gridSpan w:val="15"/>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Arial" w:cs="Arial" w:eastAsia="Arial" w:hAnsi="Arial"/>
                <w:sz w:val="18"/>
                <w:szCs w:val="18"/>
                <w:color w:val="0000FF"/>
              </w:rPr>
              <w:t>Unaudited Condensed Consolidated Statements of Cash Flows for the six months ended June 30, 2023 and 2022</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0" w:type="dxa"/>
            <w:vAlign w:val="bottom"/>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0"/>
        </w:trPr>
        <w:tc>
          <w:tcPr>
            <w:tcW w:w="10620" w:type="dxa"/>
            <w:vAlign w:val="bottom"/>
            <w:gridSpan w:val="23"/>
          </w:tcPr>
          <w:p>
            <w:pPr>
              <w:ind w:left="60"/>
              <w:spacing w:after="0"/>
              <w:rPr>
                <w:sz w:val="20"/>
                <w:szCs w:val="20"/>
                <w:color w:val="auto"/>
              </w:rPr>
            </w:pPr>
            <w:r>
              <w:rPr>
                <w:rFonts w:ascii="Arial" w:cs="Arial" w:eastAsia="Arial" w:hAnsi="Arial"/>
                <w:sz w:val="18"/>
                <w:szCs w:val="18"/>
                <w:b w:val="1"/>
                <w:bCs w:val="1"/>
                <w:color w:val="0000FF"/>
              </w:rPr>
              <w:t>PART II. OTHER INFORMATION</w:t>
            </w:r>
          </w:p>
        </w:tc>
        <w:tc>
          <w:tcPr>
            <w:tcW w:w="620" w:type="dxa"/>
            <w:vAlign w:val="bottom"/>
          </w:tcPr>
          <w:p>
            <w:pPr>
              <w:spacing w:after="0"/>
              <w:rPr>
                <w:sz w:val="24"/>
                <w:szCs w:val="24"/>
                <w:color w:val="auto"/>
              </w:rPr>
            </w:pPr>
          </w:p>
        </w:tc>
      </w:tr>
      <w:tr>
        <w:trPr>
          <w:trHeight w:val="477"/>
        </w:trPr>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Legal Proceedings</w:t>
            </w:r>
          </w:p>
        </w:tc>
        <w:tc>
          <w:tcPr>
            <w:tcW w:w="782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 from Registered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921"/>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40" w:type="dxa"/>
            <w:vAlign w:val="bottom"/>
            <w:gridSpan w:val="13"/>
          </w:tcPr>
          <w:p>
            <w:pPr>
              <w:jc w:val="right"/>
              <w:ind w:right="15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4"/>
        </w:trPr>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section titled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Important factors that could cause actual results to differ materially from our expectations include:</w:t>
      </w:r>
    </w:p>
    <w:p>
      <w:pPr>
        <w:spacing w:after="0" w:line="115"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revenues, the concentration of our customers and the ability to retain our current customers;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with our customers on favorable terms;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brand and reputation cost-effectively;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of our growth strategy;</w:t>
      </w:r>
    </w:p>
    <w:p>
      <w:pPr>
        <w:spacing w:after="0" w:line="115" w:lineRule="exact"/>
        <w:rPr>
          <w:rFonts w:ascii="Arial" w:cs="Arial" w:eastAsia="Arial" w:hAnsi="Arial"/>
          <w:sz w:val="18"/>
          <w:szCs w:val="18"/>
          <w:color w:val="auto"/>
        </w:rPr>
      </w:pPr>
    </w:p>
    <w:p>
      <w:pPr>
        <w:ind w:left="1020" w:right="400" w:hanging="504"/>
        <w:spacing w:after="0" w:line="27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public health outbreaks, epidemics or pandemics, including the global COVID-19 pandemic, on our business and results of operations;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projected financial information, growth rate and market opportunity;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 of our industry, claim volumes, and market conditions;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insurance and automotive collision industries, including the adoption of new technologies;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 and geopolitical events;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our market and our ability to retain and grow market share;</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introduce and market new enhanced versions of our solutions;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and implementation cycles;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research and development efforts to create significant new revenue streams;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5" w:lineRule="exact"/>
        <w:rPr>
          <w:rFonts w:ascii="Arial" w:cs="Arial" w:eastAsia="Arial" w:hAnsi="Arial"/>
          <w:sz w:val="18"/>
          <w:szCs w:val="18"/>
          <w:color w:val="auto"/>
        </w:rPr>
      </w:pPr>
    </w:p>
    <w:p>
      <w:pPr>
        <w:ind w:left="1020" w:right="240" w:hanging="504"/>
        <w:spacing w:after="0" w:line="27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international economic, political, social and governmental conditions and policies, including corruption risks in China and other countries;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data, technology and intellectual property;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our data and information systems secure from data security breaches;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or invest in companies or pursue business partnerships;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 and improve our capital structure;</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or maintain our existing customer base; and</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115"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spacing w:after="0" w:line="255" w:lineRule="auto"/>
        <w:rPr>
          <w:sz w:val="20"/>
          <w:szCs w:val="20"/>
          <w:color w:val="auto"/>
        </w:rPr>
      </w:pPr>
      <w:r>
        <w:rPr>
          <w:rFonts w:ascii="Arial" w:cs="Arial" w:eastAsia="Arial" w:hAnsi="Arial"/>
          <w:sz w:val="18"/>
          <w:szCs w:val="18"/>
          <w:color w:val="auto"/>
        </w:rPr>
        <w:t>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4" w:lineRule="exact"/>
        <w:rPr>
          <w:sz w:val="20"/>
          <w:szCs w:val="20"/>
          <w:color w:val="auto"/>
        </w:rPr>
      </w:pPr>
    </w:p>
    <w:p>
      <w:pPr>
        <w:ind w:left="3480" w:right="2640" w:hanging="823"/>
        <w:spacing w:after="0" w:line="260" w:lineRule="auto"/>
        <w:tabs>
          <w:tab w:leader="none" w:pos="308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BALANCE SHEETS</w:t>
      </w: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7"/>
              </w:rPr>
              <w:t>June 30,</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December 31,</w:t>
            </w:r>
          </w:p>
        </w:tc>
      </w:tr>
      <w:tr>
        <w:trPr>
          <w:trHeight w:val="241"/>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r>
      <w:tr>
        <w:trPr>
          <w:trHeight w:val="219"/>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(Unaudited)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403,577</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323,788</w:t>
            </w:r>
          </w:p>
        </w:tc>
        <w:tc>
          <w:tcPr>
            <w:tcW w:w="140" w:type="dxa"/>
            <w:vAlign w:val="bottom"/>
            <w:shd w:val="clear" w:color="auto" w:fill="CFF0FC"/>
          </w:tcPr>
          <w:p>
            <w:pPr>
              <w:spacing w:after="0"/>
              <w:rPr>
                <w:sz w:val="20"/>
                <w:szCs w:val="20"/>
                <w:color w:val="auto"/>
              </w:rPr>
            </w:pPr>
          </w:p>
        </w:tc>
      </w:tr>
      <w:tr>
        <w:trPr>
          <w:trHeight w:val="205"/>
        </w:trPr>
        <w:tc>
          <w:tcPr>
            <w:tcW w:w="7960" w:type="dxa"/>
            <w:vAlign w:val="bottom"/>
          </w:tcPr>
          <w:p>
            <w:pPr>
              <w:ind w:left="200"/>
              <w:spacing w:after="0"/>
              <w:rPr>
                <w:sz w:val="20"/>
                <w:szCs w:val="20"/>
                <w:color w:val="auto"/>
              </w:rPr>
            </w:pPr>
            <w:r>
              <w:rPr>
                <w:rFonts w:ascii="Arial" w:cs="Arial" w:eastAsia="Arial" w:hAnsi="Arial"/>
                <w:sz w:val="16"/>
                <w:szCs w:val="16"/>
                <w:color w:val="auto"/>
              </w:rPr>
              <w:t>Accounts receivable—Net of allowances of $5,874 and $5,339 as of June 30, 2023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7960" w:type="dxa"/>
            <w:vAlign w:val="bottom"/>
          </w:tcPr>
          <w:p>
            <w:pPr>
              <w:ind w:left="320"/>
              <w:spacing w:after="0"/>
              <w:rPr>
                <w:sz w:val="20"/>
                <w:szCs w:val="20"/>
                <w:color w:val="auto"/>
              </w:rPr>
            </w:pPr>
            <w:r>
              <w:rPr>
                <w:rFonts w:ascii="Arial" w:cs="Arial" w:eastAsia="Arial" w:hAnsi="Arial"/>
                <w:sz w:val="16"/>
                <w:szCs w:val="16"/>
                <w:color w:val="auto"/>
              </w:rPr>
              <w:t>December 31, 2022, respectively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96,139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98,353</w:t>
            </w:r>
          </w:p>
        </w:tc>
        <w:tc>
          <w:tcPr>
            <w:tcW w:w="140" w:type="dxa"/>
            <w:vAlign w:val="bottom"/>
          </w:tcPr>
          <w:p>
            <w:pPr>
              <w:spacing w:after="0"/>
              <w:rPr>
                <w:sz w:val="18"/>
                <w:szCs w:val="18"/>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16,556</w:t>
            </w:r>
          </w:p>
        </w:tc>
        <w:tc>
          <w:tcPr>
            <w:tcW w:w="140" w:type="dxa"/>
            <w:vAlign w:val="bottom"/>
          </w:tcPr>
          <w:p>
            <w:pPr>
              <w:spacing w:after="0"/>
              <w:rPr>
                <w:sz w:val="19"/>
                <w:szCs w:val="19"/>
                <w:color w:val="auto"/>
              </w:rPr>
            </w:pPr>
          </w:p>
        </w:tc>
      </w:tr>
      <w:tr>
        <w:trPr>
          <w:trHeight w:val="231"/>
        </w:trPr>
        <w:tc>
          <w:tcPr>
            <w:tcW w:w="7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29,240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36,358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551,657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479,070</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SOFTWARE, EQUIPMENT, AND PROPERTY—Net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153,539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146,443</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32,874</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ASSETS—Net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1,064,064</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1,118,819</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1,417,724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1,495,129</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FINANCING FEES, REVOLVER—Net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DEFERRED CONTRACT COSTS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19,480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20,161</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METHOD INVESTMENT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40" w:type="dxa"/>
            <w:vAlign w:val="bottom"/>
            <w:shd w:val="clear" w:color="auto" w:fill="CFF0FC"/>
          </w:tcPr>
          <w:p>
            <w:pPr>
              <w:spacing w:after="0"/>
              <w:rPr>
                <w:sz w:val="20"/>
                <w:szCs w:val="20"/>
                <w:color w:val="auto"/>
              </w:rPr>
            </w:pPr>
          </w:p>
        </w:tc>
      </w:tr>
      <w:tr>
        <w:trPr>
          <w:trHeight w:val="222"/>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45,911</w:t>
            </w:r>
          </w:p>
        </w:tc>
        <w:tc>
          <w:tcPr>
            <w:tcW w:w="140" w:type="dxa"/>
            <w:vAlign w:val="bottom"/>
            <w:tcBorders>
              <w:bottom w:val="single" w:sz="8" w:color="CFF0FC"/>
            </w:tcBorders>
          </w:tcPr>
          <w:p>
            <w:pPr>
              <w:spacing w:after="0"/>
              <w:rPr>
                <w:sz w:val="19"/>
                <w:szCs w:val="19"/>
                <w:color w:val="auto"/>
              </w:rPr>
            </w:pPr>
          </w:p>
        </w:tc>
      </w:tr>
      <w:tr>
        <w:trPr>
          <w:trHeight w:val="262"/>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3,302,390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3,350,921</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0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LIABILITIES, MEZZANINE EQUITY AND STOCKHOLDERS’ EQUITY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19,084</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27,599</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54,711</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71,445</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3,509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922</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0"/>
              <w:spacing w:after="0"/>
              <w:rPr>
                <w:sz w:val="20"/>
                <w:szCs w:val="20"/>
                <w:color w:val="auto"/>
              </w:rPr>
            </w:pPr>
            <w:r>
              <w:rPr>
                <w:rFonts w:ascii="Arial" w:cs="Arial" w:eastAsia="Arial" w:hAnsi="Arial"/>
                <w:sz w:val="16"/>
                <w:szCs w:val="16"/>
                <w:color w:val="auto"/>
              </w:rPr>
              <w:t>Current portion of long-term licensing agreement—Net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2,876</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w:t>
            </w:r>
          </w:p>
        </w:tc>
        <w:tc>
          <w:tcPr>
            <w:tcW w:w="140" w:type="dxa"/>
            <w:vAlign w:val="bottom"/>
            <w:shd w:val="clear" w:color="auto" w:fill="CFF0FC"/>
          </w:tcPr>
          <w:p>
            <w:pPr>
              <w:spacing w:after="0"/>
              <w:rPr>
                <w:sz w:val="20"/>
                <w:szCs w:val="20"/>
                <w:color w:val="auto"/>
              </w:rPr>
            </w:pPr>
          </w:p>
        </w:tc>
      </w:tr>
      <w:tr>
        <w:trPr>
          <w:trHeight w:val="222"/>
        </w:trPr>
        <w:tc>
          <w:tcPr>
            <w:tcW w:w="796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35,239</w:t>
            </w:r>
          </w:p>
        </w:tc>
        <w:tc>
          <w:tcPr>
            <w:tcW w:w="140" w:type="dxa"/>
            <w:vAlign w:val="bottom"/>
          </w:tcPr>
          <w:p>
            <w:pPr>
              <w:spacing w:after="0"/>
              <w:rPr>
                <w:sz w:val="19"/>
                <w:szCs w:val="19"/>
                <w:color w:val="auto"/>
              </w:rPr>
            </w:pPr>
          </w:p>
        </w:tc>
      </w:tr>
      <w:tr>
        <w:trPr>
          <w:trHeight w:val="228"/>
        </w:trPr>
        <w:tc>
          <w:tcPr>
            <w:tcW w:w="79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135,384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151,565</w:t>
            </w:r>
          </w:p>
        </w:tc>
        <w:tc>
          <w:tcPr>
            <w:tcW w:w="140" w:type="dxa"/>
            <w:vAlign w:val="bottom"/>
            <w:shd w:val="clear" w:color="auto" w:fill="CFF0FC"/>
          </w:tcPr>
          <w:p>
            <w:pPr>
              <w:spacing w:after="0"/>
              <w:rPr>
                <w:sz w:val="19"/>
                <w:szCs w:val="19"/>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LONG-TERM DEBT—Net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770,787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774,132</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TAXES—Net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217,907</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241,698</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LONG-TERM LICENSING AGREEMENT—Net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29,246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30,752</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52,431</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54,245</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55,585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36,405</w:t>
            </w: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1,550</w:t>
            </w:r>
          </w:p>
        </w:tc>
        <w:tc>
          <w:tcPr>
            <w:tcW w:w="3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2,658</w:t>
            </w:r>
          </w:p>
        </w:tc>
        <w:tc>
          <w:tcPr>
            <w:tcW w:w="140" w:type="dxa"/>
            <w:vAlign w:val="bottom"/>
            <w:shd w:val="clear" w:color="auto" w:fill="CFF0FC"/>
          </w:tcPr>
          <w:p>
            <w:pPr>
              <w:spacing w:after="0"/>
              <w:rPr>
                <w:sz w:val="20"/>
                <w:szCs w:val="20"/>
                <w:color w:val="auto"/>
              </w:rPr>
            </w:pPr>
          </w:p>
        </w:tc>
      </w:tr>
      <w:tr>
        <w:trPr>
          <w:trHeight w:val="215"/>
        </w:trPr>
        <w:tc>
          <w:tcPr>
            <w:tcW w:w="79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1,291,455</w:t>
            </w:r>
          </w:p>
        </w:tc>
        <w:tc>
          <w:tcPr>
            <w:tcW w:w="140" w:type="dxa"/>
            <w:vAlign w:val="bottom"/>
          </w:tcPr>
          <w:p>
            <w:pPr>
              <w:spacing w:after="0"/>
              <w:rPr>
                <w:sz w:val="18"/>
                <w:szCs w:val="18"/>
                <w:color w:val="auto"/>
              </w:rPr>
            </w:pPr>
          </w:p>
        </w:tc>
      </w:tr>
      <w:tr>
        <w:trPr>
          <w:trHeight w:val="228"/>
        </w:trPr>
        <w:tc>
          <w:tcPr>
            <w:tcW w:w="7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(Notes 19 and 20)</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14,494</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stock—$0.0001 par; 100,000,000 shares authorized; no shares issued or outstanding</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5"/>
        </w:trPr>
        <w:tc>
          <w:tcPr>
            <w:tcW w:w="7960" w:type="dxa"/>
            <w:vAlign w:val="bottom"/>
          </w:tcPr>
          <w:p>
            <w:pPr>
              <w:ind w:left="200"/>
              <w:spacing w:after="0"/>
              <w:rPr>
                <w:sz w:val="20"/>
                <w:szCs w:val="20"/>
                <w:color w:val="auto"/>
              </w:rPr>
            </w:pPr>
            <w:r>
              <w:rPr>
                <w:rFonts w:ascii="Arial" w:cs="Arial" w:eastAsia="Arial" w:hAnsi="Arial"/>
                <w:sz w:val="16"/>
                <w:szCs w:val="16"/>
                <w:color w:val="auto"/>
              </w:rPr>
              <w:t>Common stock—$0.0001 par; 5,000,000,000 shares authorized; 631,982,491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960" w:type="dxa"/>
            <w:vAlign w:val="bottom"/>
          </w:tcPr>
          <w:p>
            <w:pPr>
              <w:ind w:left="320"/>
              <w:spacing w:after="0"/>
              <w:rPr>
                <w:sz w:val="20"/>
                <w:szCs w:val="20"/>
                <w:color w:val="auto"/>
              </w:rPr>
            </w:pPr>
            <w:r>
              <w:rPr>
                <w:rFonts w:ascii="Arial" w:cs="Arial" w:eastAsia="Arial" w:hAnsi="Arial"/>
                <w:sz w:val="16"/>
                <w:szCs w:val="16"/>
                <w:color w:val="auto"/>
              </w:rPr>
              <w:t>622,072,905 shares issued and outstanding at June 30, 2023 and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7960" w:type="dxa"/>
            <w:vAlign w:val="bottom"/>
          </w:tcPr>
          <w:p>
            <w:pPr>
              <w:ind w:left="320"/>
              <w:spacing w:after="0"/>
              <w:rPr>
                <w:sz w:val="20"/>
                <w:szCs w:val="20"/>
                <w:color w:val="auto"/>
              </w:rPr>
            </w:pPr>
            <w:r>
              <w:rPr>
                <w:rFonts w:ascii="Arial" w:cs="Arial" w:eastAsia="Arial" w:hAnsi="Arial"/>
                <w:sz w:val="16"/>
                <w:szCs w:val="16"/>
                <w:color w:val="auto"/>
              </w:rPr>
              <w:t>2022, respectively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8"/>
                <w:szCs w:val="18"/>
                <w:color w:val="auto"/>
              </w:rPr>
            </w:pP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2,829,184</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2,754,055</w:t>
            </w:r>
          </w:p>
        </w:tc>
        <w:tc>
          <w:tcPr>
            <w:tcW w:w="140" w:type="dxa"/>
            <w:vAlign w:val="bottom"/>
            <w:shd w:val="clear" w:color="auto" w:fill="CFF0FC"/>
          </w:tcPr>
          <w:p>
            <w:pPr>
              <w:spacing w:after="0"/>
              <w:rPr>
                <w:sz w:val="20"/>
                <w:szCs w:val="20"/>
                <w:color w:val="auto"/>
              </w:rPr>
            </w:pPr>
          </w:p>
        </w:tc>
      </w:tr>
      <w:tr>
        <w:trPr>
          <w:trHeight w:val="219"/>
        </w:trPr>
        <w:tc>
          <w:tcPr>
            <w:tcW w:w="796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(803,106 )</w:t>
            </w: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(707,946 )</w:t>
            </w:r>
          </w:p>
        </w:tc>
      </w:tr>
      <w:tr>
        <w:trPr>
          <w:trHeight w:val="238"/>
        </w:trPr>
        <w:tc>
          <w:tcPr>
            <w:tcW w:w="7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(1,135 )</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(884 )</w:t>
            </w:r>
          </w:p>
        </w:tc>
      </w:tr>
      <w:tr>
        <w:trPr>
          <w:trHeight w:val="215"/>
        </w:trPr>
        <w:tc>
          <w:tcPr>
            <w:tcW w:w="796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2,025,006</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2,045,287</w:t>
            </w:r>
          </w:p>
        </w:tc>
        <w:tc>
          <w:tcPr>
            <w:tcW w:w="140" w:type="dxa"/>
            <w:vAlign w:val="bottom"/>
          </w:tcPr>
          <w:p>
            <w:pPr>
              <w:spacing w:after="0"/>
              <w:rPr>
                <w:sz w:val="18"/>
                <w:szCs w:val="18"/>
                <w:color w:val="auto"/>
              </w:rPr>
            </w:pPr>
          </w:p>
        </w:tc>
      </w:tr>
      <w:tr>
        <w:trPr>
          <w:trHeight w:val="262"/>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3,302,390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3,350,921</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5994400</wp:posOffset>
            </wp:positionH>
            <wp:positionV relativeFrom="paragraph">
              <wp:posOffset>-5878195</wp:posOffset>
            </wp:positionV>
            <wp:extent cx="85090" cy="153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-5878195</wp:posOffset>
            </wp:positionV>
            <wp:extent cx="85090"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-4564380</wp:posOffset>
            </wp:positionV>
            <wp:extent cx="1143635" cy="324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635" cy="32448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-2068195</wp:posOffset>
            </wp:positionV>
            <wp:extent cx="1169035" cy="187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9035" cy="18732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-344805</wp:posOffset>
            </wp:positionV>
            <wp:extent cx="1169035" cy="18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9035" cy="187325"/>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-24765</wp:posOffset>
            </wp:positionV>
            <wp:extent cx="85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-7620</wp:posOffset>
            </wp:positionV>
            <wp:extent cx="85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4"/>
              </w:rPr>
              <w:t>For the Three Months Ended</w:t>
            </w:r>
          </w:p>
        </w:tc>
        <w:tc>
          <w:tcPr>
            <w:tcW w:w="220" w:type="dxa"/>
            <w:vAlign w:val="bottom"/>
          </w:tcPr>
          <w:p>
            <w:pPr>
              <w:spacing w:after="0"/>
              <w:rPr>
                <w:sz w:val="18"/>
                <w:szCs w:val="18"/>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7"/>
              </w:rPr>
              <w:t>For the Six Months Ended</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416,630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379,609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revenues, exclusive of amortization and impairment of acquired</w:t>
            </w:r>
          </w:p>
        </w:tc>
        <w:tc>
          <w:tcPr>
            <w:tcW w:w="16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52,047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46,095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102,494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88,795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582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technologies</w:t>
            </w:r>
          </w:p>
        </w:tc>
        <w:tc>
          <w:tcPr>
            <w:tcW w:w="160" w:type="dxa"/>
            <w:vAlign w:val="bottom"/>
            <w:shd w:val="clear" w:color="auto" w:fill="CFF0FC"/>
          </w:tcPr>
          <w:p>
            <w:pPr>
              <w:spacing w:after="0"/>
              <w:rPr>
                <w:sz w:val="9"/>
                <w:szCs w:val="9"/>
                <w:color w:val="auto"/>
              </w:rPr>
            </w:pPr>
          </w:p>
        </w:tc>
        <w:tc>
          <w:tcPr>
            <w:tcW w:w="94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2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0"/>
              <w:spacing w:after="0"/>
              <w:rPr>
                <w:sz w:val="20"/>
                <w:szCs w:val="20"/>
                <w:color w:val="auto"/>
              </w:rPr>
            </w:pPr>
            <w:r>
              <w:rPr>
                <w:rFonts w:ascii="Arial" w:cs="Arial" w:eastAsia="Arial" w:hAnsi="Arial"/>
                <w:sz w:val="16"/>
                <w:szCs w:val="16"/>
                <w:color w:val="auto"/>
              </w:rPr>
              <w:t>Amortization of acquired technologies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13,331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acquired technologies</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820" w:type="dxa"/>
            <w:vAlign w:val="bottom"/>
            <w:tcBorders>
              <w:top w:val="single" w:sz="8" w:color="CFF0FC"/>
            </w:tcBorders>
          </w:tcPr>
          <w:p>
            <w:pPr>
              <w:ind w:left="560"/>
              <w:spacing w:after="0"/>
              <w:rPr>
                <w:sz w:val="20"/>
                <w:szCs w:val="20"/>
                <w:color w:val="auto"/>
              </w:rPr>
            </w:pPr>
            <w:r>
              <w:rPr>
                <w:rFonts w:ascii="Arial" w:cs="Arial" w:eastAsia="Arial" w:hAnsi="Arial"/>
                <w:sz w:val="16"/>
                <w:szCs w:val="16"/>
                <w:color w:val="auto"/>
              </w:rPr>
              <w:t>Total cost of revenues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59,124</w:t>
            </w: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52,845</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116,256</w:t>
            </w: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102,240</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152,586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139,941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300,374</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277,369</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43,363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84,359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74,438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35,936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69,467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57,894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46,141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39,509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88,006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83,717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18,022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36,088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goodwill</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77,405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77,405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5820" w:type="dxa"/>
            <w:vAlign w:val="bottom"/>
          </w:tcPr>
          <w:p>
            <w:pPr>
              <w:ind w:left="200"/>
              <w:spacing w:after="0"/>
              <w:rPr>
                <w:sz w:val="20"/>
                <w:szCs w:val="20"/>
                <w:color w:val="auto"/>
              </w:rPr>
            </w:pPr>
            <w:r>
              <w:rPr>
                <w:rFonts w:ascii="Arial" w:cs="Arial" w:eastAsia="Arial" w:hAnsi="Arial"/>
                <w:sz w:val="16"/>
                <w:szCs w:val="16"/>
                <w:color w:val="auto"/>
              </w:rPr>
              <w:t>Impairment of intangible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225,773</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127,424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360,231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252,195</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(73,187 )</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(59,857 )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(14,014 )</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(7,944 )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(27,846 )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(15,285 )</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DERIVATIVE INSTRUMENTS</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CHANGE IN FAIR VALUE OF WARRANT LIABILITIES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(20,375 )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(19,180 )</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COST METHOD INVESTMENT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
              <w:spacing w:after="0"/>
              <w:rPr>
                <w:sz w:val="20"/>
                <w:szCs w:val="20"/>
                <w:color w:val="auto"/>
              </w:rPr>
            </w:pPr>
            <w:r>
              <w:rPr>
                <w:rFonts w:ascii="Arial" w:cs="Arial" w:eastAsia="Arial" w:hAnsi="Arial"/>
                <w:sz w:val="16"/>
                <w:szCs w:val="16"/>
                <w:color w:val="auto"/>
              </w:rPr>
              <w:t>OTHER INCOME—Net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PRETAX (LOSS) INCOME</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(99,625 )</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(98,224 )</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(10,125 )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3,064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(9,262 )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INCOME INCLUDING NON-CONTROLLING</w:t>
            </w:r>
          </w:p>
        </w:tc>
        <w:tc>
          <w:tcPr>
            <w:tcW w:w="16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(97,344 )</w:t>
            </w:r>
          </w:p>
        </w:tc>
        <w:tc>
          <w:tcPr>
            <w:tcW w:w="28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15,564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(95,160 )</w:t>
            </w:r>
          </w:p>
        </w:tc>
        <w:tc>
          <w:tcPr>
            <w:tcW w:w="26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27,539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582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2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200"/>
              <w:spacing w:after="0"/>
              <w:rPr>
                <w:sz w:val="20"/>
                <w:szCs w:val="20"/>
                <w:color w:val="auto"/>
              </w:rPr>
            </w:pPr>
            <w:r>
              <w:rPr>
                <w:rFonts w:ascii="Arial" w:cs="Arial" w:eastAsia="Arial" w:hAnsi="Arial"/>
                <w:sz w:val="16"/>
                <w:szCs w:val="16"/>
                <w:color w:val="auto"/>
              </w:rPr>
              <w:t>LESS: ACCRETION OF REDEEMABLE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(315 )</w:t>
            </w:r>
          </w:p>
        </w:tc>
        <w:tc>
          <w:tcPr>
            <w:tcW w:w="2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(315 )</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INCOME ATTRIBUTABLE TO CCC INTELLIGENT</w:t>
            </w: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SOLUTIONS HOLDINGS INC. COMMON STOCKHOLDERS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(97,659 )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(95,475 )</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stockholders: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(0.16 )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(0.15 )</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8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(0.16 )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(0.15 )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-3937635</wp:posOffset>
            </wp:positionV>
            <wp:extent cx="85090" cy="16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-3937635</wp:posOffset>
            </wp:positionV>
            <wp:extent cx="85090" cy="161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-3937635</wp:posOffset>
            </wp:positionV>
            <wp:extent cx="85090" cy="161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-3937635</wp:posOffset>
            </wp:positionV>
            <wp:extent cx="85090"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-3630295</wp:posOffset>
            </wp:positionV>
            <wp:extent cx="85090" cy="153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-3630295</wp:posOffset>
            </wp:positionV>
            <wp:extent cx="85090" cy="153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-3630295</wp:posOffset>
            </wp:positionV>
            <wp:extent cx="85090" cy="153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-3630295</wp:posOffset>
            </wp:positionV>
            <wp:extent cx="85090" cy="153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-2453005</wp:posOffset>
            </wp:positionV>
            <wp:extent cx="85090" cy="153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-2453005</wp:posOffset>
            </wp:positionV>
            <wp:extent cx="85090" cy="153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-2453005</wp:posOffset>
            </wp:positionV>
            <wp:extent cx="85090" cy="153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-2453005</wp:posOffset>
            </wp:positionV>
            <wp:extent cx="85090" cy="153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7132955" cy="273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p>
      <w:pPr>
        <w:spacing w:after="0" w:line="23" w:lineRule="exact"/>
        <w:rPr>
          <w:sz w:val="20"/>
          <w:szCs w:val="20"/>
          <w:color w:val="auto"/>
        </w:rPr>
      </w:pPr>
    </w:p>
    <w:p>
      <w:pPr>
        <w:ind w:left="140" w:right="460" w:hanging="120"/>
        <w:spacing w:after="0" w:line="280" w:lineRule="auto"/>
        <w:rPr>
          <w:sz w:val="20"/>
          <w:szCs w:val="20"/>
          <w:color w:val="auto"/>
        </w:rPr>
      </w:pPr>
      <w:r>
        <w:rPr>
          <w:rFonts w:ascii="Arial" w:cs="Arial" w:eastAsia="Arial" w:hAnsi="Arial"/>
          <w:sz w:val="16"/>
          <w:szCs w:val="16"/>
          <w:color w:val="auto"/>
        </w:rPr>
        <w:t>Weighted-average shares used in computing net (loss) income per share attributable to common stockholders: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(LOSS) INCOME: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(loss) income including non-controlling interest</w:t>
      </w:r>
    </w:p>
    <w:p>
      <w:pPr>
        <w:spacing w:after="0" w:line="44" w:lineRule="exact"/>
        <w:rPr>
          <w:sz w:val="20"/>
          <w:szCs w:val="20"/>
          <w:color w:val="auto"/>
        </w:rPr>
      </w:pPr>
    </w:p>
    <w:p>
      <w:pPr>
        <w:ind w:left="320" w:right="620" w:hanging="120"/>
        <w:spacing w:after="0" w:line="280" w:lineRule="auto"/>
        <w:rPr>
          <w:sz w:val="20"/>
          <w:szCs w:val="20"/>
          <w:color w:val="auto"/>
        </w:rPr>
      </w:pPr>
      <w:r>
        <w:rPr>
          <w:rFonts w:ascii="Arial" w:cs="Arial" w:eastAsia="Arial" w:hAnsi="Arial"/>
          <w:sz w:val="16"/>
          <w:szCs w:val="16"/>
          <w:color w:val="auto"/>
        </w:rPr>
        <w:t>Other comprehensive income (loss)—Foreign currency translation adjustment</w:t>
      </w:r>
    </w:p>
    <w:p>
      <w:pPr>
        <w:spacing w:after="0" w:line="1" w:lineRule="exact"/>
        <w:rPr>
          <w:sz w:val="20"/>
          <w:szCs w:val="20"/>
          <w:color w:val="auto"/>
        </w:rPr>
      </w:pPr>
    </w:p>
    <w:p>
      <w:pPr>
        <w:ind w:left="140" w:right="1580" w:hanging="120"/>
        <w:spacing w:after="0" w:line="280" w:lineRule="auto"/>
        <w:rPr>
          <w:sz w:val="20"/>
          <w:szCs w:val="20"/>
          <w:color w:val="auto"/>
        </w:rPr>
      </w:pPr>
      <w:r>
        <w:rPr>
          <w:rFonts w:ascii="Arial" w:cs="Arial" w:eastAsia="Arial" w:hAnsi="Arial"/>
          <w:sz w:val="16"/>
          <w:szCs w:val="16"/>
          <w:color w:val="auto"/>
        </w:rPr>
        <w:t>COMPREHENSIVE (LOSS) INCOME INCLUDING NON-CONTROLLING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jc w:val="right"/>
              <w:spacing w:after="0"/>
              <w:rPr>
                <w:sz w:val="20"/>
                <w:szCs w:val="20"/>
                <w:color w:val="auto"/>
              </w:rPr>
            </w:pPr>
            <w:r>
              <w:rPr>
                <w:rFonts w:ascii="Arial" w:cs="Arial" w:eastAsia="Arial" w:hAnsi="Arial"/>
                <w:sz w:val="16"/>
                <w:szCs w:val="16"/>
                <w:color w:val="auto"/>
              </w:rPr>
              <w:t>621,235,776</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605,948,628</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618,740,340</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604,534,589</w:t>
            </w:r>
          </w:p>
        </w:tc>
        <w:tc>
          <w:tcPr>
            <w:tcW w:w="80" w:type="dxa"/>
            <w:vAlign w:val="bottom"/>
          </w:tcPr>
          <w:p>
            <w:pPr>
              <w:spacing w:after="0"/>
              <w:rPr>
                <w:sz w:val="17"/>
                <w:szCs w:val="17"/>
                <w:color w:val="auto"/>
              </w:rPr>
            </w:pPr>
          </w:p>
        </w:tc>
      </w:tr>
      <w:tr>
        <w:trPr>
          <w:trHeight w:val="228"/>
        </w:trPr>
        <w:tc>
          <w:tcPr>
            <w:tcW w:w="1100" w:type="dxa"/>
            <w:vAlign w:val="bottom"/>
          </w:tcPr>
          <w:p>
            <w:pPr>
              <w:jc w:val="right"/>
              <w:spacing w:after="0"/>
              <w:rPr>
                <w:sz w:val="20"/>
                <w:szCs w:val="20"/>
                <w:color w:val="auto"/>
              </w:rPr>
            </w:pPr>
            <w:r>
              <w:rPr>
                <w:rFonts w:ascii="Arial" w:cs="Arial" w:eastAsia="Arial" w:hAnsi="Arial"/>
                <w:sz w:val="16"/>
                <w:szCs w:val="16"/>
                <w:color w:val="auto"/>
              </w:rPr>
              <w:t>621,235,776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639,964,696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618,740,340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640,650,297</w:t>
            </w:r>
          </w:p>
        </w:tc>
        <w:tc>
          <w:tcPr>
            <w:tcW w:w="80" w:type="dxa"/>
            <w:vAlign w:val="bottom"/>
          </w:tcPr>
          <w:p>
            <w:pPr>
              <w:spacing w:after="0"/>
              <w:rPr>
                <w:sz w:val="19"/>
                <w:szCs w:val="19"/>
                <w:color w:val="auto"/>
              </w:rPr>
            </w:pPr>
          </w:p>
        </w:tc>
      </w:tr>
      <w:tr>
        <w:trPr>
          <w:trHeight w:val="457"/>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(97,344 )</w:t>
            </w:r>
          </w:p>
        </w:tc>
        <w:tc>
          <w:tcPr>
            <w:tcW w:w="1120" w:type="dxa"/>
            <w:vAlign w:val="bottom"/>
          </w:tcPr>
          <w:p>
            <w:pPr>
              <w:jc w:val="right"/>
              <w:spacing w:after="0"/>
              <w:rPr>
                <w:sz w:val="20"/>
                <w:szCs w:val="20"/>
                <w:color w:val="auto"/>
              </w:rPr>
            </w:pPr>
            <w:r>
              <w:rPr>
                <w:rFonts w:ascii="Arial" w:cs="Arial" w:eastAsia="Arial" w:hAnsi="Arial"/>
                <w:sz w:val="16"/>
                <w:szCs w:val="16"/>
                <w:color w:val="auto"/>
              </w:rPr>
              <w:t>15,564</w:t>
            </w:r>
          </w:p>
        </w:tc>
        <w:tc>
          <w:tcPr>
            <w:tcW w:w="2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(95,160 )</w:t>
            </w:r>
          </w:p>
        </w:tc>
        <w:tc>
          <w:tcPr>
            <w:tcW w:w="1100" w:type="dxa"/>
            <w:vAlign w:val="bottom"/>
          </w:tcPr>
          <w:p>
            <w:pPr>
              <w:jc w:val="right"/>
              <w:spacing w:after="0"/>
              <w:rPr>
                <w:sz w:val="20"/>
                <w:szCs w:val="20"/>
                <w:color w:val="auto"/>
              </w:rPr>
            </w:pPr>
            <w:r>
              <w:rPr>
                <w:rFonts w:ascii="Arial" w:cs="Arial" w:eastAsia="Arial" w:hAnsi="Arial"/>
                <w:sz w:val="16"/>
                <w:szCs w:val="16"/>
                <w:color w:val="auto"/>
              </w:rPr>
              <w:t>27,539</w:t>
            </w:r>
          </w:p>
        </w:tc>
        <w:tc>
          <w:tcPr>
            <w:tcW w:w="80" w:type="dxa"/>
            <w:vAlign w:val="bottom"/>
          </w:tcPr>
          <w:p>
            <w:pPr>
              <w:spacing w:after="0"/>
              <w:rPr>
                <w:sz w:val="24"/>
                <w:szCs w:val="24"/>
                <w:color w:val="auto"/>
              </w:rPr>
            </w:pPr>
          </w:p>
        </w:tc>
      </w:tr>
      <w:tr>
        <w:trPr>
          <w:trHeight w:val="322"/>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(285 )</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(303 )</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(251 )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(294 )</w:t>
            </w:r>
          </w:p>
        </w:tc>
      </w:tr>
      <w:tr>
        <w:trPr>
          <w:trHeight w:val="113"/>
        </w:trPr>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10"/>
        </w:trPr>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(97,629 )</w:t>
            </w:r>
          </w:p>
        </w:tc>
        <w:tc>
          <w:tcPr>
            <w:tcW w:w="1120" w:type="dxa"/>
            <w:vAlign w:val="bottom"/>
          </w:tcPr>
          <w:p>
            <w:pPr>
              <w:jc w:val="right"/>
              <w:spacing w:after="0"/>
              <w:rPr>
                <w:sz w:val="20"/>
                <w:szCs w:val="20"/>
                <w:color w:val="auto"/>
              </w:rPr>
            </w:pPr>
            <w:r>
              <w:rPr>
                <w:rFonts w:ascii="Arial" w:cs="Arial" w:eastAsia="Arial" w:hAnsi="Arial"/>
                <w:sz w:val="16"/>
                <w:szCs w:val="16"/>
                <w:color w:val="auto"/>
              </w:rPr>
              <w:t>15,261</w:t>
            </w:r>
          </w:p>
        </w:tc>
        <w:tc>
          <w:tcPr>
            <w:tcW w:w="2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(95,411 )</w:t>
            </w:r>
          </w:p>
        </w:tc>
        <w:tc>
          <w:tcPr>
            <w:tcW w:w="1100" w:type="dxa"/>
            <w:vAlign w:val="bottom"/>
          </w:tcPr>
          <w:p>
            <w:pPr>
              <w:jc w:val="right"/>
              <w:spacing w:after="0"/>
              <w:rPr>
                <w:sz w:val="20"/>
                <w:szCs w:val="20"/>
                <w:color w:val="auto"/>
              </w:rPr>
            </w:pPr>
            <w:r>
              <w:rPr>
                <w:rFonts w:ascii="Arial" w:cs="Arial" w:eastAsia="Arial" w:hAnsi="Arial"/>
                <w:sz w:val="16"/>
                <w:szCs w:val="16"/>
                <w:color w:val="auto"/>
              </w:rPr>
              <w:t>27,245</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-908685</wp:posOffset>
            </wp:positionV>
            <wp:extent cx="7132955" cy="144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-618490</wp:posOffset>
            </wp:positionV>
            <wp:extent cx="7132955"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-200660</wp:posOffset>
            </wp:positionV>
            <wp:extent cx="7132955" cy="27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100" w:space="720"/>
            <w:col w:w="5420"/>
          </w:cols>
          <w:pgMar w:left="320" w:top="336"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820" w:type="dxa"/>
            <w:vAlign w:val="bottom"/>
          </w:tcPr>
          <w:p>
            <w:pPr>
              <w:ind w:left="200"/>
              <w:spacing w:after="0"/>
              <w:rPr>
                <w:sz w:val="20"/>
                <w:szCs w:val="20"/>
                <w:color w:val="auto"/>
              </w:rPr>
            </w:pPr>
            <w:r>
              <w:rPr>
                <w:rFonts w:ascii="Arial" w:cs="Arial" w:eastAsia="Arial" w:hAnsi="Arial"/>
                <w:sz w:val="16"/>
                <w:szCs w:val="16"/>
                <w:color w:val="auto"/>
              </w:rPr>
              <w:t>Less: accretion of redeemable non-controlling interest</w:t>
            </w:r>
          </w:p>
        </w:tc>
        <w:tc>
          <w:tcPr>
            <w:tcW w:w="3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(315 )</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(315 )</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 INCOME ATTRIBUTABLE TO CCC</w:t>
            </w:r>
          </w:p>
        </w:tc>
        <w:tc>
          <w:tcPr>
            <w:tcW w:w="340" w:type="dxa"/>
            <w:vAlign w:val="bottom"/>
            <w:vMerge w:val="restart"/>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(97,944 )</w:t>
            </w:r>
          </w:p>
        </w:tc>
        <w:tc>
          <w:tcPr>
            <w:tcW w:w="380" w:type="dxa"/>
            <w:vAlign w:val="bottom"/>
            <w:vMerge w:val="restart"/>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15,261</w:t>
            </w:r>
          </w:p>
        </w:tc>
        <w:tc>
          <w:tcPr>
            <w:tcW w:w="6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(95,726 )</w:t>
            </w:r>
          </w:p>
        </w:tc>
        <w:tc>
          <w:tcPr>
            <w:tcW w:w="380" w:type="dxa"/>
            <w:vAlign w:val="bottom"/>
            <w:vMerge w:val="restart"/>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27,245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INTELLIGENT SOLUTIONS HOLDINGS INC. COMMON STOCKHOLDERS</w:t>
            </w:r>
          </w:p>
        </w:tc>
        <w:tc>
          <w:tcPr>
            <w:tcW w:w="34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380" w:type="dxa"/>
            <w:vAlign w:val="bottom"/>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640" w:type="dxa"/>
            <w:vAlign w:val="bottom"/>
            <w:gridSpan w:val="2"/>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380" w:type="dxa"/>
            <w:vAlign w:val="bottom"/>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-24765</wp:posOffset>
            </wp:positionV>
            <wp:extent cx="850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-7620</wp:posOffset>
            </wp:positionV>
            <wp:extent cx="85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-24765</wp:posOffset>
            </wp:positionV>
            <wp:extent cx="850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-7620</wp:posOffset>
            </wp:positionV>
            <wp:extent cx="850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-24765</wp:posOffset>
            </wp:positionV>
            <wp:extent cx="850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-7620</wp:posOffset>
            </wp:positionV>
            <wp:extent cx="850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8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Redee</w:t>
            </w: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mable</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Preferred Stock—</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0"/>
              </w:rPr>
              <w:t>Accumulate</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4"/>
              </w:rPr>
              <w:t>Control</w:t>
            </w: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vMerge w:val="restart"/>
          </w:tcPr>
          <w:p>
            <w:pPr>
              <w:jc w:val="center"/>
              <w:ind w:left="99"/>
              <w:spacing w:after="0"/>
              <w:rPr>
                <w:sz w:val="20"/>
                <w:szCs w:val="20"/>
                <w:color w:val="auto"/>
              </w:rPr>
            </w:pPr>
            <w:r>
              <w:rPr>
                <w:rFonts w:ascii="Arial" w:cs="Arial" w:eastAsia="Arial" w:hAnsi="Arial"/>
                <w:sz w:val="16"/>
                <w:szCs w:val="16"/>
                <w:b w:val="1"/>
                <w:bCs w:val="1"/>
                <w:color w:val="auto"/>
                <w:w w:val="88"/>
              </w:rPr>
              <w:t>Issued and</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1"/>
              </w:rPr>
              <w:t>Common Stock—Issued</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81"/>
              </w:rPr>
              <w:t>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ling</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center"/>
              <w:ind w:left="139"/>
              <w:spacing w:after="0"/>
              <w:rPr>
                <w:sz w:val="20"/>
                <w:szCs w:val="20"/>
                <w:color w:val="auto"/>
              </w:rPr>
            </w:pPr>
            <w:r>
              <w:rPr>
                <w:rFonts w:ascii="Arial" w:cs="Arial" w:eastAsia="Arial" w:hAnsi="Arial"/>
                <w:sz w:val="16"/>
                <w:szCs w:val="16"/>
                <w:b w:val="1"/>
                <w:bCs w:val="1"/>
                <w:color w:val="auto"/>
                <w:w w:val="91"/>
              </w:rPr>
              <w:t>Outstanding</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and Outstanding</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380" w:type="dxa"/>
            <w:vAlign w:val="bottom"/>
          </w:tcPr>
          <w:p>
            <w:pPr>
              <w:spacing w:after="0"/>
              <w:rPr>
                <w:sz w:val="19"/>
                <w:szCs w:val="19"/>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Additiona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9"/>
                <w:szCs w:val="19"/>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8"/>
              </w:rPr>
              <w:t>l</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60" w:type="dxa"/>
            <w:vAlign w:val="bottom"/>
          </w:tcPr>
          <w:p>
            <w:pPr>
              <w:spacing w:after="0"/>
              <w:rPr>
                <w:sz w:val="17"/>
                <w:szCs w:val="17"/>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Par</w:t>
            </w:r>
          </w:p>
        </w:tc>
        <w:tc>
          <w:tcPr>
            <w:tcW w:w="240" w:type="dxa"/>
            <w:vAlign w:val="bottom"/>
          </w:tcPr>
          <w:p>
            <w:pPr>
              <w:spacing w:after="0"/>
              <w:rPr>
                <w:sz w:val="17"/>
                <w:szCs w:val="17"/>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2"/>
              </w:rPr>
              <w:t>Par</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7"/>
              </w:rPr>
              <w:t>Paid-In</w:t>
            </w: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w:t>
            </w: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Comprehens</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of</w:t>
            </w:r>
          </w:p>
        </w:tc>
        <w:tc>
          <w:tcPr>
            <w:tcW w:w="2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ted</w:t>
            </w:r>
          </w:p>
        </w:tc>
        <w:tc>
          <w:tcPr>
            <w:tcW w:w="180" w:type="dxa"/>
            <w:vAlign w:val="bottom"/>
          </w:tcPr>
          <w:p>
            <w:pPr>
              <w:spacing w:after="0"/>
              <w:rPr>
                <w:sz w:val="10"/>
                <w:szCs w:val="10"/>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89"/>
              </w:rPr>
              <w:t>ive</w:t>
            </w:r>
          </w:p>
        </w:tc>
        <w:tc>
          <w:tcPr>
            <w:tcW w:w="18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9"/>
              </w:rPr>
              <w:t>Deficit</w:t>
            </w:r>
          </w:p>
        </w:tc>
        <w:tc>
          <w:tcPr>
            <w:tcW w:w="180" w:type="dxa"/>
            <w:vAlign w:val="bottom"/>
          </w:tcPr>
          <w:p>
            <w:pPr>
              <w:spacing w:after="0"/>
              <w:rPr>
                <w:sz w:val="20"/>
                <w:szCs w:val="20"/>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5"/>
        </w:trPr>
        <w:tc>
          <w:tcPr>
            <w:tcW w:w="2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2,754,05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(707,94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gridSpan w:val="2"/>
            <w:shd w:val="clear" w:color="auto" w:fill="CFF0FC"/>
          </w:tcPr>
          <w:p>
            <w:pPr>
              <w:ind w:left="238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520" w:type="dxa"/>
            <w:vAlign w:val="bottom"/>
            <w:gridSpan w:val="2"/>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622,072,905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(884 )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2,045,287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8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80" w:type="dxa"/>
            <w:vAlign w:val="bottom"/>
            <w:gridSpan w:val="2"/>
          </w:tcPr>
          <w:p>
            <w:pPr>
              <w:ind w:left="200"/>
              <w:spacing w:after="0"/>
              <w:rPr>
                <w:sz w:val="20"/>
                <w:szCs w:val="20"/>
                <w:color w:val="auto"/>
              </w:rPr>
            </w:pPr>
            <w:r>
              <w:rPr>
                <w:rFonts w:ascii="Arial" w:cs="Arial" w:eastAsia="Arial" w:hAnsi="Arial"/>
                <w:sz w:val="16"/>
                <w:szCs w:val="16"/>
                <w:color w:val="auto"/>
              </w:rPr>
              <w:t>expense</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Exercise of stock options</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3,214,093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480" w:type="dxa"/>
            <w:vAlign w:val="bottom"/>
            <w:gridSpan w:val="2"/>
          </w:tcPr>
          <w:p>
            <w:pPr>
              <w:ind w:left="280"/>
              <w:spacing w:after="0"/>
              <w:rPr>
                <w:sz w:val="20"/>
                <w:szCs w:val="20"/>
                <w:color w:val="auto"/>
              </w:rPr>
            </w:pPr>
            <w:r>
              <w:rPr>
                <w:rFonts w:ascii="Arial" w:cs="Arial" w:eastAsia="Arial" w:hAnsi="Arial"/>
                <w:sz w:val="16"/>
                <w:szCs w:val="16"/>
                <w:color w:val="auto"/>
              </w:rPr>
              <w:t>Issuance of common stock</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2"/>
          </w:tcPr>
          <w:p>
            <w:pPr>
              <w:ind w:left="200"/>
              <w:spacing w:after="0"/>
              <w:rPr>
                <w:sz w:val="20"/>
                <w:szCs w:val="20"/>
                <w:color w:val="auto"/>
              </w:rPr>
            </w:pPr>
            <w:r>
              <w:rPr>
                <w:rFonts w:ascii="Arial" w:cs="Arial" w:eastAsia="Arial" w:hAnsi="Arial"/>
                <w:sz w:val="16"/>
                <w:szCs w:val="16"/>
                <w:color w:val="auto"/>
              </w:rPr>
              <w:t>under</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2"/>
          </w:tcPr>
          <w:p>
            <w:pPr>
              <w:ind w:left="320"/>
              <w:spacing w:after="0"/>
              <w:rPr>
                <w:sz w:val="20"/>
                <w:szCs w:val="20"/>
                <w:color w:val="auto"/>
              </w:rPr>
            </w:pPr>
            <w:r>
              <w:rPr>
                <w:rFonts w:ascii="Arial" w:cs="Arial" w:eastAsia="Arial" w:hAnsi="Arial"/>
                <w:sz w:val="16"/>
                <w:szCs w:val="16"/>
                <w:color w:val="auto"/>
              </w:rPr>
              <w:t>employee stock purchase</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80" w:type="dxa"/>
            <w:vAlign w:val="bottom"/>
            <w:gridSpan w:val="2"/>
          </w:tcPr>
          <w:p>
            <w:pPr>
              <w:ind w:left="200"/>
              <w:spacing w:after="0"/>
              <w:rPr>
                <w:sz w:val="20"/>
                <w:szCs w:val="20"/>
                <w:color w:val="auto"/>
              </w:rPr>
            </w:pPr>
            <w:r>
              <w:rPr>
                <w:rFonts w:ascii="Arial" w:cs="Arial" w:eastAsia="Arial" w:hAnsi="Arial"/>
                <w:sz w:val="16"/>
                <w:szCs w:val="16"/>
                <w:color w:val="auto"/>
              </w:rPr>
              <w:t>plan</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179,338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Issuance of common stock</w:t>
            </w:r>
          </w:p>
        </w:tc>
        <w:tc>
          <w:tcPr>
            <w:tcW w:w="4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upon</w:t>
            </w:r>
          </w:p>
        </w:tc>
        <w:tc>
          <w:tcPr>
            <w:tcW w:w="4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vesting of RSUs—net of tax</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2,217,379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(11,449 )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(11,449 )</w:t>
            </w:r>
          </w:p>
        </w:tc>
        <w:tc>
          <w:tcPr>
            <w:tcW w:w="0" w:type="dxa"/>
            <w:vAlign w:val="bottom"/>
          </w:tcPr>
          <w:p>
            <w:pPr>
              <w:spacing w:after="0"/>
              <w:rPr>
                <w:sz w:val="1"/>
                <w:szCs w:val="1"/>
                <w:color w:val="auto"/>
              </w:rPr>
            </w:pPr>
          </w:p>
        </w:tc>
      </w:tr>
      <w:tr>
        <w:trPr>
          <w:trHeight w:val="205"/>
        </w:trPr>
        <w:tc>
          <w:tcPr>
            <w:tcW w:w="2480" w:type="dxa"/>
            <w:vAlign w:val="bottom"/>
            <w:gridSpan w:val="2"/>
          </w:tcPr>
          <w:p>
            <w:pPr>
              <w:ind w:left="280"/>
              <w:spacing w:after="0"/>
              <w:rPr>
                <w:sz w:val="20"/>
                <w:szCs w:val="20"/>
                <w:color w:val="auto"/>
              </w:rPr>
            </w:pPr>
            <w:r>
              <w:rPr>
                <w:rFonts w:ascii="Arial" w:cs="Arial" w:eastAsia="Arial" w:hAnsi="Arial"/>
                <w:sz w:val="16"/>
                <w:szCs w:val="16"/>
                <w:color w:val="auto"/>
              </w:rPr>
              <w:t>Foreign currency translation</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80" w:type="dxa"/>
            <w:vAlign w:val="bottom"/>
            <w:gridSpan w:val="2"/>
          </w:tcPr>
          <w:p>
            <w:pPr>
              <w:ind w:left="320"/>
              <w:spacing w:after="0"/>
              <w:rPr>
                <w:sz w:val="20"/>
                <w:szCs w:val="20"/>
                <w:color w:val="auto"/>
              </w:rPr>
            </w:pPr>
            <w:r>
              <w:rPr>
                <w:rFonts w:ascii="Arial" w:cs="Arial" w:eastAsia="Arial" w:hAnsi="Arial"/>
                <w:sz w:val="16"/>
                <w:szCs w:val="16"/>
                <w:color w:val="auto"/>
              </w:rPr>
              <w:t>adjustment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BALANCE—March 31, 2023</w:t>
            </w:r>
          </w:p>
        </w:tc>
        <w:tc>
          <w:tcPr>
            <w:tcW w:w="480" w:type="dxa"/>
            <w:vAlign w:val="bottom"/>
          </w:tcPr>
          <w:p>
            <w:pPr>
              <w:jc w:val="right"/>
              <w:spacing w:after="0"/>
              <w:rPr>
                <w:sz w:val="20"/>
                <w:szCs w:val="20"/>
                <w:color w:val="auto"/>
              </w:rPr>
            </w:pPr>
            <w:r>
              <w:rPr>
                <w:rFonts w:ascii="Arial" w:cs="Arial" w:eastAsia="Arial" w:hAnsi="Arial"/>
                <w:sz w:val="16"/>
                <w:szCs w:val="16"/>
                <w:color w:val="auto"/>
              </w:rPr>
              <w:t>14,17</w:t>
            </w: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2,781,10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(705,76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627,683,715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2 )</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(850 )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2,074,555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expense</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80" w:type="dxa"/>
            <w:vAlign w:val="bottom"/>
            <w:gridSpan w:val="2"/>
          </w:tcPr>
          <w:p>
            <w:pPr>
              <w:ind w:left="280"/>
              <w:spacing w:after="0"/>
              <w:rPr>
                <w:sz w:val="20"/>
                <w:szCs w:val="20"/>
                <w:color w:val="auto"/>
              </w:rPr>
            </w:pPr>
            <w:r>
              <w:rPr>
                <w:rFonts w:ascii="Arial" w:cs="Arial" w:eastAsia="Arial" w:hAnsi="Arial"/>
                <w:sz w:val="16"/>
                <w:szCs w:val="16"/>
                <w:color w:val="auto"/>
              </w:rPr>
              <w:t>Exercise of stock options—</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80" w:type="dxa"/>
            <w:vAlign w:val="bottom"/>
            <w:gridSpan w:val="2"/>
          </w:tcPr>
          <w:p>
            <w:pPr>
              <w:ind w:left="200"/>
              <w:spacing w:after="0"/>
              <w:rPr>
                <w:sz w:val="20"/>
                <w:szCs w:val="20"/>
                <w:color w:val="auto"/>
              </w:rPr>
            </w:pPr>
            <w:r>
              <w:rPr>
                <w:rFonts w:ascii="Arial" w:cs="Arial" w:eastAsia="Arial" w:hAnsi="Arial"/>
                <w:sz w:val="16"/>
                <w:szCs w:val="16"/>
                <w:color w:val="auto"/>
              </w:rPr>
              <w:t>net of tax</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3,996,713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Issuance of common stock</w:t>
            </w:r>
          </w:p>
        </w:tc>
        <w:tc>
          <w:tcPr>
            <w:tcW w:w="4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upon</w:t>
            </w:r>
          </w:p>
        </w:tc>
        <w:tc>
          <w:tcPr>
            <w:tcW w:w="4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vesting of RSUs—net of tax</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302,063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5"/>
        </w:trPr>
        <w:tc>
          <w:tcPr>
            <w:tcW w:w="2480" w:type="dxa"/>
            <w:vAlign w:val="bottom"/>
            <w:gridSpan w:val="2"/>
          </w:tcPr>
          <w:p>
            <w:pPr>
              <w:ind w:left="280"/>
              <w:spacing w:after="0"/>
              <w:rPr>
                <w:sz w:val="20"/>
                <w:szCs w:val="20"/>
                <w:color w:val="auto"/>
              </w:rPr>
            </w:pPr>
            <w:r>
              <w:rPr>
                <w:rFonts w:ascii="Arial" w:cs="Arial" w:eastAsia="Arial" w:hAnsi="Arial"/>
                <w:sz w:val="16"/>
                <w:szCs w:val="16"/>
                <w:color w:val="auto"/>
              </w:rPr>
              <w:t>Foreign currency translation</w:t>
            </w: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80" w:type="dxa"/>
            <w:vAlign w:val="bottom"/>
            <w:gridSpan w:val="2"/>
          </w:tcPr>
          <w:p>
            <w:pPr>
              <w:ind w:left="320"/>
              <w:spacing w:after="0"/>
              <w:rPr>
                <w:sz w:val="20"/>
                <w:szCs w:val="20"/>
                <w:color w:val="auto"/>
              </w:rPr>
            </w:pPr>
            <w:r>
              <w:rPr>
                <w:rFonts w:ascii="Arial" w:cs="Arial" w:eastAsia="Arial" w:hAnsi="Arial"/>
                <w:sz w:val="16"/>
                <w:szCs w:val="16"/>
                <w:color w:val="auto"/>
              </w:rPr>
              <w:t>adjustment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(285 )</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215"/>
        </w:trPr>
        <w:tc>
          <w:tcPr>
            <w:tcW w:w="24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Accretion of redeemable non-</w:t>
            </w:r>
          </w:p>
        </w:tc>
        <w:tc>
          <w:tcPr>
            <w:tcW w:w="4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controlling interest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(315 )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(315 )</w:t>
            </w:r>
          </w:p>
        </w:tc>
        <w:tc>
          <w:tcPr>
            <w:tcW w:w="0" w:type="dxa"/>
            <w:vAlign w:val="bottom"/>
          </w:tcPr>
          <w:p>
            <w:pPr>
              <w:spacing w:after="0"/>
              <w:rPr>
                <w:sz w:val="1"/>
                <w:szCs w:val="1"/>
                <w:color w:val="auto"/>
              </w:rPr>
            </w:pPr>
          </w:p>
        </w:tc>
      </w:tr>
      <w:tr>
        <w:trPr>
          <w:trHeight w:val="226"/>
        </w:trPr>
        <w:tc>
          <w:tcPr>
            <w:tcW w:w="23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(97,344 )</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(97,344 )</w:t>
            </w:r>
          </w:p>
        </w:tc>
        <w:tc>
          <w:tcPr>
            <w:tcW w:w="0" w:type="dxa"/>
            <w:vAlign w:val="bottom"/>
          </w:tcPr>
          <w:p>
            <w:pPr>
              <w:spacing w:after="0"/>
              <w:rPr>
                <w:sz w:val="1"/>
                <w:szCs w:val="1"/>
                <w:color w:val="auto"/>
              </w:rPr>
            </w:pPr>
          </w:p>
        </w:tc>
      </w:tr>
      <w:tr>
        <w:trPr>
          <w:trHeight w:val="201"/>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BALANCE—June 30, 2023</w:t>
            </w:r>
          </w:p>
        </w:tc>
        <w:tc>
          <w:tcPr>
            <w:tcW w:w="1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14,49</w:t>
            </w:r>
          </w:p>
        </w:tc>
        <w:tc>
          <w:tcPr>
            <w:tcW w:w="2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2,829,18</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(803,10</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631,982,491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(1,135 )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2,025,006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-2226310</wp:posOffset>
            </wp:positionV>
            <wp:extent cx="76835" cy="281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-2226310</wp:posOffset>
            </wp:positionV>
            <wp:extent cx="85090" cy="281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-2226310</wp:posOffset>
            </wp:positionV>
            <wp:extent cx="76835" cy="281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-2226310</wp:posOffset>
            </wp:positionV>
            <wp:extent cx="85090" cy="281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-2226310</wp:posOffset>
            </wp:positionV>
            <wp:extent cx="76835" cy="281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-2226310</wp:posOffset>
            </wp:positionV>
            <wp:extent cx="76835" cy="281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-2226310</wp:posOffset>
            </wp:positionV>
            <wp:extent cx="85090" cy="281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-2226310</wp:posOffset>
            </wp:positionV>
            <wp:extent cx="85090" cy="281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-2226310</wp:posOffset>
            </wp:positionV>
            <wp:extent cx="85090" cy="281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-24765</wp:posOffset>
            </wp:positionV>
            <wp:extent cx="850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-7620</wp:posOffset>
            </wp:positionV>
            <wp:extent cx="850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-24765</wp:posOffset>
            </wp:positionV>
            <wp:extent cx="850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-7620</wp:posOffset>
            </wp:positionV>
            <wp:extent cx="85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-24765</wp:posOffset>
            </wp:positionV>
            <wp:extent cx="850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-7620</wp:posOffset>
            </wp:positionV>
            <wp:extent cx="850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-24765</wp:posOffset>
            </wp:positionV>
            <wp:extent cx="85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-7620</wp:posOffset>
            </wp:positionV>
            <wp:extent cx="850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60" w:type="dxa"/>
            <w:vAlign w:val="bottom"/>
          </w:tcPr>
          <w:p>
            <w:pPr>
              <w:spacing w:after="0"/>
              <w:rPr>
                <w:sz w:val="17"/>
                <w:szCs w:val="17"/>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Redee</w:t>
            </w: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Preferred Stock—</w:t>
            </w:r>
          </w:p>
        </w:tc>
        <w:tc>
          <w:tcPr>
            <w:tcW w:w="240" w:type="dxa"/>
            <w:vAlign w:val="bottom"/>
          </w:tcPr>
          <w:p>
            <w:pPr>
              <w:spacing w:after="0"/>
              <w:rPr>
                <w:sz w:val="17"/>
                <w:szCs w:val="17"/>
                <w:color w:val="auto"/>
              </w:rPr>
            </w:pPr>
          </w:p>
        </w:tc>
        <w:tc>
          <w:tcPr>
            <w:tcW w:w="17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0"/>
              </w:rPr>
              <w:t>Common Stock—Issued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3"/>
            <w:vMerge w:val="restart"/>
          </w:tcPr>
          <w:p>
            <w:pPr>
              <w:jc w:val="center"/>
              <w:ind w:left="99"/>
              <w:spacing w:after="0"/>
              <w:rPr>
                <w:sz w:val="20"/>
                <w:szCs w:val="20"/>
                <w:color w:val="auto"/>
              </w:rPr>
            </w:pPr>
            <w:r>
              <w:rPr>
                <w:rFonts w:ascii="Arial" w:cs="Arial" w:eastAsia="Arial" w:hAnsi="Arial"/>
                <w:sz w:val="16"/>
                <w:szCs w:val="16"/>
                <w:b w:val="1"/>
                <w:bCs w:val="1"/>
                <w:color w:val="auto"/>
                <w:w w:val="88"/>
              </w:rPr>
              <w:t>Issued and</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mable</w:t>
            </w:r>
          </w:p>
        </w:tc>
        <w:tc>
          <w:tcPr>
            <w:tcW w:w="2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gridSpan w:val="4"/>
            <w:vMerge w:val="restart"/>
          </w:tcPr>
          <w:p>
            <w:pPr>
              <w:jc w:val="right"/>
              <w:ind w:right="179"/>
              <w:spacing w:after="0"/>
              <w:rPr>
                <w:sz w:val="20"/>
                <w:szCs w:val="20"/>
                <w:color w:val="auto"/>
              </w:rPr>
            </w:pPr>
            <w:r>
              <w:rPr>
                <w:rFonts w:ascii="Arial" w:cs="Arial" w:eastAsia="Arial" w:hAnsi="Arial"/>
                <w:sz w:val="16"/>
                <w:szCs w:val="16"/>
                <w:b w:val="1"/>
                <w:bCs w:val="1"/>
                <w:color w:val="auto"/>
              </w:rPr>
              <w:t>and Outstanding</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3"/>
            <w:vMerge w:val="restart"/>
          </w:tcPr>
          <w:p>
            <w:pPr>
              <w:jc w:val="center"/>
              <w:ind w:left="139"/>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Non-</w:t>
            </w:r>
          </w:p>
        </w:tc>
        <w:tc>
          <w:tcPr>
            <w:tcW w:w="2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0"/>
              </w:rPr>
              <w:t>Accumulate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Contro</w:t>
            </w:r>
          </w:p>
        </w:tc>
        <w:tc>
          <w:tcPr>
            <w:tcW w:w="2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d</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lling</w:t>
            </w:r>
          </w:p>
        </w:tc>
        <w:tc>
          <w:tcPr>
            <w:tcW w:w="2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Interes</w:t>
            </w:r>
          </w:p>
        </w:tc>
        <w:tc>
          <w:tcPr>
            <w:tcW w:w="2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Additiona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9"/>
                <w:szCs w:val="19"/>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74"/>
              </w:rPr>
              <w:t>t</w:t>
            </w:r>
          </w:p>
        </w:tc>
        <w:tc>
          <w:tcPr>
            <w:tcW w:w="2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8"/>
              </w:rPr>
              <w:t>l</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240" w:type="dxa"/>
            <w:vAlign w:val="bottom"/>
          </w:tcPr>
          <w:p>
            <w:pPr>
              <w:spacing w:after="0"/>
              <w:rPr>
                <w:sz w:val="17"/>
                <w:szCs w:val="17"/>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Par</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Number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Par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7"/>
              </w:rPr>
              <w:t>Paid-In</w:t>
            </w:r>
          </w:p>
        </w:tc>
        <w:tc>
          <w:tcPr>
            <w:tcW w:w="26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Comprehens</w:t>
            </w: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of</w:t>
            </w:r>
          </w:p>
        </w:tc>
        <w:tc>
          <w:tcPr>
            <w:tcW w:w="2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ted</w:t>
            </w:r>
          </w:p>
        </w:tc>
        <w:tc>
          <w:tcPr>
            <w:tcW w:w="18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80"/>
              </w:rPr>
              <w:t>ive</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Capital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20"/>
                <w:szCs w:val="20"/>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609,768,29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2,618,92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60" w:type="dxa"/>
            <w:vAlign w:val="bottom"/>
            <w:gridSpan w:val="2"/>
            <w:shd w:val="clear" w:color="auto" w:fill="CFF0FC"/>
          </w:tcPr>
          <w:p>
            <w:pPr>
              <w:ind w:left="23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(315 )</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1,872,318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6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200"/>
              <w:spacing w:after="0"/>
              <w:rPr>
                <w:sz w:val="20"/>
                <w:szCs w:val="20"/>
                <w:color w:val="auto"/>
              </w:rPr>
            </w:pPr>
            <w:r>
              <w:rPr>
                <w:rFonts w:ascii="Arial" w:cs="Arial" w:eastAsia="Arial" w:hAnsi="Arial"/>
                <w:sz w:val="16"/>
                <w:szCs w:val="16"/>
                <w:color w:val="auto"/>
              </w:rPr>
              <w:t>expense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23,644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Exercise of stock options—</w:t>
            </w:r>
          </w:p>
        </w:tc>
        <w:tc>
          <w:tcPr>
            <w:tcW w:w="44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net of tax</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3,961,270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gridSpan w:val="2"/>
          </w:tcPr>
          <w:p>
            <w:pPr>
              <w:ind w:left="280"/>
              <w:spacing w:after="0"/>
              <w:rPr>
                <w:sz w:val="20"/>
                <w:szCs w:val="20"/>
                <w:color w:val="auto"/>
              </w:rPr>
            </w:pPr>
            <w:r>
              <w:rPr>
                <w:rFonts w:ascii="Arial" w:cs="Arial" w:eastAsia="Arial" w:hAnsi="Arial"/>
                <w:sz w:val="16"/>
                <w:szCs w:val="16"/>
                <w:color w:val="auto"/>
              </w:rPr>
              <w:t>Exercise of warrants—net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1,246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Issuance of common stock</w:t>
            </w:r>
          </w:p>
        </w:tc>
        <w:tc>
          <w:tcPr>
            <w:tcW w:w="44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upon</w:t>
            </w:r>
          </w:p>
        </w:tc>
        <w:tc>
          <w:tcPr>
            <w:tcW w:w="440" w:type="dxa"/>
            <w:vAlign w:val="bottom"/>
            <w:shd w:val="clear" w:color="auto" w:fill="CFF0FC"/>
          </w:tcPr>
          <w:p>
            <w:pPr>
              <w:spacing w:after="0"/>
              <w:rPr>
                <w:sz w:val="17"/>
                <w:szCs w:val="17"/>
                <w:color w:val="auto"/>
              </w:rPr>
            </w:pPr>
          </w:p>
        </w:tc>
        <w:tc>
          <w:tcPr>
            <w:tcW w:w="2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6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vesting of RSUs—net of tax</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27,314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460" w:type="dxa"/>
            <w:vAlign w:val="bottom"/>
            <w:gridSpan w:val="2"/>
          </w:tcPr>
          <w:p>
            <w:pPr>
              <w:ind w:left="280"/>
              <w:spacing w:after="0"/>
              <w:rPr>
                <w:sz w:val="20"/>
                <w:szCs w:val="20"/>
                <w:color w:val="auto"/>
              </w:rPr>
            </w:pPr>
            <w:r>
              <w:rPr>
                <w:rFonts w:ascii="Arial" w:cs="Arial" w:eastAsia="Arial" w:hAnsi="Arial"/>
                <w:sz w:val="16"/>
                <w:szCs w:val="16"/>
                <w:color w:val="auto"/>
              </w:rPr>
              <w:t>Foreign currency translation</w:t>
            </w: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320"/>
              <w:spacing w:after="0"/>
              <w:rPr>
                <w:sz w:val="20"/>
                <w:szCs w:val="20"/>
                <w:color w:val="auto"/>
              </w:rPr>
            </w:pPr>
            <w:r>
              <w:rPr>
                <w:rFonts w:ascii="Arial" w:cs="Arial" w:eastAsia="Arial" w:hAnsi="Arial"/>
                <w:sz w:val="16"/>
                <w:szCs w:val="16"/>
                <w:color w:val="auto"/>
              </w:rPr>
              <w:t>adjustment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11,975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11,975</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BALANCE—March 31, 2022</w:t>
            </w:r>
          </w:p>
        </w:tc>
        <w:tc>
          <w:tcPr>
            <w:tcW w:w="440" w:type="dxa"/>
            <w:vAlign w:val="bottom"/>
          </w:tcPr>
          <w:p>
            <w:pPr>
              <w:jc w:val="right"/>
              <w:spacing w:after="0"/>
              <w:rPr>
                <w:sz w:val="20"/>
                <w:szCs w:val="20"/>
                <w:color w:val="auto"/>
              </w:rPr>
            </w:pPr>
            <w:r>
              <w:rPr>
                <w:rFonts w:ascii="Arial" w:cs="Arial" w:eastAsia="Arial" w:hAnsi="Arial"/>
                <w:sz w:val="16"/>
                <w:szCs w:val="16"/>
                <w:color w:val="auto"/>
              </w:rPr>
              <w:t>14,17</w:t>
            </w: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613,758,12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2,653,20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(734,37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7 )</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1,918,579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44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expense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28,403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60" w:type="dxa"/>
            <w:vAlign w:val="bottom"/>
            <w:gridSpan w:val="2"/>
          </w:tcPr>
          <w:p>
            <w:pPr>
              <w:ind w:left="200"/>
              <w:spacing w:after="0"/>
              <w:rPr>
                <w:sz w:val="20"/>
                <w:szCs w:val="20"/>
                <w:color w:val="auto"/>
              </w:rPr>
            </w:pPr>
            <w:r>
              <w:rPr>
                <w:rFonts w:ascii="Arial" w:cs="Arial" w:eastAsia="Arial" w:hAnsi="Arial"/>
                <w:sz w:val="16"/>
                <w:szCs w:val="16"/>
                <w:color w:val="auto"/>
              </w:rPr>
              <w:t>Exercise of stock options - Net</w:t>
            </w: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200"/>
              <w:spacing w:after="0"/>
              <w:rPr>
                <w:sz w:val="20"/>
                <w:szCs w:val="20"/>
                <w:color w:val="auto"/>
              </w:rPr>
            </w:pPr>
            <w:r>
              <w:rPr>
                <w:rFonts w:ascii="Arial" w:cs="Arial" w:eastAsia="Arial" w:hAnsi="Arial"/>
                <w:sz w:val="16"/>
                <w:szCs w:val="16"/>
                <w:color w:val="auto"/>
              </w:rPr>
              <w:t>of tax</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1,713,991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Issuance of common stock</w:t>
            </w:r>
          </w:p>
        </w:tc>
        <w:tc>
          <w:tcPr>
            <w:tcW w:w="440" w:type="dxa"/>
            <w:vAlign w:val="bottom"/>
            <w:shd w:val="clear" w:color="auto" w:fill="CFF0FC"/>
          </w:tcPr>
          <w:p>
            <w:pPr>
              <w:spacing w:after="0"/>
              <w:rPr>
                <w:sz w:val="18"/>
                <w:szCs w:val="18"/>
                <w:color w:val="auto"/>
              </w:rPr>
            </w:pPr>
          </w:p>
        </w:tc>
        <w:tc>
          <w:tcPr>
            <w:tcW w:w="2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upon</w:t>
            </w:r>
          </w:p>
        </w:tc>
        <w:tc>
          <w:tcPr>
            <w:tcW w:w="440" w:type="dxa"/>
            <w:vAlign w:val="bottom"/>
            <w:shd w:val="clear" w:color="auto" w:fill="CFF0FC"/>
          </w:tcPr>
          <w:p>
            <w:pPr>
              <w:spacing w:after="0"/>
              <w:rPr>
                <w:sz w:val="17"/>
                <w:szCs w:val="17"/>
                <w:color w:val="auto"/>
              </w:rPr>
            </w:pPr>
          </w:p>
        </w:tc>
        <w:tc>
          <w:tcPr>
            <w:tcW w:w="2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6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vesting of RSUs—net of tax</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29,834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460" w:type="dxa"/>
            <w:vAlign w:val="bottom"/>
            <w:gridSpan w:val="2"/>
          </w:tcPr>
          <w:p>
            <w:pPr>
              <w:ind w:left="280"/>
              <w:spacing w:after="0"/>
              <w:rPr>
                <w:sz w:val="20"/>
                <w:szCs w:val="20"/>
                <w:color w:val="auto"/>
              </w:rPr>
            </w:pPr>
            <w:r>
              <w:rPr>
                <w:rFonts w:ascii="Arial" w:cs="Arial" w:eastAsia="Arial" w:hAnsi="Arial"/>
                <w:sz w:val="16"/>
                <w:szCs w:val="16"/>
                <w:color w:val="auto"/>
              </w:rPr>
              <w:t>Foreign currency translation</w:t>
            </w: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320"/>
              <w:spacing w:after="0"/>
              <w:rPr>
                <w:sz w:val="20"/>
                <w:szCs w:val="20"/>
                <w:color w:val="auto"/>
              </w:rPr>
            </w:pPr>
            <w:r>
              <w:rPr>
                <w:rFonts w:ascii="Arial" w:cs="Arial" w:eastAsia="Arial" w:hAnsi="Arial"/>
                <w:sz w:val="16"/>
                <w:szCs w:val="16"/>
                <w:color w:val="auto"/>
              </w:rPr>
              <w:t>adjustment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(303 )</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55"/>
        </w:trPr>
        <w:tc>
          <w:tcPr>
            <w:tcW w:w="23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15,564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15,564</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BALANCE—June 30, 2022</w:t>
            </w:r>
          </w:p>
        </w:tc>
        <w:tc>
          <w:tcPr>
            <w:tcW w:w="440" w:type="dxa"/>
            <w:vAlign w:val="bottom"/>
          </w:tcPr>
          <w:p>
            <w:pPr>
              <w:jc w:val="right"/>
              <w:spacing w:after="0"/>
              <w:rPr>
                <w:sz w:val="20"/>
                <w:szCs w:val="20"/>
                <w:color w:val="auto"/>
              </w:rPr>
            </w:pPr>
            <w:r>
              <w:rPr>
                <w:rFonts w:ascii="Arial" w:cs="Arial" w:eastAsia="Arial" w:hAnsi="Arial"/>
                <w:sz w:val="16"/>
                <w:szCs w:val="16"/>
                <w:color w:val="auto"/>
              </w:rPr>
              <w:t>14,17</w:t>
            </w:r>
          </w:p>
        </w:tc>
        <w:tc>
          <w:tcPr>
            <w:tcW w:w="2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615,501,95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2,686,32</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(718,81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60" w:type="dxa"/>
            <w:vAlign w:val="bottom"/>
            <w:gridSpan w:val="2"/>
          </w:tcPr>
          <w:p>
            <w:pPr>
              <w:ind w:left="238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(609 )</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1,966,966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-1961515</wp:posOffset>
            </wp:positionV>
            <wp:extent cx="85090" cy="281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-1961515</wp:posOffset>
            </wp:positionV>
            <wp:extent cx="76835" cy="281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-1961515</wp:posOffset>
            </wp:positionV>
            <wp:extent cx="85090" cy="281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-1961515</wp:posOffset>
            </wp:positionV>
            <wp:extent cx="76835" cy="281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-1961515</wp:posOffset>
            </wp:positionV>
            <wp:extent cx="85090" cy="281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-1961515</wp:posOffset>
            </wp:positionV>
            <wp:extent cx="85090" cy="281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-1961515</wp:posOffset>
            </wp:positionV>
            <wp:extent cx="76835" cy="281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-1961515</wp:posOffset>
            </wp:positionV>
            <wp:extent cx="76835" cy="281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28130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-1961515</wp:posOffset>
            </wp:positionV>
            <wp:extent cx="85090" cy="281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090" cy="28130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-314960</wp:posOffset>
            </wp:positionV>
            <wp:extent cx="85090" cy="315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-314960</wp:posOffset>
            </wp:positionV>
            <wp:extent cx="76835" cy="315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31559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-314960</wp:posOffset>
            </wp:positionV>
            <wp:extent cx="85090" cy="315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-314960</wp:posOffset>
            </wp:positionV>
            <wp:extent cx="76835" cy="315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31559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-314960</wp:posOffset>
            </wp:positionV>
            <wp:extent cx="85090" cy="315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-314960</wp:posOffset>
            </wp:positionV>
            <wp:extent cx="85090" cy="315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-314960</wp:posOffset>
            </wp:positionV>
            <wp:extent cx="76835" cy="315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31559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-314960</wp:posOffset>
            </wp:positionV>
            <wp:extent cx="85090" cy="315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090" cy="31559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106045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9" w:name="page10"/>
    <w:bookmarkEnd w:id="9"/>
    <w:p>
      <w:pPr>
        <w:ind w:left="2940" w:right="2640" w:hanging="283"/>
        <w:spacing w:after="0" w:line="260" w:lineRule="auto"/>
        <w:tabs>
          <w:tab w:leader="none" w:pos="30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Six Months Ended</w:t>
            </w:r>
          </w:p>
        </w:tc>
      </w:tr>
      <w:tr>
        <w:trPr>
          <w:trHeight w:val="241"/>
        </w:trPr>
        <w:tc>
          <w:tcPr>
            <w:tcW w:w="8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8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8"/>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9"/>
        </w:trPr>
        <w:tc>
          <w:tcPr>
            <w:tcW w:w="8140" w:type="dxa"/>
            <w:vAlign w:val="bottom"/>
          </w:tcPr>
          <w:p>
            <w:pPr>
              <w:ind w:left="20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(95,160 )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27,539</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Depreciation and amortization of software, equipment, and property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17,966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13,490</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49,419</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49,591</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Impairment of goodwill and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82,742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(23,791 )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(43,703 )</w:t>
            </w: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64,720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52,047</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deferred financing fees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Amortization of discount on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fair value of derivative instruments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(1,009 )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19,180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(23,140 )</w:t>
            </w: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Non-cash lease expense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2,152</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Loss on disposal of software, equipment and property</w:t>
            </w:r>
          </w:p>
        </w:tc>
        <w:tc>
          <w:tcPr>
            <w:tcW w:w="3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795</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Gain on sale of cost method investment</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(3,578 )</w:t>
            </w:r>
          </w:p>
        </w:tc>
      </w:tr>
      <w:tr>
        <w:trPr>
          <w:trHeight w:val="219"/>
        </w:trPr>
        <w:tc>
          <w:tcPr>
            <w:tcW w:w="8140" w:type="dxa"/>
            <w:vAlign w:val="bottom"/>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Changes in:</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560"/>
              <w:spacing w:after="0"/>
              <w:rPr>
                <w:sz w:val="20"/>
                <w:szCs w:val="20"/>
                <w:color w:val="auto"/>
              </w:rPr>
            </w:pPr>
            <w:r>
              <w:rPr>
                <w:rFonts w:ascii="Arial" w:cs="Arial" w:eastAsia="Arial" w:hAnsi="Arial"/>
                <w:sz w:val="16"/>
                <w:szCs w:val="16"/>
                <w:color w:val="auto"/>
              </w:rPr>
              <w:t>Accounts receivable—Net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(4,027 )</w:t>
            </w:r>
          </w:p>
        </w:tc>
      </w:tr>
      <w:tr>
        <w:trPr>
          <w:trHeight w:val="238"/>
        </w:trPr>
        <w:tc>
          <w:tcPr>
            <w:tcW w:w="81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Deferred contract costs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(315 )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(952 )</w:t>
            </w:r>
          </w:p>
        </w:tc>
      </w:tr>
      <w:tr>
        <w:trPr>
          <w:trHeight w:val="219"/>
        </w:trPr>
        <w:tc>
          <w:tcPr>
            <w:tcW w:w="8140" w:type="dxa"/>
            <w:vAlign w:val="bottom"/>
          </w:tcPr>
          <w:p>
            <w:pPr>
              <w:ind w:left="56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7,116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15,463</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Deferred contract costs—Non-current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2,248</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(5,267 )</w:t>
            </w: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(9,935 )</w:t>
            </w:r>
          </w:p>
        </w:tc>
      </w:tr>
      <w:tr>
        <w:trPr>
          <w:trHeight w:val="238"/>
        </w:trPr>
        <w:tc>
          <w:tcPr>
            <w:tcW w:w="81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(5 )</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56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13,851</w:t>
            </w:r>
          </w:p>
        </w:tc>
        <w:tc>
          <w:tcPr>
            <w:tcW w:w="140" w:type="dxa"/>
            <w:vAlign w:val="bottom"/>
          </w:tcPr>
          <w:p>
            <w:pPr>
              <w:spacing w:after="0"/>
              <w:rPr>
                <w:sz w:val="19"/>
                <w:szCs w:val="19"/>
                <w:color w:val="auto"/>
              </w:rPr>
            </w:pPr>
          </w:p>
        </w:tc>
      </w:tr>
      <w:tr>
        <w:trPr>
          <w:trHeight w:val="238"/>
        </w:trPr>
        <w:tc>
          <w:tcPr>
            <w:tcW w:w="81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(8,534 )</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56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(14,975 )</w:t>
            </w: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(7,949 )</w:t>
            </w:r>
          </w:p>
        </w:tc>
      </w:tr>
      <w:tr>
        <w:trPr>
          <w:trHeight w:val="238"/>
        </w:trPr>
        <w:tc>
          <w:tcPr>
            <w:tcW w:w="81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(249 )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(4,308 )</w:t>
            </w:r>
          </w:p>
        </w:tc>
      </w:tr>
      <w:tr>
        <w:trPr>
          <w:trHeight w:val="219"/>
        </w:trPr>
        <w:tc>
          <w:tcPr>
            <w:tcW w:w="8140" w:type="dxa"/>
            <w:vAlign w:val="bottom"/>
          </w:tcPr>
          <w:p>
            <w:pPr>
              <w:ind w:left="56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2,256</w:t>
            </w:r>
          </w:p>
        </w:tc>
        <w:tc>
          <w:tcPr>
            <w:tcW w:w="140" w:type="dxa"/>
            <w:vAlign w:val="bottom"/>
          </w:tcPr>
          <w:p>
            <w:pPr>
              <w:spacing w:after="0"/>
              <w:rPr>
                <w:sz w:val="19"/>
                <w:szCs w:val="19"/>
                <w:color w:val="auto"/>
              </w:rPr>
            </w:pPr>
          </w:p>
        </w:tc>
      </w:tr>
      <w:tr>
        <w:trPr>
          <w:trHeight w:val="231"/>
        </w:trPr>
        <w:tc>
          <w:tcPr>
            <w:tcW w:w="81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liabilities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(115 )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(62 )</w:t>
            </w:r>
          </w:p>
        </w:tc>
      </w:tr>
      <w:tr>
        <w:trPr>
          <w:trHeight w:val="222"/>
        </w:trPr>
        <w:tc>
          <w:tcPr>
            <w:tcW w:w="8140" w:type="dxa"/>
            <w:vAlign w:val="bottom"/>
            <w:tcBorders>
              <w:top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102,632</w:t>
            </w:r>
          </w:p>
        </w:tc>
        <w:tc>
          <w:tcPr>
            <w:tcW w:w="3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87,685</w:t>
            </w:r>
          </w:p>
        </w:tc>
        <w:tc>
          <w:tcPr>
            <w:tcW w:w="140" w:type="dxa"/>
            <w:vAlign w:val="bottom"/>
            <w:tcBorders>
              <w:top w:val="single" w:sz="8" w:color="CFF0FC"/>
            </w:tcBorders>
          </w:tcPr>
          <w:p>
            <w:pPr>
              <w:spacing w:after="0"/>
              <w:rPr>
                <w:sz w:val="19"/>
                <w:szCs w:val="19"/>
                <w:color w:val="auto"/>
              </w:rPr>
            </w:pPr>
          </w:p>
        </w:tc>
      </w:tr>
      <w:tr>
        <w:trPr>
          <w:trHeight w:val="228"/>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9"/>
        </w:trPr>
        <w:tc>
          <w:tcPr>
            <w:tcW w:w="8140" w:type="dxa"/>
            <w:vAlign w:val="bottom"/>
          </w:tcPr>
          <w:p>
            <w:pPr>
              <w:ind w:left="200"/>
              <w:spacing w:after="0"/>
              <w:rPr>
                <w:sz w:val="20"/>
                <w:szCs w:val="20"/>
                <w:color w:val="auto"/>
              </w:rPr>
            </w:pPr>
            <w:r>
              <w:rPr>
                <w:rFonts w:ascii="Arial" w:cs="Arial" w:eastAsia="Arial" w:hAnsi="Arial"/>
                <w:sz w:val="16"/>
                <w:szCs w:val="16"/>
                <w:color w:val="auto"/>
              </w:rPr>
              <w:t>Purchases of software, equipment, and property</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(29,084 )</w:t>
            </w: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(25,469 )</w:t>
            </w:r>
          </w:p>
        </w:tc>
      </w:tr>
      <w:tr>
        <w:trPr>
          <w:trHeight w:val="238"/>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of Safekeep, Inc., net of cash acquired</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(32,242 )</w:t>
            </w:r>
          </w:p>
        </w:tc>
      </w:tr>
      <w:tr>
        <w:trPr>
          <w:trHeight w:val="222"/>
        </w:trPr>
        <w:tc>
          <w:tcPr>
            <w:tcW w:w="8140" w:type="dxa"/>
            <w:vAlign w:val="bottom"/>
          </w:tcPr>
          <w:p>
            <w:pPr>
              <w:ind w:left="200"/>
              <w:spacing w:after="0"/>
              <w:rPr>
                <w:sz w:val="20"/>
                <w:szCs w:val="20"/>
                <w:color w:val="auto"/>
              </w:rPr>
            </w:pPr>
            <w:r>
              <w:rPr>
                <w:rFonts w:ascii="Arial" w:cs="Arial" w:eastAsia="Arial" w:hAnsi="Arial"/>
                <w:sz w:val="16"/>
                <w:szCs w:val="16"/>
                <w:color w:val="auto"/>
              </w:rPr>
              <w:t>Proceeds from sale of cost method investment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w:t>
            </w:r>
          </w:p>
        </w:tc>
        <w:tc>
          <w:tcPr>
            <w:tcW w:w="140" w:type="dxa"/>
            <w:vAlign w:val="bottom"/>
          </w:tcPr>
          <w:p>
            <w:pPr>
              <w:spacing w:after="0"/>
              <w:rPr>
                <w:sz w:val="19"/>
                <w:szCs w:val="19"/>
                <w:color w:val="auto"/>
              </w:rPr>
            </w:pPr>
          </w:p>
        </w:tc>
      </w:tr>
      <w:tr>
        <w:trPr>
          <w:trHeight w:val="222"/>
        </w:trPr>
        <w:tc>
          <w:tcPr>
            <w:tcW w:w="81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(29,084 )</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(53,819 )</w:t>
            </w:r>
          </w:p>
        </w:tc>
      </w:tr>
      <w:tr>
        <w:trPr>
          <w:trHeight w:val="219"/>
        </w:trPr>
        <w:tc>
          <w:tcPr>
            <w:tcW w:w="81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8"/>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20,827</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15,511</w:t>
            </w:r>
          </w:p>
        </w:tc>
        <w:tc>
          <w:tcPr>
            <w:tcW w:w="140" w:type="dxa"/>
            <w:vAlign w:val="bottom"/>
            <w:shd w:val="clear" w:color="auto" w:fill="CFF0FC"/>
          </w:tcPr>
          <w:p>
            <w:pPr>
              <w:spacing w:after="0"/>
              <w:rPr>
                <w:sz w:val="20"/>
                <w:szCs w:val="20"/>
                <w:color w:val="auto"/>
              </w:rPr>
            </w:pPr>
          </w:p>
        </w:tc>
      </w:tr>
      <w:tr>
        <w:trPr>
          <w:trHeight w:val="219"/>
        </w:trPr>
        <w:tc>
          <w:tcPr>
            <w:tcW w:w="8140" w:type="dxa"/>
            <w:vAlign w:val="bottom"/>
          </w:tcPr>
          <w:p>
            <w:pPr>
              <w:ind w:left="20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8"/>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for employee taxes withheld upon vesting of equity awards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(11,539 )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22"/>
        </w:trPr>
        <w:tc>
          <w:tcPr>
            <w:tcW w:w="8140" w:type="dxa"/>
            <w:vAlign w:val="bottom"/>
          </w:tcPr>
          <w:p>
            <w:pPr>
              <w:ind w:left="20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(4,000 )</w:t>
            </w: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(4,000 )</w:t>
            </w:r>
          </w:p>
        </w:tc>
      </w:tr>
      <w:tr>
        <w:trPr>
          <w:trHeight w:val="222"/>
        </w:trPr>
        <w:tc>
          <w:tcPr>
            <w:tcW w:w="81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6,614</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11,511</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6"/>
                <w:szCs w:val="16"/>
                <w:color w:val="auto"/>
              </w:rPr>
              <w:t>NET EFFECT OF EXCHANGE RATE CHANGES ON CASH AND CASH EQUIVALENTS</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(373 )</w:t>
            </w: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(281 )</w:t>
            </w:r>
          </w:p>
        </w:tc>
      </w:tr>
      <w:tr>
        <w:trPr>
          <w:trHeight w:val="228"/>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79,789</w:t>
            </w:r>
          </w:p>
        </w:tc>
        <w:tc>
          <w:tcPr>
            <w:tcW w:w="3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45,096</w:t>
            </w:r>
          </w:p>
        </w:tc>
        <w:tc>
          <w:tcPr>
            <w:tcW w:w="140" w:type="dxa"/>
            <w:vAlign w:val="bottom"/>
            <w:shd w:val="clear" w:color="auto" w:fill="CFF0FC"/>
          </w:tcPr>
          <w:p>
            <w:pPr>
              <w:spacing w:after="0"/>
              <w:rPr>
                <w:sz w:val="19"/>
                <w:szCs w:val="19"/>
                <w:color w:val="auto"/>
              </w:rPr>
            </w:pPr>
          </w:p>
        </w:tc>
      </w:tr>
      <w:tr>
        <w:trPr>
          <w:trHeight w:val="219"/>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1"/>
        </w:trPr>
        <w:tc>
          <w:tcPr>
            <w:tcW w:w="8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323,788</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182,544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2"/>
        </w:trPr>
        <w:tc>
          <w:tcPr>
            <w:tcW w:w="8140" w:type="dxa"/>
            <w:vAlign w:val="bottom"/>
          </w:tcPr>
          <w:p>
            <w:pPr>
              <w:ind w:left="200"/>
              <w:spacing w:after="0"/>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403,577</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227,640</w:t>
            </w:r>
          </w:p>
        </w:tc>
        <w:tc>
          <w:tcPr>
            <w:tcW w:w="14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2"/>
        </w:trPr>
        <w:tc>
          <w:tcPr>
            <w:tcW w:w="8140" w:type="dxa"/>
            <w:vAlign w:val="bottom"/>
          </w:tcPr>
          <w:p>
            <w:pPr>
              <w:ind w:left="200"/>
              <w:spacing w:after="0"/>
              <w:rPr>
                <w:sz w:val="20"/>
                <w:szCs w:val="20"/>
                <w:color w:val="auto"/>
              </w:rPr>
            </w:pPr>
            <w:r>
              <w:rPr>
                <w:rFonts w:ascii="Arial" w:cs="Arial" w:eastAsia="Arial" w:hAnsi="Arial"/>
                <w:sz w:val="16"/>
                <w:szCs w:val="16"/>
                <w:color w:val="auto"/>
              </w:rPr>
              <w:t>Noncash purchases of software, equipment, and property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Contingent consideration related to business acquisition</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FF0FC"/>
          </w:tcPr>
          <w:p>
            <w:pPr>
              <w:spacing w:after="0"/>
              <w:rPr>
                <w:sz w:val="21"/>
                <w:szCs w:val="21"/>
                <w:color w:val="auto"/>
              </w:rPr>
            </w:pPr>
          </w:p>
        </w:tc>
      </w:tr>
      <w:tr>
        <w:trPr>
          <w:trHeight w:val="206"/>
        </w:trPr>
        <w:tc>
          <w:tcPr>
            <w:tcW w:w="81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71"/>
        </w:trPr>
        <w:tc>
          <w:tcPr>
            <w:tcW w:w="8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26,946</w:t>
            </w:r>
          </w:p>
        </w:tc>
        <w:tc>
          <w:tcPr>
            <w:tcW w:w="3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14,153</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09"/>
        </w:trPr>
        <w:tc>
          <w:tcPr>
            <w:tcW w:w="8140" w:type="dxa"/>
            <w:vAlign w:val="bottom"/>
          </w:tcPr>
          <w:p>
            <w:pPr>
              <w:ind w:left="200"/>
              <w:spacing w:after="0"/>
              <w:rPr>
                <w:sz w:val="20"/>
                <w:szCs w:val="20"/>
                <w:color w:val="auto"/>
              </w:rPr>
            </w:pPr>
            <w:r>
              <w:rPr>
                <w:rFonts w:ascii="Arial" w:cs="Arial" w:eastAsia="Arial" w:hAnsi="Arial"/>
                <w:sz w:val="16"/>
                <w:szCs w:val="16"/>
                <w:color w:val="auto"/>
              </w:rPr>
              <w:t>Cash paid for income taxes—Net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19,954</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38,946</w:t>
            </w:r>
          </w:p>
        </w:tc>
        <w:tc>
          <w:tcPr>
            <w:tcW w:w="14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6011545</wp:posOffset>
            </wp:positionH>
            <wp:positionV relativeFrom="paragraph">
              <wp:posOffset>-3531870</wp:posOffset>
            </wp:positionV>
            <wp:extent cx="85090" cy="161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-3531870</wp:posOffset>
            </wp:positionV>
            <wp:extent cx="85090" cy="161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-2635885</wp:posOffset>
            </wp:positionV>
            <wp:extent cx="85090" cy="153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-2635885</wp:posOffset>
            </wp:positionV>
            <wp:extent cx="85090" cy="1536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-1748790</wp:posOffset>
            </wp:positionV>
            <wp:extent cx="85090" cy="161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-1748790</wp:posOffset>
            </wp:positionV>
            <wp:extent cx="85090" cy="161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-1151255</wp:posOffset>
            </wp:positionV>
            <wp:extent cx="85090" cy="1790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090" cy="1790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-1151255</wp:posOffset>
            </wp:positionV>
            <wp:extent cx="85090" cy="1790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090" cy="179070"/>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-511175</wp:posOffset>
            </wp:positionV>
            <wp:extent cx="1126490" cy="170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26490" cy="17081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-195580</wp:posOffset>
            </wp:positionV>
            <wp:extent cx="1126490" cy="196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26490" cy="19621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161" w:gutter="0" w:footer="0" w:header="0"/>
        </w:sectPr>
      </w:pPr>
    </w:p>
    <w:bookmarkStart w:id="10" w:name="page11"/>
    <w:bookmarkEnd w:id="10"/>
    <w:p>
      <w:pPr>
        <w:jc w:val="center"/>
        <w:ind w:right="-12"/>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i w:val="1"/>
          <w:iCs w:val="1"/>
          <w:color w:val="auto"/>
        </w:rPr>
        <w:t>(Unaudited)</w:t>
      </w:r>
    </w:p>
    <w:p>
      <w:pPr>
        <w:spacing w:after="0" w:line="204" w:lineRule="exact"/>
        <w:rPr>
          <w:sz w:val="20"/>
          <w:szCs w:val="20"/>
          <w:color w:val="auto"/>
        </w:rPr>
      </w:pPr>
    </w:p>
    <w:p>
      <w:pPr>
        <w:ind w:left="513" w:hanging="513"/>
        <w:spacing w:after="0"/>
        <w:tabs>
          <w:tab w:leader="none" w:pos="51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19" w:lineRule="exact"/>
        <w:rPr>
          <w:rFonts w:ascii="Arial" w:cs="Arial" w:eastAsia="Arial" w:hAnsi="Arial"/>
          <w:sz w:val="18"/>
          <w:szCs w:val="18"/>
          <w:b w:val="1"/>
          <w:bCs w:val="1"/>
          <w:color w:val="auto"/>
        </w:rPr>
      </w:pPr>
    </w:p>
    <w:p>
      <w:pPr>
        <w:ind w:left="513"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CCC Intelligent Solutions Holdings Inc. (the "Company"),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83" w:lineRule="exact"/>
        <w:rPr>
          <w:sz w:val="20"/>
          <w:szCs w:val="20"/>
          <w:color w:val="auto"/>
        </w:rPr>
      </w:pPr>
    </w:p>
    <w:p>
      <w:pPr>
        <w:ind w:left="513" w:right="40"/>
        <w:spacing w:after="0" w:line="275" w:lineRule="auto"/>
        <w:rPr>
          <w:sz w:val="20"/>
          <w:szCs w:val="20"/>
          <w:color w:val="auto"/>
        </w:rPr>
      </w:pPr>
      <w:r>
        <w:rPr>
          <w:rFonts w:ascii="Arial" w:cs="Arial" w:eastAsia="Arial" w:hAnsi="Arial"/>
          <w:sz w:val="18"/>
          <w:szCs w:val="18"/>
          <w:color w:val="auto"/>
        </w:rPr>
        <w:t>The Company is headquartered in Chicago, Illinois. The Company’s primary operations are in the United States (“U.S.”) and it also has operations in China.</w:t>
      </w:r>
    </w:p>
    <w:p>
      <w:pPr>
        <w:spacing w:after="0" w:line="63" w:lineRule="exact"/>
        <w:rPr>
          <w:sz w:val="20"/>
          <w:szCs w:val="20"/>
          <w:color w:val="auto"/>
        </w:rPr>
      </w:pPr>
    </w:p>
    <w:p>
      <w:pPr>
        <w:ind w:left="513" w:right="140"/>
        <w:spacing w:after="0" w:line="292" w:lineRule="auto"/>
        <w:rPr>
          <w:sz w:val="20"/>
          <w:szCs w:val="20"/>
          <w:color w:val="auto"/>
        </w:rPr>
      </w:pPr>
      <w:r>
        <w:rPr>
          <w:rFonts w:ascii="Arial" w:cs="Arial" w:eastAsia="Arial" w:hAnsi="Arial"/>
          <w:sz w:val="16"/>
          <w:szCs w:val="16"/>
          <w:color w:val="auto"/>
        </w:rPr>
        <w:t>The Company was originally incorporated as a Cayman Islands exempted company on July 3, 2020 as a special purpose acquisition company under the name Dragoneer Growth Opportunities Corp. ("Dragoneer"). On February 2, 2021, Cypress Holdings Inc. ("CCCIS"), a Delaware corporation, entered into a Business Combination Agreement (the "Business Combination Agreement") with Dragoneer. In connection with the closing (the "Closing") of the transactions contemplated by the Business Combination Agreement (the "Business Combination"),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265" w:lineRule="exact"/>
        <w:rPr>
          <w:sz w:val="20"/>
          <w:szCs w:val="20"/>
          <w:color w:val="auto"/>
        </w:rPr>
      </w:pPr>
    </w:p>
    <w:p>
      <w:pPr>
        <w:ind w:left="513" w:hanging="513"/>
        <w:spacing w:after="0"/>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5" w:lineRule="exact"/>
        <w:rPr>
          <w:rFonts w:ascii="Arial" w:cs="Arial" w:eastAsia="Arial" w:hAnsi="Arial"/>
          <w:sz w:val="18"/>
          <w:szCs w:val="18"/>
          <w:b w:val="1"/>
          <w:bCs w:val="1"/>
          <w:color w:val="auto"/>
        </w:rPr>
      </w:pPr>
    </w:p>
    <w:p>
      <w:pPr>
        <w:ind w:left="513" w:right="20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condensed consolidated balance sheets as of June 30, 2023 and December 31, 2022, the condensed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operations and comprehensive (loss) income for the three and six months ended June 30, 2023 and 2022, the condensed consolidated statements of mezzanine equity and stockholders’ equity for the three and six months ended June 30, 2023 and 2022, and the condensed consolidated statements of cash flows for the six months ended June 30, 2023 and 2022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54" w:lineRule="exact"/>
        <w:rPr>
          <w:rFonts w:ascii="Arial" w:cs="Arial" w:eastAsia="Arial" w:hAnsi="Arial"/>
          <w:sz w:val="18"/>
          <w:szCs w:val="18"/>
          <w:b w:val="1"/>
          <w:bCs w:val="1"/>
          <w:color w:val="auto"/>
        </w:rPr>
      </w:pPr>
    </w:p>
    <w:p>
      <w:pPr>
        <w:ind w:left="513" w:righ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68" w:lineRule="exact"/>
        <w:rPr>
          <w:rFonts w:ascii="Arial" w:cs="Arial" w:eastAsia="Arial" w:hAnsi="Arial"/>
          <w:sz w:val="18"/>
          <w:szCs w:val="18"/>
          <w:b w:val="1"/>
          <w:bCs w:val="1"/>
          <w:color w:val="auto"/>
        </w:rPr>
      </w:pPr>
    </w:p>
    <w:p>
      <w:pPr>
        <w:ind w:left="513" w:right="8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2022.</w:t>
      </w:r>
    </w:p>
    <w:p>
      <w:pPr>
        <w:spacing w:after="0" w:line="51" w:lineRule="exact"/>
        <w:rPr>
          <w:rFonts w:ascii="Arial" w:cs="Arial" w:eastAsia="Arial" w:hAnsi="Arial"/>
          <w:sz w:val="18"/>
          <w:szCs w:val="18"/>
          <w:b w:val="1"/>
          <w:bCs w:val="1"/>
          <w:color w:val="auto"/>
        </w:rPr>
      </w:pPr>
    </w:p>
    <w:p>
      <w:pPr>
        <w:ind w:left="513" w:right="1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2022. There have been no material changes to the significant accounting policies since December 31, 2022.</w:t>
      </w:r>
    </w:p>
    <w:p>
      <w:pPr>
        <w:spacing w:after="0" w:line="70" w:lineRule="exact"/>
        <w:rPr>
          <w:rFonts w:ascii="Arial" w:cs="Arial" w:eastAsia="Arial" w:hAnsi="Arial"/>
          <w:sz w:val="18"/>
          <w:szCs w:val="18"/>
          <w:b w:val="1"/>
          <w:bCs w:val="1"/>
          <w:color w:val="auto"/>
        </w:rPr>
      </w:pPr>
    </w:p>
    <w:p>
      <w:pPr>
        <w:ind w:left="513" w:right="60"/>
        <w:spacing w:after="0" w:line="279" w:lineRule="auto"/>
        <w:rPr>
          <w:rFonts w:ascii="Arial" w:cs="Arial" w:eastAsia="Arial" w:hAnsi="Arial"/>
          <w:sz w:val="18"/>
          <w:szCs w:val="18"/>
          <w:b w:val="1"/>
          <w:bCs w:val="1"/>
          <w:color w:val="auto"/>
        </w:rPr>
      </w:pPr>
      <w:r>
        <w:rPr>
          <w:rFonts w:ascii="Arial" w:cs="Arial" w:eastAsia="Arial" w:hAnsi="Arial"/>
          <w:sz w:val="17"/>
          <w:szCs w:val="17"/>
          <w:b w:val="1"/>
          <w:bCs w:val="1"/>
          <w:color w:val="auto"/>
        </w:rPr>
        <w:t>Basis of Accounting</w:t>
      </w:r>
      <w:r>
        <w:rPr>
          <w:rFonts w:ascii="Arial" w:cs="Arial" w:eastAsia="Arial" w:hAnsi="Arial"/>
          <w:sz w:val="17"/>
          <w:szCs w:val="17"/>
          <w:color w:val="auto"/>
        </w:rPr>
        <w:t>—The accompanying condensed consolidated financial statements are prepared in accordance with GAAP and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of the Company and its wholly-owned subsidiaries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w:t>
      </w:r>
    </w:p>
    <w:p>
      <w:pPr>
        <w:spacing w:after="0" w:line="58" w:lineRule="exact"/>
        <w:rPr>
          <w:rFonts w:ascii="Arial" w:cs="Arial" w:eastAsia="Arial" w:hAnsi="Arial"/>
          <w:sz w:val="18"/>
          <w:szCs w:val="18"/>
          <w:b w:val="1"/>
          <w:bCs w:val="1"/>
          <w:color w:val="auto"/>
        </w:rPr>
      </w:pPr>
    </w:p>
    <w:p>
      <w:pPr>
        <w:ind w:left="513"/>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the condensed consolidated financial statements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and the disclosures of contingent amounts in the Company’s condensed consolidated financial statements and the accompanying notes. Although the Company regularly assesses these estimates, actual results could differ from those estimates. Changes in estimates are recorded in the period in which they become known. The</w:t>
      </w:r>
    </w:p>
    <w:p>
      <w:pPr>
        <w:spacing w:after="0" w:line="185"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3"/>
          </w:cols>
          <w:pgMar w:left="327" w:top="444" w:right="339" w:bottom="1440" w:gutter="0" w:footer="0" w:header="0"/>
        </w:sectPr>
      </w:pPr>
    </w:p>
    <w:bookmarkStart w:id="11" w:name="page12"/>
    <w:bookmarkEnd w:id="11"/>
    <w:p>
      <w:pPr>
        <w:ind w:left="520" w:right="40"/>
        <w:spacing w:after="0" w:line="295" w:lineRule="auto"/>
        <w:rPr>
          <w:sz w:val="20"/>
          <w:szCs w:val="20"/>
          <w:color w:val="auto"/>
        </w:rPr>
      </w:pPr>
      <w:r>
        <w:rPr>
          <w:rFonts w:ascii="Arial" w:cs="Arial" w:eastAsia="Arial" w:hAnsi="Arial"/>
          <w:sz w:val="16"/>
          <w:szCs w:val="16"/>
          <w:color w:val="auto"/>
        </w:rPr>
        <w:t>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the estimates and assumptions associated with stock incentive plans, and the measurement of expected contingent consideration in connection with business acquisitions.</w:t>
      </w:r>
    </w:p>
    <w:p>
      <w:pPr>
        <w:spacing w:after="0" w:line="48"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b w:val="1"/>
          <w:bCs w:val="1"/>
          <w:color w:val="auto"/>
        </w:rPr>
        <w:t>Redeemable Non-Controlling Interest</w:t>
      </w:r>
      <w:r>
        <w:rPr>
          <w:rFonts w:ascii="Arial" w:cs="Arial" w:eastAsia="Arial" w:hAnsi="Arial"/>
          <w:sz w:val="18"/>
          <w:szCs w:val="18"/>
          <w:color w:val="auto"/>
        </w:rPr>
        <w:t>—The Company presents a redeemable non-controlling interest as mezzanine equity within its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when it is redeemable at a fixed or determinable price on a fixed or determinable date at the option of the holder or upon the occurrence of an event that is not solely within the control of the Company.</w:t>
      </w:r>
    </w:p>
    <w:p>
      <w:pPr>
        <w:spacing w:after="0" w:line="73"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The redeemable non-controlling interest was initially measured at fair value on the date of issuance. When the redemption of a mezzanine-classified non-controlling interest becomes probable, the carrying amount of the redeemable non-controlling interest is increased by periodic accretions using the interest method so that the carrying amount will equal the redemption amount on the date that the shares become redeemable. These adjustments are recorded as accretion of redeemable non-controlling interest, with an offset to additional paid-in capital, on the condensed consolidated statements of mezzanine equity and stockholders' equity.</w:t>
      </w:r>
    </w:p>
    <w:p>
      <w:pPr>
        <w:spacing w:after="0" w:line="83" w:lineRule="exact"/>
        <w:rPr>
          <w:sz w:val="20"/>
          <w:szCs w:val="20"/>
          <w:color w:val="auto"/>
        </w:rPr>
      </w:pPr>
    </w:p>
    <w:p>
      <w:pPr>
        <w:ind w:left="520" w:right="160"/>
        <w:spacing w:after="0" w:line="275" w:lineRule="auto"/>
        <w:rPr>
          <w:sz w:val="20"/>
          <w:szCs w:val="20"/>
          <w:color w:val="auto"/>
        </w:rPr>
      </w:pPr>
      <w:r>
        <w:rPr>
          <w:rFonts w:ascii="Arial" w:cs="Arial" w:eastAsia="Arial" w:hAnsi="Arial"/>
          <w:sz w:val="18"/>
          <w:szCs w:val="18"/>
          <w:color w:val="auto"/>
        </w:rPr>
        <w:t>Any such charges to additional paid-in capital affect net (loss) income available to CCC common stockholders as part of the Company's calculation of net (loss) income per share attributable to common stockholders.</w:t>
      </w:r>
    </w:p>
    <w:p>
      <w:pPr>
        <w:spacing w:after="0" w:line="59" w:lineRule="exact"/>
        <w:rPr>
          <w:sz w:val="20"/>
          <w:szCs w:val="20"/>
          <w:color w:val="auto"/>
        </w:rPr>
      </w:pPr>
    </w:p>
    <w:p>
      <w:pPr>
        <w:ind w:left="520" w:right="60"/>
        <w:spacing w:after="0" w:line="288" w:lineRule="auto"/>
        <w:rPr>
          <w:sz w:val="20"/>
          <w:szCs w:val="20"/>
          <w:color w:val="auto"/>
        </w:rPr>
      </w:pPr>
      <w:r>
        <w:rPr>
          <w:rFonts w:ascii="Arial" w:cs="Arial" w:eastAsia="Arial" w:hAnsi="Arial"/>
          <w:sz w:val="16"/>
          <w:szCs w:val="16"/>
          <w:b w:val="1"/>
          <w:bCs w:val="1"/>
          <w:color w:val="auto"/>
        </w:rPr>
        <w:t>Recently Issued Accounting Pronouncements</w:t>
      </w:r>
      <w:r>
        <w:rPr>
          <w:rFonts w:ascii="Arial" w:cs="Arial" w:eastAsia="Arial" w:hAnsi="Arial"/>
          <w:sz w:val="16"/>
          <w:szCs w:val="16"/>
          <w:color w:val="auto"/>
        </w:rPr>
        <w:t>—In March 2020, the Financial Accounting Standards Board ("FASB") issued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Update ("ASU") 2020-04,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and in January 2021 subsequently issued ASU 2021-01, which refines the scope of Topic 848. These ASUs provide optional expedients and exceptions for applying GAAP to contracts, hedging relationships, and other transactions, subject to meeting certain criteria, that reference the London Interbank Offered Rate ("LIBOR"), or another rate that is expected to be discontinued. ASU 2020-04 was effective upon issuance. In December 2022, the FASB issued ASU 2022-06 that defers the sunset date for applying the reference rate reform relief in Accounting Standards Codification ("ASC") 848 to December 31, 2024. The Company adopted these standards during the three months ended June 30, 2023 and transitioned the reference rate within its credit agreement and related interest rate cap agreements from LIBOR to the Secured Overnight Financing Rate ("SOFR") (see Note 14). The adoption of these standards did not have a material impact on the condensed consolidated financial statements.</w:t>
      </w:r>
    </w:p>
    <w:p>
      <w:pPr>
        <w:spacing w:after="0" w:line="270"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19" w:lineRule="exact"/>
        <w:rPr>
          <w:rFonts w:ascii="Arial" w:cs="Arial" w:eastAsia="Arial" w:hAnsi="Arial"/>
          <w:sz w:val="18"/>
          <w:szCs w:val="18"/>
          <w:b w:val="1"/>
          <w:bCs w:val="1"/>
          <w:color w:val="auto"/>
        </w:rPr>
      </w:pPr>
    </w:p>
    <w:p>
      <w:pPr>
        <w:ind w:left="520" w:right="2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broadens the Company’s portfolio of cloud-based solutions available to its insurance customers.</w:t>
      </w:r>
    </w:p>
    <w:p>
      <w:pPr>
        <w:spacing w:after="0" w:line="77" w:lineRule="exact"/>
        <w:rPr>
          <w:rFonts w:ascii="Arial" w:cs="Arial" w:eastAsia="Arial" w:hAnsi="Arial"/>
          <w:sz w:val="18"/>
          <w:szCs w:val="18"/>
          <w:b w:val="1"/>
          <w:bCs w:val="1"/>
          <w:color w:val="auto"/>
        </w:rPr>
      </w:pPr>
    </w:p>
    <w:p>
      <w:pPr>
        <w:ind w:left="520" w:right="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 The remaining cash held in escrow was paid to the sellers in May 2023.</w:t>
      </w:r>
    </w:p>
    <w:p>
      <w:pPr>
        <w:spacing w:after="0" w:line="77" w:lineRule="exact"/>
        <w:rPr>
          <w:rFonts w:ascii="Arial" w:cs="Arial" w:eastAsia="Arial" w:hAnsi="Arial"/>
          <w:sz w:val="18"/>
          <w:szCs w:val="18"/>
          <w:b w:val="1"/>
          <w:bCs w:val="1"/>
          <w:color w:val="auto"/>
        </w:rPr>
      </w:pPr>
    </w:p>
    <w:p>
      <w:pPr>
        <w:ind w:left="52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 million. The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8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acquisition date fair value of the consideration transferred was $32.5 million, which consisted of the following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42"/>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Cash paid through closing</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140" w:type="dxa"/>
            <w:vAlign w:val="bottom"/>
            <w:shd w:val="clear" w:color="auto" w:fill="CFF0FC"/>
          </w:tcPr>
          <w:p>
            <w:pPr>
              <w:spacing w:after="0"/>
              <w:rPr>
                <w:sz w:val="21"/>
                <w:szCs w:val="2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8"/>
                <w:szCs w:val="18"/>
                <w:color w:val="auto"/>
              </w:rPr>
              <w:t>Fair value of contingent earnout consideration</w:t>
            </w: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1"/>
                <w:szCs w:val="21"/>
                <w:color w:val="auto"/>
              </w:rPr>
            </w:pPr>
          </w:p>
        </w:tc>
      </w:tr>
      <w:tr>
        <w:trPr>
          <w:trHeight w:val="275"/>
        </w:trPr>
        <w:tc>
          <w:tcPr>
            <w:tcW w:w="8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right="160"/>
        <w:spacing w:after="0" w:line="262" w:lineRule="auto"/>
        <w:rPr>
          <w:sz w:val="20"/>
          <w:szCs w:val="20"/>
          <w:color w:val="auto"/>
        </w:rPr>
      </w:pPr>
      <w:r>
        <w:rPr>
          <w:rFonts w:ascii="Arial" w:cs="Arial" w:eastAsia="Arial" w:hAnsi="Arial"/>
          <w:sz w:val="18"/>
          <w:szCs w:val="18"/>
          <w:color w:val="auto"/>
        </w:rPr>
        <w:t xml:space="preserve">The acquisition was accounted for as a business combination and reflects the application of acquisition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total purchase consideration was allocated to the assets acquired and liabilities assumed based on their fair values as of the acquisition date with the excess purchase price assigned to goodwill.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2" w:name="page13"/>
    <w:bookmarkEnd w:id="12"/>
    <w:p>
      <w:pPr>
        <w:ind w:left="520" w:right="120"/>
        <w:spacing w:after="0" w:line="275" w:lineRule="auto"/>
        <w:rPr>
          <w:sz w:val="20"/>
          <w:szCs w:val="20"/>
          <w:color w:val="auto"/>
        </w:rPr>
      </w:pPr>
      <w:r>
        <w:rPr>
          <w:rFonts w:ascii="Arial" w:cs="Arial" w:eastAsia="Arial" w:hAnsi="Arial"/>
          <w:sz w:val="18"/>
          <w:szCs w:val="18"/>
          <w:color w:val="auto"/>
        </w:rPr>
        <w:t>The goodwill was primarily attributable to the expected synergies from the combined service offerings and the value of the acquired workforce. The goodwill is not deductible for tax purposes.</w:t>
      </w:r>
    </w:p>
    <w:p>
      <w:pPr>
        <w:spacing w:after="0" w:line="63" w:lineRule="exact"/>
        <w:rPr>
          <w:sz w:val="20"/>
          <w:szCs w:val="20"/>
          <w:color w:val="auto"/>
        </w:rPr>
      </w:pPr>
    </w:p>
    <w:p>
      <w:pPr>
        <w:ind w:left="520" w:right="40"/>
        <w:spacing w:after="0" w:line="290" w:lineRule="auto"/>
        <w:rPr>
          <w:sz w:val="20"/>
          <w:szCs w:val="20"/>
          <w:color w:val="auto"/>
        </w:rPr>
      </w:pPr>
      <w:r>
        <w:rPr>
          <w:rFonts w:ascii="Arial" w:cs="Arial" w:eastAsia="Arial" w:hAnsi="Arial"/>
          <w:sz w:val="16"/>
          <w:szCs w:val="16"/>
          <w:color w:val="auto"/>
        </w:rPr>
        <w:t>The Company’s estimates of the fair values of the assets acquired, liabilities assumed and contingent consideration were based on information that was available at the date of the acquisition.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In December 2022, the Company recorded a measurement period adjustment to reflect the facts and circumstances in existence at the acquisition date. The adjustment related to the valuation of the deferred tax liabilities for $0.9 million, with a corresponding increase in goodwill. There were no other significant changes to the preliminary purchase price allocation. The purchase price allocation of estimated fair values was finalized as of December 31, 2022.</w:t>
      </w:r>
    </w:p>
    <w:p>
      <w:pPr>
        <w:spacing w:after="0" w:line="56" w:lineRule="exact"/>
        <w:rPr>
          <w:sz w:val="20"/>
          <w:szCs w:val="20"/>
          <w:color w:val="auto"/>
        </w:rPr>
      </w:pPr>
    </w:p>
    <w:p>
      <w:pPr>
        <w:ind w:left="520" w:right="620"/>
        <w:spacing w:after="0" w:line="273" w:lineRule="auto"/>
        <w:rPr>
          <w:sz w:val="20"/>
          <w:szCs w:val="20"/>
          <w:color w:val="auto"/>
        </w:rPr>
      </w:pPr>
      <w:r>
        <w:rPr>
          <w:rFonts w:ascii="Arial" w:cs="Arial" w:eastAsia="Arial" w:hAnsi="Arial"/>
          <w:sz w:val="18"/>
          <w:szCs w:val="18"/>
          <w:color w:val="auto"/>
        </w:rPr>
        <w:t>The following table summarizes the final allocation of the consideration to the fair values of the assets acquired and liabilities assumed at the acquisition date (in thousands):</w:t>
      </w:r>
    </w:p>
    <w:tbl>
      <w:tblPr>
        <w:tblLayout w:type="fixed"/>
        <w:tblInd w:w="580" w:type="dxa"/>
        <w:tblCellMar>
          <w:top w:w="0" w:type="dxa"/>
          <w:left w:w="0" w:type="dxa"/>
          <w:bottom w:w="0" w:type="dxa"/>
          <w:right w:w="0" w:type="dxa"/>
        </w:tblCellMar>
      </w:tblPr>
      <w:tr>
        <w:trPr>
          <w:trHeight w:val="242"/>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7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87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r>
      <w:tr>
        <w:trPr>
          <w:trHeight w:val="248"/>
        </w:trPr>
        <w:tc>
          <w:tcPr>
            <w:tcW w:w="8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Intangible asset - acquired technology</w:t>
            </w:r>
          </w:p>
        </w:tc>
        <w:tc>
          <w:tcPr>
            <w:tcW w:w="7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29"/>
        </w:trPr>
        <w:tc>
          <w:tcPr>
            <w:tcW w:w="87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4,950</w:t>
            </w:r>
          </w:p>
        </w:tc>
        <w:tc>
          <w:tcPr>
            <w:tcW w:w="140" w:type="dxa"/>
            <w:vAlign w:val="bottom"/>
          </w:tcPr>
          <w:p>
            <w:pPr>
              <w:spacing w:after="0"/>
              <w:rPr>
                <w:sz w:val="19"/>
                <w:szCs w:val="19"/>
                <w:color w:val="auto"/>
              </w:rPr>
            </w:pPr>
          </w:p>
        </w:tc>
      </w:tr>
      <w:tr>
        <w:trPr>
          <w:trHeight w:val="248"/>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7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87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0"/>
                <w:szCs w:val="20"/>
                <w:color w:val="auto"/>
              </w:rPr>
            </w:pPr>
          </w:p>
        </w:tc>
      </w:tr>
      <w:tr>
        <w:trPr>
          <w:trHeight w:val="248"/>
        </w:trPr>
        <w:tc>
          <w:tcPr>
            <w:tcW w:w="8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tax liabilities</w:t>
            </w:r>
          </w:p>
        </w:tc>
        <w:tc>
          <w:tcPr>
            <w:tcW w:w="7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87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20"/>
                <w:szCs w:val="20"/>
                <w:color w:val="auto"/>
              </w:rPr>
            </w:pPr>
          </w:p>
        </w:tc>
      </w:tr>
      <w:tr>
        <w:trPr>
          <w:trHeight w:val="235"/>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7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40" w:type="dxa"/>
            <w:vAlign w:val="bottom"/>
            <w:shd w:val="clear" w:color="auto" w:fill="CFF0FC"/>
          </w:tcPr>
          <w:p>
            <w:pPr>
              <w:spacing w:after="0"/>
              <w:rPr>
                <w:sz w:val="20"/>
                <w:szCs w:val="20"/>
                <w:color w:val="auto"/>
              </w:rPr>
            </w:pPr>
          </w:p>
        </w:tc>
      </w:tr>
      <w:tr>
        <w:trPr>
          <w:trHeight w:val="242"/>
        </w:trPr>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28,245</w:t>
            </w:r>
          </w:p>
        </w:tc>
        <w:tc>
          <w:tcPr>
            <w:tcW w:w="140" w:type="dxa"/>
            <w:vAlign w:val="bottom"/>
          </w:tcPr>
          <w:p>
            <w:pPr>
              <w:spacing w:after="0"/>
              <w:rPr>
                <w:sz w:val="21"/>
                <w:szCs w:val="21"/>
                <w:color w:val="auto"/>
              </w:rPr>
            </w:pPr>
          </w:p>
        </w:tc>
      </w:tr>
      <w:tr>
        <w:trPr>
          <w:trHeight w:val="275"/>
        </w:trPr>
        <w:tc>
          <w:tcPr>
            <w:tcW w:w="8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7052310</wp:posOffset>
            </wp:positionH>
            <wp:positionV relativeFrom="paragraph">
              <wp:posOffset>-1287780</wp:posOffset>
            </wp:positionV>
            <wp:extent cx="85090" cy="161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-664845</wp:posOffset>
            </wp:positionV>
            <wp:extent cx="85090" cy="1708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acquired technology intangible asset has an estimated useful life of seven years and is being amortized on a straight-line basis.</w:t>
      </w:r>
    </w:p>
    <w:p>
      <w:pPr>
        <w:spacing w:after="0" w:line="115" w:lineRule="exact"/>
        <w:rPr>
          <w:sz w:val="20"/>
          <w:szCs w:val="20"/>
          <w:color w:val="auto"/>
        </w:rPr>
      </w:pPr>
    </w:p>
    <w:p>
      <w:pPr>
        <w:ind w:left="520" w:right="80"/>
        <w:spacing w:after="0" w:line="262" w:lineRule="auto"/>
        <w:rPr>
          <w:sz w:val="20"/>
          <w:szCs w:val="20"/>
          <w:color w:val="auto"/>
        </w:rPr>
      </w:pPr>
      <w:r>
        <w:rPr>
          <w:rFonts w:ascii="Arial" w:cs="Arial" w:eastAsia="Arial" w:hAnsi="Arial"/>
          <w:sz w:val="18"/>
          <w:szCs w:val="18"/>
          <w:color w:val="auto"/>
        </w:rPr>
        <w:t>The fair value of the acquired technology intangible asset was determined by a valuation model based on estimates of future operating projections as well as judgments on the discount rate and other variables. This fair value measurement is based on significant unobservable inputs, including management estimates and assumptions and thus represents a Level 3 measurement.</w:t>
      </w:r>
    </w:p>
    <w:p>
      <w:pPr>
        <w:spacing w:after="0" w:line="75" w:lineRule="exact"/>
        <w:rPr>
          <w:sz w:val="20"/>
          <w:szCs w:val="20"/>
          <w:color w:val="auto"/>
        </w:rPr>
      </w:pPr>
    </w:p>
    <w:p>
      <w:pPr>
        <w:ind w:left="520" w:right="140"/>
        <w:spacing w:after="0" w:line="262" w:lineRule="auto"/>
        <w:rPr>
          <w:sz w:val="20"/>
          <w:szCs w:val="20"/>
          <w:color w:val="auto"/>
        </w:rPr>
      </w:pPr>
      <w:r>
        <w:rPr>
          <w:rFonts w:ascii="Arial" w:cs="Arial" w:eastAsia="Arial" w:hAnsi="Arial"/>
          <w:sz w:val="18"/>
          <w:szCs w:val="18"/>
          <w:color w:val="auto"/>
        </w:rPr>
        <w:t>During the six months ended June 30, 2022, the Company incurred $1.2 million of transaction costs associated with the acquisition. The transaction costs are included in general and administrative expenses within the accompanying condensed consolidated statement of operations and comprehensive (loss) income.</w:t>
      </w:r>
    </w:p>
    <w:p>
      <w:pPr>
        <w:spacing w:after="0" w:line="111" w:lineRule="exact"/>
        <w:rPr>
          <w:sz w:val="20"/>
          <w:szCs w:val="20"/>
          <w:color w:val="auto"/>
        </w:rPr>
      </w:pPr>
    </w:p>
    <w:p>
      <w:pPr>
        <w:ind w:left="520" w:hanging="513"/>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9" w:lineRule="exact"/>
        <w:rPr>
          <w:rFonts w:ascii="Arial" w:cs="Arial" w:eastAsia="Arial" w:hAnsi="Arial"/>
          <w:sz w:val="18"/>
          <w:szCs w:val="18"/>
          <w:b w:val="1"/>
          <w:bCs w:val="1"/>
          <w:color w:val="auto"/>
        </w:rPr>
      </w:pPr>
    </w:p>
    <w:p>
      <w:pPr>
        <w:ind w:left="520" w:right="260"/>
        <w:spacing w:after="0" w:line="275" w:lineRule="auto"/>
        <w:rPr>
          <w:rFonts w:ascii="Arial" w:cs="Arial" w:eastAsia="Arial" w:hAnsi="Arial"/>
          <w:sz w:val="18"/>
          <w:szCs w:val="18"/>
          <w:b w:val="1"/>
          <w:bCs w:val="1"/>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—The Company provides disaggregation of revenue based on type of service as it believes these categories best depict</w:t>
      </w:r>
      <w:r>
        <w:rPr>
          <w:rFonts w:ascii="Arial" w:cs="Arial" w:eastAsia="Arial" w:hAnsi="Arial"/>
          <w:sz w:val="18"/>
          <w:szCs w:val="18"/>
          <w:i w:val="1"/>
          <w:iCs w:val="1"/>
          <w:color w:val="auto"/>
        </w:rPr>
        <w:t xml:space="preserve"> </w:t>
      </w:r>
      <w:r>
        <w:rPr>
          <w:rFonts w:ascii="Arial" w:cs="Arial" w:eastAsia="Arial" w:hAnsi="Arial"/>
          <w:sz w:val="18"/>
          <w:szCs w:val="18"/>
          <w:color w:val="auto"/>
        </w:rPr>
        <w:t>how the nature, amount, timing and uncertainty of revenue and cash flows are affected by economic factors.</w:t>
      </w:r>
    </w:p>
    <w:p>
      <w:pPr>
        <w:spacing w:after="0" w:line="6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revenue by type of service for the three and six months ended June 30, 2023 and 2022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0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For the Six Months Ended</w:t>
            </w:r>
          </w:p>
        </w:tc>
        <w:tc>
          <w:tcPr>
            <w:tcW w:w="140" w:type="dxa"/>
            <w:vAlign w:val="bottom"/>
          </w:tcPr>
          <w:p>
            <w:pPr>
              <w:spacing w:after="0"/>
              <w:rPr>
                <w:sz w:val="20"/>
                <w:szCs w:val="20"/>
                <w:color w:val="auto"/>
              </w:rPr>
            </w:pPr>
          </w:p>
        </w:tc>
      </w:tr>
      <w:tr>
        <w:trPr>
          <w:trHeight w:val="248"/>
        </w:trPr>
        <w:tc>
          <w:tcPr>
            <w:tcW w:w="28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2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Software subscriptions</w:t>
            </w: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202,851</w:t>
            </w:r>
          </w:p>
        </w:tc>
        <w:tc>
          <w:tcPr>
            <w:tcW w:w="36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185,499</w:t>
            </w:r>
          </w:p>
        </w:tc>
        <w:tc>
          <w:tcPr>
            <w:tcW w:w="3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399,108</w:t>
            </w:r>
          </w:p>
        </w:tc>
        <w:tc>
          <w:tcPr>
            <w:tcW w:w="3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365,317</w:t>
            </w:r>
          </w:p>
        </w:tc>
        <w:tc>
          <w:tcPr>
            <w:tcW w:w="140" w:type="dxa"/>
            <w:vAlign w:val="bottom"/>
            <w:shd w:val="clear" w:color="auto" w:fill="CFF0FC"/>
          </w:tcPr>
          <w:p>
            <w:pPr>
              <w:spacing w:after="0"/>
              <w:rPr>
                <w:sz w:val="20"/>
                <w:szCs w:val="20"/>
                <w:color w:val="auto"/>
              </w:rPr>
            </w:pPr>
          </w:p>
        </w:tc>
      </w:tr>
      <w:tr>
        <w:trPr>
          <w:trHeight w:val="242"/>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3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17,522</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14,292</w:t>
            </w:r>
          </w:p>
        </w:tc>
        <w:tc>
          <w:tcPr>
            <w:tcW w:w="140" w:type="dxa"/>
            <w:vAlign w:val="bottom"/>
          </w:tcPr>
          <w:p>
            <w:pPr>
              <w:spacing w:after="0"/>
              <w:rPr>
                <w:sz w:val="21"/>
                <w:szCs w:val="21"/>
                <w:color w:val="auto"/>
              </w:rPr>
            </w:pPr>
          </w:p>
        </w:tc>
      </w:tr>
      <w:tr>
        <w:trPr>
          <w:trHeight w:val="275"/>
        </w:trPr>
        <w:tc>
          <w:tcPr>
            <w:tcW w:w="2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211,710</w:t>
            </w:r>
          </w:p>
        </w:tc>
        <w:tc>
          <w:tcPr>
            <w:tcW w:w="3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192,786</w:t>
            </w:r>
          </w:p>
        </w:tc>
        <w:tc>
          <w:tcPr>
            <w:tcW w:w="3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416,630</w:t>
            </w:r>
          </w:p>
        </w:tc>
        <w:tc>
          <w:tcPr>
            <w:tcW w:w="36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379,609</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-24765</wp:posOffset>
            </wp:positionV>
            <wp:extent cx="850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-7620</wp:posOffset>
            </wp:positionV>
            <wp:extent cx="85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-24765</wp:posOffset>
            </wp:positionV>
            <wp:extent cx="850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-7620</wp:posOffset>
            </wp:positionV>
            <wp:extent cx="850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88" w:lineRule="exact"/>
        <w:rPr>
          <w:sz w:val="20"/>
          <w:szCs w:val="20"/>
          <w:color w:val="auto"/>
        </w:rPr>
      </w:pPr>
    </w:p>
    <w:p>
      <w:pPr>
        <w:ind w:left="520" w:right="120"/>
        <w:spacing w:after="0" w:line="272" w:lineRule="auto"/>
        <w:rPr>
          <w:sz w:val="20"/>
          <w:szCs w:val="20"/>
          <w:color w:val="auto"/>
        </w:rPr>
      </w:pPr>
      <w:r>
        <w:rPr>
          <w:rFonts w:ascii="Arial" w:cs="Arial" w:eastAsia="Arial" w:hAnsi="Arial"/>
          <w:sz w:val="17"/>
          <w:szCs w:val="17"/>
          <w:i w:val="1"/>
          <w:iCs w:val="1"/>
          <w:color w:val="auto"/>
        </w:rPr>
        <w:t>Transaction Price Allocated to the Remaining Performance Obligations</w:t>
      </w:r>
      <w:r>
        <w:rPr>
          <w:rFonts w:ascii="Arial" w:cs="Arial" w:eastAsia="Arial" w:hAnsi="Arial"/>
          <w:sz w:val="17"/>
          <w:szCs w:val="17"/>
          <w:color w:val="auto"/>
        </w:rPr>
        <w:t>—Remaining performance obligations represent contracted revenue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yet been recognized, which includes deferred revenue and amounts that will be invoiced and recognized as revenue in future periods. As of June 30, 2023, approximately $1,464 million of revenue is expected to be recognized from remaining performance obligations in the amount of approximately $559 million during the following twelve months, and approximately $905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3" w:name="page14"/>
    <w:bookmarkEnd w:id="13"/>
    <w:p>
      <w:pPr>
        <w:jc w:val="both"/>
        <w:ind w:left="520" w:right="380"/>
        <w:spacing w:after="0" w:line="261" w:lineRule="auto"/>
        <w:rPr>
          <w:sz w:val="20"/>
          <w:szCs w:val="20"/>
          <w:color w:val="auto"/>
        </w:rPr>
      </w:pPr>
      <w:r>
        <w:rPr>
          <w:rFonts w:ascii="Arial" w:cs="Arial" w:eastAsia="Arial" w:hAnsi="Arial"/>
          <w:sz w:val="18"/>
          <w:szCs w:val="18"/>
          <w:i w:val="1"/>
          <w:iCs w:val="1"/>
          <w:color w:val="auto"/>
        </w:rPr>
        <w:t>Deferred Revenue</w:t>
      </w:r>
      <w:r>
        <w:rPr>
          <w:rFonts w:ascii="Arial" w:cs="Arial" w:eastAsia="Arial" w:hAnsi="Arial"/>
          <w:sz w:val="18"/>
          <w:szCs w:val="18"/>
          <w:color w:val="auto"/>
        </w:rPr>
        <w:t>—Revenue recognized for the three months ended June 30, 2023 from amounts in deferred revenue as of March 31, 2023 was</w:t>
      </w:r>
      <w:r>
        <w:rPr>
          <w:rFonts w:ascii="Arial" w:cs="Arial" w:eastAsia="Arial" w:hAnsi="Arial"/>
          <w:sz w:val="18"/>
          <w:szCs w:val="18"/>
          <w:i w:val="1"/>
          <w:iCs w:val="1"/>
          <w:color w:val="auto"/>
        </w:rPr>
        <w:t xml:space="preserve"> </w:t>
      </w:r>
      <w:r>
        <w:rPr>
          <w:rFonts w:ascii="Arial" w:cs="Arial" w:eastAsia="Arial" w:hAnsi="Arial"/>
          <w:sz w:val="18"/>
          <w:szCs w:val="18"/>
          <w:color w:val="auto"/>
        </w:rPr>
        <w:t>$39.1 million. Revenue recognized for the three months ended June 30, 2022 from amounts in deferred revenue as of March 31, 2022 was $32.2 million</w:t>
      </w:r>
      <w:r>
        <w:rPr>
          <w:rFonts w:ascii="Arial" w:cs="Arial" w:eastAsia="Arial" w:hAnsi="Arial"/>
          <w:sz w:val="21"/>
          <w:szCs w:val="21"/>
          <w:color w:val="auto"/>
        </w:rPr>
        <w:t>.</w:t>
      </w:r>
    </w:p>
    <w:p>
      <w:pPr>
        <w:spacing w:after="0" w:line="67" w:lineRule="exact"/>
        <w:rPr>
          <w:sz w:val="20"/>
          <w:szCs w:val="20"/>
          <w:color w:val="auto"/>
        </w:rPr>
      </w:pPr>
    </w:p>
    <w:p>
      <w:pPr>
        <w:ind w:left="520" w:right="40"/>
        <w:spacing w:after="0" w:line="305" w:lineRule="auto"/>
        <w:rPr>
          <w:sz w:val="20"/>
          <w:szCs w:val="20"/>
          <w:color w:val="auto"/>
        </w:rPr>
      </w:pPr>
      <w:r>
        <w:rPr>
          <w:rFonts w:ascii="Arial" w:cs="Arial" w:eastAsia="Arial" w:hAnsi="Arial"/>
          <w:sz w:val="17"/>
          <w:szCs w:val="17"/>
          <w:color w:val="auto"/>
        </w:rPr>
        <w:t>Revenue recognized for the six months ended June 30, 2023 from amounts in deferred revenue as of December 31, 2022 was $34.6 million. Revenue recognized for the six months ended June 30, 2022 from amounts in deferred revenue as of December 31, 2021 was $30.2 million.</w:t>
      </w:r>
    </w:p>
    <w:p>
      <w:pPr>
        <w:spacing w:after="0" w:line="41" w:lineRule="exact"/>
        <w:rPr>
          <w:sz w:val="20"/>
          <w:szCs w:val="20"/>
          <w:color w:val="auto"/>
        </w:rPr>
      </w:pPr>
    </w:p>
    <w:p>
      <w:pPr>
        <w:ind w:left="520" w:right="580"/>
        <w:spacing w:after="0" w:line="275" w:lineRule="auto"/>
        <w:rPr>
          <w:sz w:val="20"/>
          <w:szCs w:val="20"/>
          <w:color w:val="auto"/>
        </w:rPr>
      </w:pPr>
      <w:r>
        <w:rPr>
          <w:rFonts w:ascii="Arial" w:cs="Arial" w:eastAsia="Arial" w:hAnsi="Arial"/>
          <w:sz w:val="18"/>
          <w:szCs w:val="18"/>
          <w:i w:val="1"/>
          <w:iCs w:val="1"/>
          <w:color w:val="auto"/>
        </w:rPr>
        <w:t>Contract Assets and Liabilities</w:t>
      </w:r>
      <w:r>
        <w:rPr>
          <w:rFonts w:ascii="Arial" w:cs="Arial" w:eastAsia="Arial" w:hAnsi="Arial"/>
          <w:sz w:val="18"/>
          <w:szCs w:val="18"/>
          <w:color w:val="auto"/>
        </w:rPr>
        <w:t>—The opening and closing balances of the Company’s receivables, contract assets and contract liabilities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are as follows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20"/>
                <w:szCs w:val="20"/>
                <w:color w:val="auto"/>
              </w:rPr>
            </w:pPr>
          </w:p>
        </w:tc>
      </w:tr>
      <w:tr>
        <w:trPr>
          <w:trHeight w:val="248"/>
        </w:trPr>
        <w:tc>
          <w:tcPr>
            <w:tcW w:w="7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2"/>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receivables-net of allowances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96,139</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98,353</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16,871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16,556</w:t>
            </w:r>
          </w:p>
        </w:tc>
        <w:tc>
          <w:tcPr>
            <w:tcW w:w="140" w:type="dxa"/>
            <w:vAlign w:val="bottom"/>
          </w:tcPr>
          <w:p>
            <w:pPr>
              <w:spacing w:after="0"/>
              <w:rPr>
                <w:sz w:val="20"/>
                <w:szCs w:val="20"/>
                <w:color w:val="auto"/>
              </w:rPr>
            </w:pPr>
          </w:p>
        </w:tc>
      </w:tr>
      <w:tr>
        <w:trPr>
          <w:trHeight w:val="24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contract costs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20,161</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Other assets (accounts receivable, non-current)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16,437</w:t>
            </w:r>
          </w:p>
        </w:tc>
        <w:tc>
          <w:tcPr>
            <w:tcW w:w="140" w:type="dxa"/>
            <w:vAlign w:val="bottom"/>
          </w:tcPr>
          <w:p>
            <w:pPr>
              <w:spacing w:after="0"/>
              <w:rPr>
                <w:sz w:val="20"/>
                <w:szCs w:val="20"/>
                <w:color w:val="auto"/>
              </w:rPr>
            </w:pPr>
          </w:p>
        </w:tc>
      </w:tr>
      <w:tr>
        <w:trPr>
          <w:trHeight w:val="24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40,064</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35,239</w:t>
            </w:r>
          </w:p>
        </w:tc>
        <w:tc>
          <w:tcPr>
            <w:tcW w:w="140" w:type="dxa"/>
            <w:vAlign w:val="bottom"/>
            <w:shd w:val="clear" w:color="auto" w:fill="CFF0FC"/>
          </w:tcPr>
          <w:p>
            <w:pPr>
              <w:spacing w:after="0"/>
              <w:rPr>
                <w:sz w:val="21"/>
                <w:szCs w:val="2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Other liabilities (deferred revenues, non-current)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1,240</w:t>
            </w:r>
          </w:p>
        </w:tc>
        <w:tc>
          <w:tcPr>
            <w:tcW w:w="140" w:type="dxa"/>
            <w:vAlign w:val="bottom"/>
          </w:tcPr>
          <w:p>
            <w:pPr>
              <w:spacing w:after="0"/>
              <w:rPr>
                <w:sz w:val="19"/>
                <w:szCs w:val="19"/>
                <w:color w:val="auto"/>
              </w:rPr>
            </w:pPr>
          </w:p>
        </w:tc>
      </w:tr>
    </w:tbl>
    <w:p>
      <w:pPr>
        <w:spacing w:after="0" w:line="105" w:lineRule="exact"/>
        <w:rPr>
          <w:sz w:val="20"/>
          <w:szCs w:val="20"/>
          <w:color w:val="auto"/>
        </w:rPr>
      </w:pPr>
    </w:p>
    <w:p>
      <w:pPr>
        <w:jc w:val="both"/>
        <w:ind w:left="520" w:right="20"/>
        <w:spacing w:after="0" w:line="306" w:lineRule="auto"/>
        <w:rPr>
          <w:sz w:val="20"/>
          <w:szCs w:val="20"/>
          <w:color w:val="auto"/>
        </w:rPr>
      </w:pPr>
      <w:r>
        <w:rPr>
          <w:rFonts w:ascii="Arial" w:cs="Arial" w:eastAsia="Arial" w:hAnsi="Arial"/>
          <w:sz w:val="18"/>
          <w:szCs w:val="18"/>
          <w:color w:val="auto"/>
        </w:rPr>
        <w:t>A summary of the activity impacting deferred revenue balances during the three and six months ended June 30, 2023 and 2022 is presented below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5"/>
              </w:rPr>
              <w:t>For the Three Months Ended</w:t>
            </w:r>
          </w:p>
        </w:tc>
        <w:tc>
          <w:tcPr>
            <w:tcW w:w="200" w:type="dxa"/>
            <w:vAlign w:val="bottom"/>
          </w:tcPr>
          <w:p>
            <w:pPr>
              <w:spacing w:after="0"/>
              <w:rPr>
                <w:sz w:val="20"/>
                <w:szCs w:val="20"/>
                <w:color w:val="auto"/>
              </w:rPr>
            </w:pPr>
          </w:p>
        </w:tc>
        <w:tc>
          <w:tcPr>
            <w:tcW w:w="24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48"/>
        </w:trPr>
        <w:tc>
          <w:tcPr>
            <w:tcW w:w="4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34,900</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36,479</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32,616</w:t>
            </w:r>
          </w:p>
        </w:tc>
        <w:tc>
          <w:tcPr>
            <w:tcW w:w="140" w:type="dxa"/>
            <w:vAlign w:val="bottom"/>
            <w:shd w:val="clear" w:color="auto" w:fill="CFF0FC"/>
          </w:tcPr>
          <w:p>
            <w:pPr>
              <w:spacing w:after="0"/>
              <w:rPr>
                <w:sz w:val="20"/>
                <w:szCs w:val="20"/>
                <w:color w:val="auto"/>
              </w:rPr>
            </w:pPr>
          </w:p>
        </w:tc>
      </w:tr>
      <w:tr>
        <w:trPr>
          <w:trHeight w:val="242"/>
        </w:trPr>
        <w:tc>
          <w:tcPr>
            <w:tcW w:w="4800" w:type="dxa"/>
            <w:vAlign w:val="bottom"/>
          </w:tcPr>
          <w:p>
            <w:pPr>
              <w:ind w:left="180"/>
              <w:spacing w:after="0" w:line="242" w:lineRule="exact"/>
              <w:rPr>
                <w:sz w:val="20"/>
                <w:szCs w:val="20"/>
                <w:color w:val="auto"/>
              </w:rPr>
            </w:pPr>
            <w:r>
              <w:rPr>
                <w:rFonts w:ascii="Arial" w:cs="Arial" w:eastAsia="Arial" w:hAnsi="Arial"/>
                <w:sz w:val="18"/>
                <w:szCs w:val="18"/>
                <w:color w:val="auto"/>
              </w:rPr>
              <w:t>Revenue recognized</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(111,533 )</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(92,823 )</w:t>
            </w:r>
          </w:p>
        </w:tc>
        <w:tc>
          <w:tcPr>
            <w:tcW w:w="20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(214,718 )</w:t>
            </w: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(182,255 )</w:t>
            </w:r>
          </w:p>
        </w:tc>
      </w:tr>
      <w:tr>
        <w:trPr>
          <w:trHeight w:val="242"/>
        </w:trPr>
        <w:tc>
          <w:tcPr>
            <w:tcW w:w="4800" w:type="dxa"/>
            <w:vAlign w:val="bottom"/>
            <w:tcBorders>
              <w:bottom w:val="single" w:sz="8" w:color="CFF0FC"/>
            </w:tcBorders>
            <w:shd w:val="clear" w:color="auto" w:fill="CFF0FC"/>
          </w:tcPr>
          <w:p>
            <w:pPr>
              <w:ind w:left="180"/>
              <w:spacing w:after="0" w:line="242" w:lineRule="exact"/>
              <w:rPr>
                <w:sz w:val="20"/>
                <w:szCs w:val="20"/>
                <w:color w:val="auto"/>
              </w:rPr>
            </w:pPr>
            <w:r>
              <w:rPr>
                <w:rFonts w:ascii="Arial" w:cs="Arial" w:eastAsia="Arial" w:hAnsi="Arial"/>
                <w:sz w:val="18"/>
                <w:szCs w:val="18"/>
                <w:color w:val="auto"/>
              </w:rPr>
              <w:t>Additional amounts deferred</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111,314</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219,442</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184,381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41,203</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41,203</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1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2"/>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4800" w:type="dxa"/>
            <w:vAlign w:val="bottom"/>
          </w:tcPr>
          <w:p>
            <w:pPr>
              <w:ind w:left="1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40,064</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33,298</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40,064</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33,298</w:t>
            </w:r>
          </w:p>
        </w:tc>
        <w:tc>
          <w:tcPr>
            <w:tcW w:w="140" w:type="dxa"/>
            <w:vAlign w:val="bottom"/>
          </w:tcPr>
          <w:p>
            <w:pPr>
              <w:spacing w:after="0"/>
              <w:rPr>
                <w:sz w:val="20"/>
                <w:szCs w:val="20"/>
                <w:color w:val="auto"/>
              </w:rPr>
            </w:pPr>
          </w:p>
        </w:tc>
      </w:tr>
      <w:tr>
        <w:trPr>
          <w:trHeight w:val="242"/>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Total deferred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41,203</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41,203</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14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-989330</wp:posOffset>
            </wp:positionV>
            <wp:extent cx="76835" cy="3409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34099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-989330</wp:posOffset>
            </wp:positionV>
            <wp:extent cx="85090" cy="3409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090" cy="340995"/>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-989330</wp:posOffset>
            </wp:positionV>
            <wp:extent cx="76835" cy="3409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34099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-989330</wp:posOffset>
            </wp:positionV>
            <wp:extent cx="85090" cy="3409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090" cy="340995"/>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-187325</wp:posOffset>
            </wp:positionV>
            <wp:extent cx="76835" cy="1879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-187325</wp:posOffset>
            </wp:positionV>
            <wp:extent cx="85090" cy="1879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-187325</wp:posOffset>
            </wp:positionV>
            <wp:extent cx="76835" cy="1879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090" cy="187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46" w:lineRule="exact"/>
        <w:rPr>
          <w:sz w:val="20"/>
          <w:szCs w:val="20"/>
          <w:color w:val="auto"/>
        </w:rPr>
      </w:pPr>
    </w:p>
    <w:p>
      <w:pPr>
        <w:ind w:left="620" w:hanging="103"/>
        <w:spacing w:after="0"/>
        <w:tabs>
          <w:tab w:leader="none" w:pos="62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Amounts include total revenue deferred and recognized during each respective period.</w:t>
      </w:r>
    </w:p>
    <w:p>
      <w:pPr>
        <w:spacing w:after="0" w:line="87" w:lineRule="exact"/>
        <w:rPr>
          <w:sz w:val="20"/>
          <w:szCs w:val="20"/>
          <w:color w:val="auto"/>
        </w:rPr>
      </w:pPr>
    </w:p>
    <w:p>
      <w:pPr>
        <w:ind w:left="520" w:right="20"/>
        <w:spacing w:after="0" w:line="275" w:lineRule="auto"/>
        <w:rPr>
          <w:sz w:val="20"/>
          <w:szCs w:val="20"/>
          <w:color w:val="auto"/>
        </w:rPr>
      </w:pPr>
      <w:r>
        <w:rPr>
          <w:rFonts w:ascii="Arial" w:cs="Arial" w:eastAsia="Arial" w:hAnsi="Arial"/>
          <w:sz w:val="18"/>
          <w:szCs w:val="18"/>
          <w:color w:val="auto"/>
        </w:rPr>
        <w:t>A summary of the activity impacting the deferred contract costs during the three and six months ended June 30, 2023 and 2022 is presented below (in thousands):</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5"/>
              </w:rPr>
              <w:t>For the Three Months Ended</w:t>
            </w:r>
          </w:p>
        </w:tc>
        <w:tc>
          <w:tcPr>
            <w:tcW w:w="300" w:type="dxa"/>
            <w:vAlign w:val="bottom"/>
          </w:tcPr>
          <w:p>
            <w:pPr>
              <w:spacing w:after="0"/>
              <w:rPr>
                <w:sz w:val="20"/>
                <w:szCs w:val="20"/>
                <w:color w:val="auto"/>
              </w:rPr>
            </w:pPr>
          </w:p>
        </w:tc>
        <w:tc>
          <w:tcPr>
            <w:tcW w:w="28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48"/>
        </w:trPr>
        <w:tc>
          <w:tcPr>
            <w:tcW w:w="4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37,551</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36,948</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36,717</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37,186</w:t>
            </w:r>
          </w:p>
        </w:tc>
        <w:tc>
          <w:tcPr>
            <w:tcW w:w="140" w:type="dxa"/>
            <w:vAlign w:val="bottom"/>
            <w:shd w:val="clear" w:color="auto" w:fill="CFF0FC"/>
          </w:tcPr>
          <w:p>
            <w:pPr>
              <w:spacing w:after="0"/>
              <w:rPr>
                <w:sz w:val="20"/>
                <w:szCs w:val="20"/>
                <w:color w:val="auto"/>
              </w:rPr>
            </w:pPr>
          </w:p>
        </w:tc>
      </w:tr>
      <w:tr>
        <w:trPr>
          <w:trHeight w:val="236"/>
        </w:trPr>
        <w:tc>
          <w:tcPr>
            <w:tcW w:w="4220" w:type="dxa"/>
            <w:vAlign w:val="bottom"/>
          </w:tcPr>
          <w:p>
            <w:pPr>
              <w:ind w:left="180"/>
              <w:spacing w:after="0"/>
              <w:rPr>
                <w:sz w:val="20"/>
                <w:szCs w:val="20"/>
                <w:color w:val="auto"/>
              </w:rPr>
            </w:pPr>
            <w:r>
              <w:rPr>
                <w:rFonts w:ascii="Arial" w:cs="Arial" w:eastAsia="Arial" w:hAnsi="Arial"/>
                <w:sz w:val="18"/>
                <w:szCs w:val="18"/>
                <w:color w:val="auto"/>
              </w:rPr>
              <w:t>Costs amortized</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(4,637 )</w:t>
            </w:r>
          </w:p>
        </w:tc>
        <w:tc>
          <w:tcPr>
            <w:tcW w:w="3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(4,407 )</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(9,423 )</w:t>
            </w:r>
          </w:p>
        </w:tc>
        <w:tc>
          <w:tcPr>
            <w:tcW w:w="3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(8,628 )</w:t>
            </w:r>
          </w:p>
        </w:tc>
      </w:tr>
      <w:tr>
        <w:trPr>
          <w:trHeight w:val="248"/>
        </w:trPr>
        <w:tc>
          <w:tcPr>
            <w:tcW w:w="4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Additional amounts deferred</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36,351</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35,890</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36,351</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35,890</w:t>
            </w:r>
          </w:p>
        </w:tc>
        <w:tc>
          <w:tcPr>
            <w:tcW w:w="14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2"/>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4220" w:type="dxa"/>
            <w:vAlign w:val="bottom"/>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16,871</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16,021</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16,871</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16,021</w:t>
            </w:r>
          </w:p>
        </w:tc>
        <w:tc>
          <w:tcPr>
            <w:tcW w:w="140" w:type="dxa"/>
            <w:vAlign w:val="bottom"/>
          </w:tcPr>
          <w:p>
            <w:pPr>
              <w:spacing w:after="0"/>
              <w:rPr>
                <w:sz w:val="20"/>
                <w:szCs w:val="20"/>
                <w:color w:val="auto"/>
              </w:rPr>
            </w:pPr>
          </w:p>
        </w:tc>
      </w:tr>
      <w:tr>
        <w:trPr>
          <w:trHeight w:val="248"/>
        </w:trPr>
        <w:tc>
          <w:tcPr>
            <w:tcW w:w="4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Non-current</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color w:val="auto"/>
              </w:rPr>
              <w:t>Total deferred contract costs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36,351</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35,890</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36,351</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35,890</w:t>
            </w:r>
          </w:p>
        </w:tc>
        <w:tc>
          <w:tcPr>
            <w:tcW w:w="14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-989330</wp:posOffset>
            </wp:positionV>
            <wp:extent cx="76835" cy="3409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34099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-989330</wp:posOffset>
            </wp:positionV>
            <wp:extent cx="85090" cy="3409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090" cy="340995"/>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-989330</wp:posOffset>
            </wp:positionV>
            <wp:extent cx="76835" cy="3409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34099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-989330</wp:posOffset>
            </wp:positionV>
            <wp:extent cx="85090" cy="3409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090" cy="34099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-187325</wp:posOffset>
            </wp:positionV>
            <wp:extent cx="76835" cy="187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-187325</wp:posOffset>
            </wp:positionV>
            <wp:extent cx="85090" cy="1879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-187325</wp:posOffset>
            </wp:positionV>
            <wp:extent cx="76835" cy="187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090" cy="1879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284"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on a Recurring Basis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i w:val="1"/>
          <w:iCs w:val="1"/>
          <w:color w:val="auto"/>
        </w:rPr>
        <w:t>Private Warrants</w:t>
      </w:r>
      <w:r>
        <w:rPr>
          <w:rFonts w:ascii="Arial" w:cs="Arial" w:eastAsia="Arial" w:hAnsi="Arial"/>
          <w:sz w:val="16"/>
          <w:szCs w:val="16"/>
          <w:color w:val="auto"/>
        </w:rPr>
        <w:t>—As of June 30, 2023, the Company's Private Warrants are recognized as liabilities and measured at fair value on a recurring basis.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4" w:name="page15"/>
    <w:bookmarkEnd w:id="14"/>
    <w:p>
      <w:pPr>
        <w:ind w:left="520" w:right="80"/>
        <w:spacing w:after="0" w:line="310" w:lineRule="auto"/>
        <w:rPr>
          <w:sz w:val="20"/>
          <w:szCs w:val="20"/>
          <w:color w:val="auto"/>
        </w:rPr>
      </w:pPr>
      <w:r>
        <w:rPr>
          <w:rFonts w:ascii="Arial" w:cs="Arial" w:eastAsia="Arial" w:hAnsi="Arial"/>
          <w:sz w:val="16"/>
          <w:szCs w:val="16"/>
          <w:color w:val="auto"/>
        </w:rPr>
        <w:t>The Private Warrants are valued using Level 1 and Level 2 inputs within the Black-Scholes option 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40" w:lineRule="exact"/>
        <w:rPr>
          <w:sz w:val="20"/>
          <w:szCs w:val="20"/>
          <w:color w:val="auto"/>
        </w:rPr>
      </w:pPr>
    </w:p>
    <w:p>
      <w:pPr>
        <w:ind w:left="520" w:right="400"/>
        <w:spacing w:after="0" w:line="275" w:lineRule="auto"/>
        <w:rPr>
          <w:sz w:val="20"/>
          <w:szCs w:val="20"/>
          <w:color w:val="auto"/>
        </w:rPr>
      </w:pPr>
      <w:r>
        <w:rPr>
          <w:rFonts w:ascii="Arial" w:cs="Arial" w:eastAsia="Arial" w:hAnsi="Arial"/>
          <w:sz w:val="18"/>
          <w:szCs w:val="18"/>
          <w:color w:val="auto"/>
        </w:rPr>
        <w:t>The valuation of the Private Warrants as of June 30, 2023 and December 31, 2022 was determined using the Black-Scholes option pricing model using the following assumptions: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180" w:type="dxa"/>
            <w:vAlign w:val="bottom"/>
          </w:tcPr>
          <w:p>
            <w:pPr>
              <w:ind w:left="480"/>
              <w:spacing w:after="0"/>
              <w:rPr>
                <w:sz w:val="20"/>
                <w:szCs w:val="20"/>
                <w:color w:val="auto"/>
              </w:rPr>
            </w:pPr>
            <w:r>
              <w:rPr>
                <w:rFonts w:ascii="Arial" w:cs="Arial" w:eastAsia="Arial" w:hAnsi="Arial"/>
                <w:sz w:val="18"/>
                <w:szCs w:val="18"/>
                <w:b w:val="1"/>
                <w:bCs w:val="1"/>
                <w:color w:val="auto"/>
                <w:w w:val="94"/>
              </w:rPr>
              <w:t>June 30,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248"/>
        </w:trPr>
        <w:tc>
          <w:tcPr>
            <w:tcW w:w="8260" w:type="dxa"/>
            <w:vAlign w:val="bottom"/>
            <w:gridSpan w:val="2"/>
          </w:tcPr>
          <w:p>
            <w:pPr>
              <w:ind w:left="770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2"/>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34 %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40" w:type="dxa"/>
            <w:vAlign w:val="bottom"/>
          </w:tcPr>
          <w:p>
            <w:pPr>
              <w:spacing w:after="0"/>
              <w:rPr>
                <w:sz w:val="19"/>
                <w:szCs w:val="19"/>
                <w:color w:val="auto"/>
              </w:rPr>
            </w:pPr>
          </w:p>
        </w:tc>
      </w:tr>
      <w:tr>
        <w:trPr>
          <w:trHeight w:val="254"/>
        </w:trPr>
        <w:tc>
          <w:tcPr>
            <w:tcW w:w="8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2"/>
                <w:szCs w:val="22"/>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4.48 %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4.15 %</w:t>
            </w:r>
          </w:p>
        </w:tc>
        <w:tc>
          <w:tcPr>
            <w:tcW w:w="40" w:type="dxa"/>
            <w:vAlign w:val="bottom"/>
          </w:tcPr>
          <w:p>
            <w:pPr>
              <w:spacing w:after="0"/>
              <w:rPr>
                <w:sz w:val="19"/>
                <w:szCs w:val="19"/>
                <w:color w:val="auto"/>
              </w:rPr>
            </w:pPr>
          </w:p>
        </w:tc>
      </w:tr>
    </w:tbl>
    <w:p>
      <w:pPr>
        <w:spacing w:after="0" w:line="105" w:lineRule="exact"/>
        <w:rPr>
          <w:sz w:val="20"/>
          <w:szCs w:val="20"/>
          <w:color w:val="auto"/>
        </w:rPr>
      </w:pPr>
    </w:p>
    <w:p>
      <w:pPr>
        <w:ind w:left="520" w:right="160"/>
        <w:spacing w:after="0" w:line="275" w:lineRule="auto"/>
        <w:rPr>
          <w:sz w:val="20"/>
          <w:szCs w:val="20"/>
          <w:color w:val="auto"/>
        </w:rPr>
      </w:pPr>
      <w:r>
        <w:rPr>
          <w:rFonts w:ascii="Arial" w:cs="Arial" w:eastAsia="Arial" w:hAnsi="Arial"/>
          <w:sz w:val="18"/>
          <w:szCs w:val="18"/>
          <w:color w:val="auto"/>
        </w:rPr>
        <w:t>The estimated fair value of each Private Warrant using the Company's stock price on the valuation date and above assumptions was $3.12 and $2.05 as of June 30, 2023 and December 31, 2022, respectively.</w:t>
      </w:r>
    </w:p>
    <w:p>
      <w:pPr>
        <w:spacing w:after="0" w:line="63" w:lineRule="exact"/>
        <w:rPr>
          <w:sz w:val="20"/>
          <w:szCs w:val="20"/>
          <w:color w:val="auto"/>
        </w:rPr>
      </w:pPr>
    </w:p>
    <w:p>
      <w:pPr>
        <w:ind w:left="520" w:right="320"/>
        <w:spacing w:after="0" w:line="258" w:lineRule="auto"/>
        <w:rPr>
          <w:sz w:val="20"/>
          <w:szCs w:val="20"/>
          <w:color w:val="auto"/>
        </w:rPr>
      </w:pPr>
      <w:r>
        <w:rPr>
          <w:rFonts w:ascii="Arial" w:cs="Arial" w:eastAsia="Arial" w:hAnsi="Arial"/>
          <w:sz w:val="18"/>
          <w:szCs w:val="18"/>
          <w:i w:val="1"/>
          <w:iCs w:val="1"/>
          <w:color w:val="auto"/>
        </w:rPr>
        <w:t>Contingent Consideration Liability</w:t>
      </w:r>
      <w:r>
        <w:rPr>
          <w:rFonts w:ascii="Arial" w:cs="Arial" w:eastAsia="Arial" w:hAnsi="Arial"/>
          <w:sz w:val="18"/>
          <w:szCs w:val="18"/>
          <w:color w:val="auto"/>
        </w:rPr>
        <w:t>—The contingent consideration liability related to the acquisition of Safekeep (see Note 3), recognized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liabilities on the condensed consolidated balance sheet, is adjusted each reporting period for changes in fair value, which can result from changes in anticipated payments and changes in assumed discount rates. These inputs are unobservable in the market and therefore categorized as Level 3 inputs.</w:t>
      </w:r>
    </w:p>
    <w:p>
      <w:pPr>
        <w:spacing w:after="0" w:line="77" w:lineRule="exact"/>
        <w:rPr>
          <w:sz w:val="20"/>
          <w:szCs w:val="20"/>
          <w:color w:val="auto"/>
        </w:rPr>
      </w:pPr>
    </w:p>
    <w:p>
      <w:pPr>
        <w:ind w:left="520" w:right="600"/>
        <w:spacing w:after="0" w:line="275" w:lineRule="auto"/>
        <w:rPr>
          <w:sz w:val="20"/>
          <w:szCs w:val="20"/>
          <w:color w:val="auto"/>
        </w:rPr>
      </w:pPr>
      <w:r>
        <w:rPr>
          <w:rFonts w:ascii="Arial" w:cs="Arial" w:eastAsia="Arial" w:hAnsi="Arial"/>
          <w:sz w:val="18"/>
          <w:szCs w:val="18"/>
          <w:color w:val="auto"/>
        </w:rPr>
        <w:t>The estimated fair value of the contingent consideration was determined using probability-weighted discounted cash flows and a Monte Carlo simulation model. The discount rate, based on the Company's estimated cost of debt, was 10%.</w:t>
      </w:r>
    </w:p>
    <w:p>
      <w:pPr>
        <w:spacing w:after="0" w:line="63" w:lineRule="exact"/>
        <w:rPr>
          <w:sz w:val="20"/>
          <w:szCs w:val="20"/>
          <w:color w:val="auto"/>
        </w:rPr>
      </w:pPr>
    </w:p>
    <w:p>
      <w:pPr>
        <w:ind w:left="520" w:right="240"/>
        <w:spacing w:after="0" w:line="255" w:lineRule="auto"/>
        <w:rPr>
          <w:sz w:val="20"/>
          <w:szCs w:val="20"/>
          <w:color w:val="auto"/>
        </w:rPr>
      </w:pPr>
      <w:r>
        <w:rPr>
          <w:rFonts w:ascii="Arial" w:cs="Arial" w:eastAsia="Arial" w:hAnsi="Arial"/>
          <w:sz w:val="18"/>
          <w:szCs w:val="18"/>
          <w:color w:val="auto"/>
        </w:rPr>
        <w:t>As of December 31, 2022, the contingent consideration liability had a fair value of $0.1 million. As of June 30, 2023, there were no significant changes to the inputs used within the Monte Carlo simulation model and the estimated fair value of the contingent consideration liability was $0.1 million. The contingent consideration liability is classified within other liabilities in the accompanying condensed consolidated balance sheets. The Company did not recognize any change in the estimated fair value of the contingent consideration liability during the three and six months ended June 30, 2023.</w:t>
      </w:r>
    </w:p>
    <w:p>
      <w:pPr>
        <w:spacing w:after="0" w:line="83" w:lineRule="exact"/>
        <w:rPr>
          <w:sz w:val="20"/>
          <w:szCs w:val="20"/>
          <w:color w:val="auto"/>
        </w:rPr>
      </w:pPr>
    </w:p>
    <w:p>
      <w:pPr>
        <w:ind w:left="520" w:right="160"/>
        <w:spacing w:after="0" w:line="258"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—In August 2022, the Company entered into two interest rate cap agreements to reduce its exposure to increases in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its floating rate long-term debt (see Note 14). The fair value of the interest rate cap agreements was estimated using inputs that were observable or that could be corroborated by observable market data and therefore was classified within Level 2 of the fair value hierarchy as of June 30, 2023 and December 31, 2022.</w:t>
      </w:r>
    </w:p>
    <w:p>
      <w:pPr>
        <w:spacing w:after="0" w:line="77" w:lineRule="exact"/>
        <w:rPr>
          <w:sz w:val="20"/>
          <w:szCs w:val="20"/>
          <w:color w:val="auto"/>
        </w:rPr>
      </w:pPr>
    </w:p>
    <w:p>
      <w:pPr>
        <w:jc w:val="both"/>
        <w:ind w:left="520" w:right="240"/>
        <w:spacing w:after="0" w:line="262" w:lineRule="auto"/>
        <w:rPr>
          <w:sz w:val="20"/>
          <w:szCs w:val="20"/>
          <w:color w:val="auto"/>
        </w:rPr>
      </w:pPr>
      <w:r>
        <w:rPr>
          <w:rFonts w:ascii="Arial" w:cs="Arial" w:eastAsia="Arial" w:hAnsi="Arial"/>
          <w:sz w:val="18"/>
          <w:szCs w:val="18"/>
          <w:color w:val="auto"/>
        </w:rPr>
        <w:t>The Company did not designate its interest rate cap agreements as hedging instruments and records the changes in fair value within earnings. As of June 30, 2023 and December 31, 2022, the interest rate cap agreements had a fair value of $13.0 million and $12.0 million, respectively, classified within other assets in the accompanying condensed consolidated balance sheets.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of the assets and liabilities measured at fair value on a recurring basis as of June 30, 2023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Interest rate cap</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5"/>
        </w:trPr>
        <w:tc>
          <w:tcPr>
            <w:tcW w:w="580" w:type="dxa"/>
            <w:vAlign w:val="bottom"/>
          </w:tcPr>
          <w:p>
            <w:pPr>
              <w:spacing w:after="0"/>
              <w:rPr>
                <w:sz w:val="23"/>
                <w:szCs w:val="23"/>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12,960</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12,960</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18"/>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6"/>
        </w:trPr>
        <w:tc>
          <w:tcPr>
            <w:tcW w:w="580" w:type="dxa"/>
            <w:vAlign w:val="bottom"/>
          </w:tcPr>
          <w:p>
            <w:pPr>
              <w:spacing w:after="0"/>
              <w:rPr>
                <w:sz w:val="21"/>
                <w:szCs w:val="21"/>
                <w:color w:val="auto"/>
              </w:rPr>
            </w:pPr>
          </w:p>
        </w:tc>
        <w:tc>
          <w:tcPr>
            <w:tcW w:w="45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8"/>
              </w:rPr>
              <w:t>Contingent consideration related to business acquisition</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Private Warrants</w:t>
            </w:r>
          </w:p>
        </w:tc>
        <w:tc>
          <w:tcPr>
            <w:tcW w:w="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5"/>
        </w:trPr>
        <w:tc>
          <w:tcPr>
            <w:tcW w:w="580" w:type="dxa"/>
            <w:vAlign w:val="bottom"/>
          </w:tcPr>
          <w:p>
            <w:pPr>
              <w:spacing w:after="0"/>
              <w:rPr>
                <w:sz w:val="23"/>
                <w:szCs w:val="23"/>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55,685</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55,585</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626"/>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-1159510</wp:posOffset>
            </wp:positionV>
            <wp:extent cx="2704465" cy="1790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04465" cy="17907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-511175</wp:posOffset>
            </wp:positionV>
            <wp:extent cx="850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-494030</wp:posOffset>
            </wp:positionV>
            <wp:extent cx="850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-511175</wp:posOffset>
            </wp:positionV>
            <wp:extent cx="850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-494030</wp:posOffset>
            </wp:positionV>
            <wp:extent cx="850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-511175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-494030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-511175</wp:posOffset>
            </wp:positionV>
            <wp:extent cx="850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-494030</wp:posOffset>
            </wp:positionV>
            <wp:extent cx="850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80"/>
          </w:cols>
          <w:pgMar w:left="320" w:top="448" w:right="299" w:bottom="1440" w:gutter="0" w:footer="0" w:header="0"/>
        </w:sectPr>
      </w:pPr>
    </w:p>
    <w:bookmarkStart w:id="15" w:name="page16"/>
    <w:bookmarkEnd w:id="15"/>
    <w:p>
      <w:pPr>
        <w:ind w:left="520" w:right="580"/>
        <w:spacing w:after="0" w:line="275" w:lineRule="auto"/>
        <w:rPr>
          <w:sz w:val="20"/>
          <w:szCs w:val="20"/>
          <w:color w:val="auto"/>
        </w:rPr>
      </w:pPr>
      <w:r>
        <w:rPr>
          <w:rFonts w:ascii="Arial" w:cs="Arial" w:eastAsia="Arial" w:hAnsi="Arial"/>
          <w:sz w:val="18"/>
          <w:szCs w:val="18"/>
          <w:color w:val="auto"/>
        </w:rPr>
        <w:t>The following table presents the fair value of the assets and liabilities measured at fair value on a recurring basis as of December 31, 2022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40"/>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20"/>
                <w:szCs w:val="20"/>
                <w:color w:val="auto"/>
              </w:rPr>
            </w:pPr>
          </w:p>
        </w:tc>
      </w:tr>
      <w:tr>
        <w:trPr>
          <w:trHeight w:val="242"/>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2"/>
        </w:trPr>
        <w:tc>
          <w:tcPr>
            <w:tcW w:w="5320" w:type="dxa"/>
            <w:vAlign w:val="bottom"/>
          </w:tcPr>
          <w:p>
            <w:pPr>
              <w:ind w:left="100"/>
              <w:spacing w:after="0"/>
              <w:rPr>
                <w:sz w:val="20"/>
                <w:szCs w:val="20"/>
                <w:color w:val="auto"/>
              </w:rPr>
            </w:pPr>
            <w:r>
              <w:rPr>
                <w:rFonts w:ascii="Arial" w:cs="Arial" w:eastAsia="Arial" w:hAnsi="Arial"/>
                <w:sz w:val="18"/>
                <w:szCs w:val="18"/>
                <w:color w:val="auto"/>
              </w:rPr>
              <w:t>Interest rate cap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5"/>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6"/>
        </w:trPr>
        <w:tc>
          <w:tcPr>
            <w:tcW w:w="53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Contingent consideration related to business acquisition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21"/>
                <w:szCs w:val="21"/>
                <w:color w:val="auto"/>
              </w:rPr>
            </w:pPr>
          </w:p>
        </w:tc>
      </w:tr>
      <w:tr>
        <w:trPr>
          <w:trHeight w:val="242"/>
        </w:trPr>
        <w:tc>
          <w:tcPr>
            <w:tcW w:w="5320" w:type="dxa"/>
            <w:vAlign w:val="bottom"/>
          </w:tcPr>
          <w:p>
            <w:pPr>
              <w:ind w:left="100"/>
              <w:spacing w:after="0"/>
              <w:rPr>
                <w:sz w:val="20"/>
                <w:szCs w:val="20"/>
                <w:color w:val="auto"/>
              </w:rPr>
            </w:pPr>
            <w:r>
              <w:rPr>
                <w:rFonts w:ascii="Arial" w:cs="Arial" w:eastAsia="Arial" w:hAnsi="Arial"/>
                <w:sz w:val="18"/>
                <w:szCs w:val="18"/>
                <w:color w:val="auto"/>
              </w:rPr>
              <w:t>Private Warrants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5"/>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36,505</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36,405</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-673100</wp:posOffset>
            </wp:positionV>
            <wp:extent cx="2704465" cy="1790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04465" cy="17907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-24765</wp:posOffset>
            </wp:positionV>
            <wp:extent cx="850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-7620</wp:posOffset>
            </wp:positionV>
            <wp:extent cx="850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-24765</wp:posOffset>
            </wp:positionV>
            <wp:extent cx="850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-7620</wp:posOffset>
            </wp:positionV>
            <wp:extent cx="850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69" w:lineRule="exact"/>
        <w:rPr>
          <w:sz w:val="20"/>
          <w:szCs w:val="20"/>
          <w:color w:val="auto"/>
        </w:rPr>
      </w:pPr>
    </w:p>
    <w:p>
      <w:pPr>
        <w:ind w:left="520" w:right="120"/>
        <w:spacing w:after="0" w:line="255" w:lineRule="auto"/>
        <w:rPr>
          <w:sz w:val="20"/>
          <w:szCs w:val="20"/>
          <w:color w:val="auto"/>
        </w:rPr>
      </w:pPr>
      <w:r>
        <w:rPr>
          <w:rFonts w:ascii="Arial" w:cs="Arial" w:eastAsia="Arial" w:hAnsi="Arial"/>
          <w:sz w:val="18"/>
          <w:szCs w:val="18"/>
          <w:b w:val="1"/>
          <w:bCs w:val="1"/>
          <w:color w:val="auto"/>
        </w:rPr>
        <w:t>Assets and Liabilities Measured at Fair Value on a Nonrecurring Basis</w:t>
      </w:r>
      <w:r>
        <w:rPr>
          <w:rFonts w:ascii="Arial" w:cs="Arial" w:eastAsia="Arial" w:hAnsi="Arial"/>
          <w:sz w:val="18"/>
          <w:szCs w:val="18"/>
          <w:color w:val="auto"/>
        </w:rPr>
        <w:t>—The Company has assets that under certain conditions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During the three and six months ended June 30, 2023, the Company recognized impairment charges of goodwill and definite-lived intangible assets (see Note 11). During the three and six months ended June 30, 2022, the Company recognized no impairment related to these assets.</w:t>
      </w:r>
    </w:p>
    <w:p>
      <w:pPr>
        <w:spacing w:after="0" w:line="91" w:lineRule="exact"/>
        <w:rPr>
          <w:sz w:val="20"/>
          <w:szCs w:val="20"/>
          <w:color w:val="auto"/>
        </w:rPr>
      </w:pPr>
    </w:p>
    <w:p>
      <w:pPr>
        <w:ind w:left="520" w:right="60"/>
        <w:spacing w:after="0" w:line="345" w:lineRule="auto"/>
        <w:rPr>
          <w:sz w:val="20"/>
          <w:szCs w:val="20"/>
          <w:color w:val="auto"/>
        </w:rPr>
      </w:pPr>
      <w:r>
        <w:rPr>
          <w:rFonts w:ascii="Arial" w:cs="Arial" w:eastAsia="Arial" w:hAnsi="Arial"/>
          <w:sz w:val="16"/>
          <w:szCs w:val="16"/>
          <w:b w:val="1"/>
          <w:bCs w:val="1"/>
          <w:color w:val="auto"/>
        </w:rPr>
        <w:t>Fair Value of Other Financial Instruments</w:t>
      </w:r>
      <w:r>
        <w:rPr>
          <w:rFonts w:ascii="Arial" w:cs="Arial" w:eastAsia="Arial" w:hAnsi="Arial"/>
          <w:sz w:val="16"/>
          <w:szCs w:val="16"/>
          <w:color w:val="auto"/>
        </w:rPr>
        <w:t>—The following table presents the carrying amounts, net of debt discount, and the estimated fair values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financial instruments that are not recorded at fair value on the condensed consolidated balance sheets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40"/>
        </w:trPr>
        <w:tc>
          <w:tcPr>
            <w:tcW w:w="5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20"/>
                <w:szCs w:val="20"/>
                <w:color w:val="auto"/>
              </w:rPr>
            </w:pPr>
          </w:p>
        </w:tc>
      </w:tr>
      <w:tr>
        <w:trPr>
          <w:trHeight w:val="234"/>
        </w:trPr>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Estimated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Estimated</w:t>
            </w:r>
          </w:p>
        </w:tc>
        <w:tc>
          <w:tcPr>
            <w:tcW w:w="140" w:type="dxa"/>
            <w:vAlign w:val="bottom"/>
          </w:tcPr>
          <w:p>
            <w:pPr>
              <w:spacing w:after="0"/>
              <w:rPr>
                <w:sz w:val="20"/>
                <w:szCs w:val="20"/>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1"/>
                <w:szCs w:val="21"/>
                <w:color w:val="auto"/>
              </w:rPr>
            </w:pPr>
          </w:p>
        </w:tc>
      </w:tr>
      <w:tr>
        <w:trPr>
          <w:trHeight w:val="23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Term B Loan, including current portion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786,442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786,030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9"/>
              </w:rPr>
              <w:t>790,331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766,260</w:t>
            </w:r>
          </w:p>
        </w:tc>
        <w:tc>
          <w:tcPr>
            <w:tcW w:w="140" w:type="dxa"/>
            <w:vAlign w:val="bottom"/>
            <w:shd w:val="clear" w:color="auto" w:fill="CFF0FC"/>
          </w:tcPr>
          <w:p>
            <w:pPr>
              <w:spacing w:after="0"/>
              <w:rPr>
                <w:sz w:val="20"/>
                <w:szCs w:val="20"/>
                <w:color w:val="auto"/>
              </w:rPr>
            </w:pPr>
          </w:p>
        </w:tc>
      </w:tr>
    </w:tbl>
    <w:p>
      <w:pPr>
        <w:spacing w:after="0" w:line="201" w:lineRule="exact"/>
        <w:rPr>
          <w:sz w:val="20"/>
          <w:szCs w:val="20"/>
          <w:color w:val="auto"/>
        </w:rPr>
      </w:pPr>
    </w:p>
    <w:p>
      <w:pPr>
        <w:ind w:left="520" w:right="320"/>
        <w:spacing w:after="0" w:line="284" w:lineRule="auto"/>
        <w:rPr>
          <w:sz w:val="20"/>
          <w:szCs w:val="20"/>
          <w:color w:val="auto"/>
        </w:rPr>
      </w:pPr>
      <w:r>
        <w:rPr>
          <w:rFonts w:ascii="Arial" w:cs="Arial" w:eastAsia="Arial" w:hAnsi="Arial"/>
          <w:sz w:val="17"/>
          <w:szCs w:val="17"/>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270" w:lineRule="exact"/>
        <w:rPr>
          <w:sz w:val="20"/>
          <w:szCs w:val="20"/>
          <w:color w:val="auto"/>
        </w:rPr>
      </w:pPr>
    </w:p>
    <w:p>
      <w:pPr>
        <w:ind w:left="520" w:hanging="513"/>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9" w:lineRule="exact"/>
        <w:rPr>
          <w:rFonts w:ascii="Arial" w:cs="Arial" w:eastAsia="Arial" w:hAnsi="Arial"/>
          <w:sz w:val="18"/>
          <w:szCs w:val="18"/>
          <w:b w:val="1"/>
          <w:bCs w:val="1"/>
          <w:color w:val="auto"/>
        </w:rPr>
      </w:pPr>
    </w:p>
    <w:p>
      <w:pPr>
        <w:ind w:left="520" w:right="60"/>
        <w:spacing w:after="0" w:line="300" w:lineRule="auto"/>
        <w:rPr>
          <w:rFonts w:ascii="Arial" w:cs="Arial" w:eastAsia="Arial" w:hAnsi="Arial"/>
          <w:sz w:val="18"/>
          <w:szCs w:val="18"/>
          <w:b w:val="1"/>
          <w:bCs w:val="1"/>
          <w:color w:val="auto"/>
        </w:rPr>
      </w:pPr>
      <w:r>
        <w:rPr>
          <w:rFonts w:ascii="Arial" w:cs="Arial" w:eastAsia="Arial" w:hAnsi="Arial"/>
          <w:sz w:val="16"/>
          <w:szCs w:val="16"/>
          <w:color w:val="auto"/>
        </w:rPr>
        <w:t>On August 16, 2022, President Biden signed the Inflation Reduction Act of 2022 (“IRA”) into law. The IRA contains several revisions to the Internal Revenue Code, including a 15% corporate minimum income tax and a 1% excise tax on corporate stock repurchases in tax years beginning after December 31, 2022. While these tax law changes have no immediate effect on our results of operations and are not expected to have a material adverse effect on our results of operations going forward, we will continue to evaluate its impact as further information becomes available.</w:t>
      </w:r>
    </w:p>
    <w:p>
      <w:pPr>
        <w:spacing w:after="0" w:line="47" w:lineRule="exact"/>
        <w:rPr>
          <w:rFonts w:ascii="Arial" w:cs="Arial" w:eastAsia="Arial" w:hAnsi="Arial"/>
          <w:sz w:val="18"/>
          <w:szCs w:val="18"/>
          <w:b w:val="1"/>
          <w:bCs w:val="1"/>
          <w:color w:val="auto"/>
        </w:rPr>
      </w:pPr>
    </w:p>
    <w:p>
      <w:pPr>
        <w:ind w:left="520" w:right="1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June 30, 2023 and 2022 was 2.3% and 39.4%, respectively. The effective tax rate for three months ended June 30, 2023 was lower than the effective tax rate for three months ended June 30, 2022 primarily due to the tax benefit received related to share-based compensation expense in the amount of $2.7 million, as well as the tax benefit recognized related to the impairment of certain intangible assets in the amount of $1.3 million.</w:t>
      </w:r>
    </w:p>
    <w:p>
      <w:pPr>
        <w:spacing w:after="0" w:line="77" w:lineRule="exact"/>
        <w:rPr>
          <w:rFonts w:ascii="Arial" w:cs="Arial" w:eastAsia="Arial" w:hAnsi="Arial"/>
          <w:sz w:val="18"/>
          <w:szCs w:val="18"/>
          <w:b w:val="1"/>
          <w:bCs w:val="1"/>
          <w:color w:val="auto"/>
        </w:rPr>
      </w:pPr>
    </w:p>
    <w:p>
      <w:pPr>
        <w:ind w:left="52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2023 and 2022 was 3.1% and 25.2%, respectively. The effective tax rate for six months ended June 30, 2023 was lower than the effective tax rate for six months ended June 30, 2022 primarily due to the tax benefit received related to share-based compensation expense in the amount of $3.2 million, the tax benefit recognized related to the impairment of certain intangible assets in the amount of $1.3 million, as well as the tax benefit associated with the re-measurement of the company's deferred tax liability for changes in state tax rates in the amount of $2.3 million.</w:t>
      </w:r>
    </w:p>
    <w:p>
      <w:pPr>
        <w:spacing w:after="0" w:line="82" w:lineRule="exact"/>
        <w:rPr>
          <w:rFonts w:ascii="Arial" w:cs="Arial" w:eastAsia="Arial" w:hAnsi="Arial"/>
          <w:sz w:val="18"/>
          <w:szCs w:val="18"/>
          <w:b w:val="1"/>
          <w:bCs w:val="1"/>
          <w:color w:val="auto"/>
        </w:rPr>
      </w:pPr>
    </w:p>
    <w:p>
      <w:pPr>
        <w:ind w:left="520" w:right="1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Company made income tax payments of $19.8 million and $38.9 million for the three months ended June 30, 2023 and 2022, respectively. The Company received negligible refunds from various states during the three months ended June 30, 2023 and 2022.</w:t>
      </w:r>
    </w:p>
    <w:p>
      <w:pPr>
        <w:spacing w:after="0" w:line="170" w:lineRule="exact"/>
        <w:rPr>
          <w:rFonts w:ascii="Arial" w:cs="Arial" w:eastAsia="Arial" w:hAnsi="Arial"/>
          <w:sz w:val="18"/>
          <w:szCs w:val="18"/>
          <w:b w:val="1"/>
          <w:bCs w:val="1"/>
          <w:color w:val="auto"/>
        </w:rPr>
      </w:pPr>
    </w:p>
    <w:p>
      <w:pPr>
        <w:ind w:left="520" w:right="3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made income tax payments of $20.0 million and $39.0 million for the six months ended June 30, 2023 and 2022, respectively. The Company received refunds from various states totaling $39 thousand and $50 thousand for the six months ended June 30, 2023 and 2022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6" w:name="page17"/>
    <w:bookmarkEnd w:id="16"/>
    <w:p>
      <w:pPr>
        <w:ind w:left="520" w:right="440"/>
        <w:spacing w:after="0" w:line="339" w:lineRule="auto"/>
        <w:rPr>
          <w:sz w:val="20"/>
          <w:szCs w:val="20"/>
          <w:color w:val="auto"/>
        </w:rPr>
      </w:pPr>
      <w:r>
        <w:rPr>
          <w:rFonts w:ascii="Arial" w:cs="Arial" w:eastAsia="Arial" w:hAnsi="Arial"/>
          <w:sz w:val="16"/>
          <w:szCs w:val="16"/>
          <w:color w:val="auto"/>
        </w:rPr>
        <w:t>As of June 30, 2023, unrecognized tax benefits were materially consistent with the amount as of December 31, 2022. The Company believes its liability for unrecognized tax benefits, excluding interest and penalties, will not significantly change over the following twelve months.</w:t>
      </w:r>
    </w:p>
    <w:p>
      <w:pPr>
        <w:spacing w:after="0" w:line="229" w:lineRule="exact"/>
        <w:rPr>
          <w:sz w:val="20"/>
          <w:szCs w:val="20"/>
          <w:color w:val="auto"/>
        </w:rPr>
      </w:pPr>
    </w:p>
    <w:p>
      <w:pPr>
        <w:ind w:left="520" w:hanging="513"/>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receivable–Net as of June 30, 2023 and December 31, 2022, consists of the following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r>
      <w:tr>
        <w:trPr>
          <w:trHeight w:val="248"/>
        </w:trPr>
        <w:tc>
          <w:tcPr>
            <w:tcW w:w="7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2"/>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102,013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103,692</w:t>
            </w:r>
          </w:p>
        </w:tc>
        <w:tc>
          <w:tcPr>
            <w:tcW w:w="140" w:type="dxa"/>
            <w:vAlign w:val="bottom"/>
            <w:shd w:val="clear" w:color="auto" w:fill="CFF0FC"/>
          </w:tcPr>
          <w:p>
            <w:pPr>
              <w:spacing w:after="0"/>
              <w:rPr>
                <w:sz w:val="21"/>
                <w:szCs w:val="21"/>
                <w:color w:val="auto"/>
              </w:rPr>
            </w:pPr>
          </w:p>
        </w:tc>
      </w:tr>
      <w:tr>
        <w:trPr>
          <w:trHeight w:val="242"/>
        </w:trPr>
        <w:tc>
          <w:tcPr>
            <w:tcW w:w="7200" w:type="dxa"/>
            <w:vAlign w:val="bottom"/>
          </w:tcPr>
          <w:p>
            <w:pPr>
              <w:spacing w:after="0"/>
              <w:rPr>
                <w:sz w:val="20"/>
                <w:szCs w:val="20"/>
                <w:color w:val="auto"/>
              </w:rPr>
            </w:pPr>
            <w:r>
              <w:rPr>
                <w:rFonts w:ascii="Arial" w:cs="Arial" w:eastAsia="Arial" w:hAnsi="Arial"/>
                <w:sz w:val="18"/>
                <w:szCs w:val="18"/>
                <w:color w:val="auto"/>
              </w:rPr>
              <w:t>Allowance for doubtful accounts and sales reserves</w:t>
            </w:r>
          </w:p>
        </w:tc>
        <w:tc>
          <w:tcPr>
            <w:tcW w:w="2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(5,874 )</w:t>
            </w:r>
          </w:p>
        </w:tc>
        <w:tc>
          <w:tcPr>
            <w:tcW w:w="16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(5,339 )</w:t>
            </w:r>
          </w:p>
        </w:tc>
      </w:tr>
      <w:tr>
        <w:trPr>
          <w:trHeight w:val="275"/>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96,139</w:t>
            </w:r>
          </w:p>
        </w:tc>
        <w:tc>
          <w:tcPr>
            <w:tcW w:w="3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98,353</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and December 31, 2022, each period had one customer that accounted for 11% of accounts receivable.</w:t>
      </w:r>
    </w:p>
    <w:p>
      <w:pPr>
        <w:spacing w:after="0" w:line="115" w:lineRule="exact"/>
        <w:rPr>
          <w:sz w:val="20"/>
          <w:szCs w:val="20"/>
          <w:color w:val="auto"/>
        </w:rPr>
      </w:pPr>
    </w:p>
    <w:p>
      <w:pPr>
        <w:ind w:left="520" w:right="460"/>
        <w:spacing w:after="0" w:line="275" w:lineRule="auto"/>
        <w:rPr>
          <w:sz w:val="20"/>
          <w:szCs w:val="20"/>
          <w:color w:val="auto"/>
        </w:rPr>
      </w:pPr>
      <w:r>
        <w:rPr>
          <w:rFonts w:ascii="Arial" w:cs="Arial" w:eastAsia="Arial" w:hAnsi="Arial"/>
          <w:sz w:val="18"/>
          <w:szCs w:val="18"/>
          <w:color w:val="auto"/>
        </w:rPr>
        <w:t>Changes to the allowance for doubtful accounts and sales reserves during the three and six months ended June 30, 2023 and 2022 consist of the following (in thousands):</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For the Six Months Ended</w:t>
            </w:r>
          </w:p>
        </w:tc>
      </w:tr>
      <w:tr>
        <w:trPr>
          <w:trHeight w:val="248"/>
        </w:trPr>
        <w:tc>
          <w:tcPr>
            <w:tcW w:w="35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35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6,866</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40" w:type="dxa"/>
            <w:vAlign w:val="bottom"/>
            <w:shd w:val="clear" w:color="auto" w:fill="CFF0FC"/>
          </w:tcPr>
          <w:p>
            <w:pPr>
              <w:spacing w:after="0"/>
              <w:rPr>
                <w:sz w:val="20"/>
                <w:szCs w:val="20"/>
                <w:color w:val="auto"/>
              </w:rPr>
            </w:pPr>
          </w:p>
        </w:tc>
      </w:tr>
      <w:tr>
        <w:trPr>
          <w:trHeight w:val="236"/>
        </w:trPr>
        <w:tc>
          <w:tcPr>
            <w:tcW w:w="3520" w:type="dxa"/>
            <w:vAlign w:val="bottom"/>
          </w:tcPr>
          <w:p>
            <w:pPr>
              <w:ind w:left="100"/>
              <w:spacing w:after="0"/>
              <w:rPr>
                <w:sz w:val="20"/>
                <w:szCs w:val="20"/>
                <w:color w:val="auto"/>
              </w:rPr>
            </w:pPr>
            <w:r>
              <w:rPr>
                <w:rFonts w:ascii="Arial" w:cs="Arial" w:eastAsia="Arial" w:hAnsi="Arial"/>
                <w:sz w:val="18"/>
                <w:szCs w:val="18"/>
                <w:color w:val="auto"/>
              </w:rPr>
              <w:t>Charges to bad debt and sales reserves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20"/>
                <w:szCs w:val="20"/>
                <w:color w:val="auto"/>
              </w:rPr>
            </w:pPr>
          </w:p>
        </w:tc>
      </w:tr>
      <w:tr>
        <w:trPr>
          <w:trHeight w:val="248"/>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Write-offs, net</w:t>
            </w:r>
          </w:p>
        </w:tc>
        <w:tc>
          <w:tcPr>
            <w:tcW w:w="10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3"/>
              </w:rPr>
              <w:t>(3,009 )</w:t>
            </w:r>
          </w:p>
        </w:tc>
        <w:tc>
          <w:tcPr>
            <w:tcW w:w="10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(569 )</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(4,618 )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(1,431 )</w:t>
            </w:r>
          </w:p>
        </w:tc>
      </w:tr>
      <w:tr>
        <w:trPr>
          <w:trHeight w:val="235"/>
        </w:trPr>
        <w:tc>
          <w:tcPr>
            <w:tcW w:w="35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32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3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40" w:type="dxa"/>
            <w:vAlign w:val="bottom"/>
            <w:tcBorders>
              <w:top w:val="single" w:sz="8" w:color="CFF0FC"/>
            </w:tcBorders>
          </w:tcPr>
          <w:p>
            <w:pPr>
              <w:spacing w:after="0"/>
              <w:rPr>
                <w:sz w:val="20"/>
                <w:szCs w:val="20"/>
                <w:color w:val="auto"/>
              </w:rPr>
            </w:pPr>
          </w:p>
        </w:tc>
      </w:tr>
      <w:tr>
        <w:trPr>
          <w:trHeight w:val="20"/>
        </w:trPr>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-187325</wp:posOffset>
            </wp:positionV>
            <wp:extent cx="76835" cy="1879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-187325</wp:posOffset>
            </wp:positionV>
            <wp:extent cx="85090" cy="1879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-187325</wp:posOffset>
            </wp:positionV>
            <wp:extent cx="85090" cy="1879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090" cy="1879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324" w:lineRule="exact"/>
        <w:rPr>
          <w:sz w:val="20"/>
          <w:szCs w:val="20"/>
          <w:color w:val="auto"/>
        </w:rPr>
      </w:pPr>
    </w:p>
    <w:p>
      <w:pPr>
        <w:ind w:left="520" w:hanging="513"/>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as of June 30, 2023 and December 31, 2022 consists of the following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20"/>
                <w:szCs w:val="20"/>
                <w:color w:val="auto"/>
              </w:rPr>
            </w:pPr>
          </w:p>
        </w:tc>
      </w:tr>
      <w:tr>
        <w:trPr>
          <w:trHeight w:val="248"/>
        </w:trPr>
        <w:tc>
          <w:tcPr>
            <w:tcW w:w="7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2"/>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Prepaid SaaS costs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7,488</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Prepaid service fees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5,268</w:t>
            </w:r>
          </w:p>
        </w:tc>
        <w:tc>
          <w:tcPr>
            <w:tcW w:w="140" w:type="dxa"/>
            <w:vAlign w:val="bottom"/>
          </w:tcPr>
          <w:p>
            <w:pPr>
              <w:spacing w:after="0"/>
              <w:rPr>
                <w:sz w:val="20"/>
                <w:szCs w:val="20"/>
                <w:color w:val="auto"/>
              </w:rPr>
            </w:pPr>
          </w:p>
        </w:tc>
      </w:tr>
      <w:tr>
        <w:trPr>
          <w:trHeight w:val="24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Prepaid software and equipment maintenance</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4,062</w:t>
            </w:r>
          </w:p>
        </w:tc>
        <w:tc>
          <w:tcPr>
            <w:tcW w:w="140" w:type="dxa"/>
            <w:vAlign w:val="bottom"/>
          </w:tcPr>
          <w:p>
            <w:pPr>
              <w:spacing w:after="0"/>
              <w:rPr>
                <w:sz w:val="20"/>
                <w:szCs w:val="20"/>
                <w:color w:val="auto"/>
              </w:rPr>
            </w:pPr>
          </w:p>
        </w:tc>
      </w:tr>
      <w:tr>
        <w:trPr>
          <w:trHeight w:val="24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Non-trade receivables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140" w:type="dxa"/>
            <w:vAlign w:val="bottom"/>
          </w:tcPr>
          <w:p>
            <w:pPr>
              <w:spacing w:after="0"/>
              <w:rPr>
                <w:sz w:val="20"/>
                <w:szCs w:val="20"/>
                <w:color w:val="auto"/>
              </w:rPr>
            </w:pPr>
          </w:p>
        </w:tc>
      </w:tr>
      <w:tr>
        <w:trPr>
          <w:trHeight w:val="275"/>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current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29,240</w:t>
            </w:r>
          </w:p>
        </w:tc>
        <w:tc>
          <w:tcPr>
            <w:tcW w:w="3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36,358</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20" w:hanging="513"/>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SOFTWARE, EQUIPMENT, AND PROPERTY</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Software, equipment, and property as of June 30, 2023 and December 31, 2022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licenses and database</w:t>
            </w:r>
          </w:p>
        </w:tc>
        <w:tc>
          <w:tcPr>
            <w:tcW w:w="28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198,459</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175,616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Computer equipment</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33,229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30,697</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Building and land</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and other equipment</w:t>
            </w:r>
          </w:p>
        </w:tc>
        <w:tc>
          <w:tcPr>
            <w:tcW w:w="28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Total software, equipment, and property</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268,779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245,477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(115,240 )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(99,034 )</w:t>
            </w: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Software, equipment, and property—Net</w:t>
            </w:r>
          </w:p>
        </w:tc>
        <w:tc>
          <w:tcPr>
            <w:tcW w:w="28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153,539</w:t>
            </w:r>
          </w:p>
        </w:tc>
        <w:tc>
          <w:tcPr>
            <w:tcW w:w="3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146,443</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20" w:type="dxa"/>
            <w:vAlign w:val="bottom"/>
            <w:vMerge w:val="restart"/>
          </w:tcPr>
          <w:p>
            <w:pPr>
              <w:jc w:val="right"/>
              <w:ind w:right="179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-980440</wp:posOffset>
            </wp:positionV>
            <wp:extent cx="85090" cy="161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-980440</wp:posOffset>
            </wp:positionV>
            <wp:extent cx="85090" cy="161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-664845</wp:posOffset>
            </wp:positionV>
            <wp:extent cx="85090" cy="1879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-664845</wp:posOffset>
            </wp:positionV>
            <wp:extent cx="85090" cy="1879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7" w:name="page18"/>
    <w:bookmarkEnd w:id="17"/>
    <w:p>
      <w:pPr>
        <w:ind w:left="520" w:right="320"/>
        <w:spacing w:after="0" w:line="275" w:lineRule="auto"/>
        <w:rPr>
          <w:sz w:val="20"/>
          <w:szCs w:val="20"/>
          <w:color w:val="auto"/>
        </w:rPr>
      </w:pPr>
      <w:r>
        <w:rPr>
          <w:rFonts w:ascii="Arial" w:cs="Arial" w:eastAsia="Arial" w:hAnsi="Arial"/>
          <w:sz w:val="18"/>
          <w:szCs w:val="18"/>
          <w:color w:val="auto"/>
        </w:rPr>
        <w:t>Depreciation and amortization expense related to software, equipment and property was $8.8 million and $6.7 million for the three months ended June 30, 2023 and 2022, respectively.</w:t>
      </w:r>
    </w:p>
    <w:p>
      <w:pPr>
        <w:spacing w:after="0" w:line="63" w:lineRule="exact"/>
        <w:rPr>
          <w:sz w:val="20"/>
          <w:szCs w:val="20"/>
          <w:color w:val="auto"/>
        </w:rPr>
      </w:pPr>
    </w:p>
    <w:p>
      <w:pPr>
        <w:ind w:left="520" w:right="280"/>
        <w:spacing w:after="0" w:line="275" w:lineRule="auto"/>
        <w:rPr>
          <w:sz w:val="20"/>
          <w:szCs w:val="20"/>
          <w:color w:val="auto"/>
        </w:rPr>
      </w:pPr>
      <w:r>
        <w:rPr>
          <w:rFonts w:ascii="Arial" w:cs="Arial" w:eastAsia="Arial" w:hAnsi="Arial"/>
          <w:sz w:val="18"/>
          <w:szCs w:val="18"/>
          <w:color w:val="auto"/>
        </w:rPr>
        <w:t>Depreciation and amortization expense related to software, equipment and property was $18.0 million and $13.5 million for the six months ended June 30, 2023 and 2022, respectively.</w:t>
      </w:r>
    </w:p>
    <w:p>
      <w:pPr>
        <w:spacing w:after="0" w:line="274" w:lineRule="exact"/>
        <w:rPr>
          <w:sz w:val="20"/>
          <w:szCs w:val="20"/>
          <w:color w:val="auto"/>
        </w:rPr>
      </w:pPr>
    </w:p>
    <w:p>
      <w:pPr>
        <w:ind w:left="520" w:hanging="513"/>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9" w:lineRule="exact"/>
        <w:rPr>
          <w:rFonts w:ascii="Arial" w:cs="Arial" w:eastAsia="Arial" w:hAnsi="Arial"/>
          <w:sz w:val="18"/>
          <w:szCs w:val="18"/>
          <w:b w:val="1"/>
          <w:bCs w:val="1"/>
          <w:color w:val="auto"/>
        </w:rPr>
      </w:pPr>
    </w:p>
    <w:p>
      <w:pPr>
        <w:ind w:left="520" w:right="3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spacing w:after="0" w:line="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for the three and six months ended June 30, 2023 and 2022 were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1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Six Months Ended</w:t>
            </w:r>
          </w:p>
        </w:tc>
        <w:tc>
          <w:tcPr>
            <w:tcW w:w="140" w:type="dxa"/>
            <w:vAlign w:val="bottom"/>
          </w:tcPr>
          <w:p>
            <w:pPr>
              <w:spacing w:after="0"/>
              <w:rPr>
                <w:sz w:val="20"/>
                <w:szCs w:val="20"/>
                <w:color w:val="auto"/>
              </w:rPr>
            </w:pPr>
          </w:p>
        </w:tc>
      </w:tr>
      <w:tr>
        <w:trPr>
          <w:trHeight w:val="248"/>
        </w:trPr>
        <w:tc>
          <w:tcPr>
            <w:tcW w:w="27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27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3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32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140" w:type="dxa"/>
            <w:vAlign w:val="bottom"/>
            <w:shd w:val="clear" w:color="auto" w:fill="CFF0FC"/>
          </w:tcPr>
          <w:p>
            <w:pPr>
              <w:spacing w:after="0"/>
              <w:rPr>
                <w:sz w:val="20"/>
                <w:szCs w:val="20"/>
                <w:color w:val="auto"/>
              </w:rPr>
            </w:pPr>
          </w:p>
        </w:tc>
      </w:tr>
      <w:tr>
        <w:trPr>
          <w:trHeight w:val="242"/>
        </w:trPr>
        <w:tc>
          <w:tcPr>
            <w:tcW w:w="2780" w:type="dxa"/>
            <w:vAlign w:val="bottom"/>
          </w:tcPr>
          <w:p>
            <w:pPr>
              <w:spacing w:after="0"/>
              <w:rPr>
                <w:sz w:val="20"/>
                <w:szCs w:val="20"/>
                <w:color w:val="auto"/>
              </w:rPr>
            </w:pPr>
            <w:r>
              <w:rPr>
                <w:rFonts w:ascii="Arial" w:cs="Arial" w:eastAsia="Arial" w:hAnsi="Arial"/>
                <w:sz w:val="18"/>
                <w:szCs w:val="18"/>
                <w:color w:val="auto"/>
              </w:rPr>
              <w:t>Variable lease costs</w:t>
            </w:r>
          </w:p>
        </w:tc>
        <w:tc>
          <w:tcPr>
            <w:tcW w:w="1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40" w:type="dxa"/>
            <w:vAlign w:val="bottom"/>
          </w:tcPr>
          <w:p>
            <w:pPr>
              <w:spacing w:after="0"/>
              <w:rPr>
                <w:sz w:val="21"/>
                <w:szCs w:val="21"/>
                <w:color w:val="auto"/>
              </w:rPr>
            </w:pPr>
          </w:p>
        </w:tc>
      </w:tr>
      <w:tr>
        <w:trPr>
          <w:trHeight w:val="275"/>
        </w:trPr>
        <w:tc>
          <w:tcPr>
            <w:tcW w:w="2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lease costs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3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3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7,085</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-24765</wp:posOffset>
            </wp:positionV>
            <wp:extent cx="850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-7620</wp:posOffset>
            </wp:positionV>
            <wp:extent cx="850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-24765</wp:posOffset>
            </wp:positionV>
            <wp:extent cx="850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-7620</wp:posOffset>
            </wp:positionV>
            <wp:extent cx="850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right="640"/>
        <w:spacing w:after="0" w:line="275" w:lineRule="auto"/>
        <w:rPr>
          <w:sz w:val="20"/>
          <w:szCs w:val="20"/>
          <w:color w:val="auto"/>
        </w:rPr>
      </w:pPr>
      <w:r>
        <w:rPr>
          <w:rFonts w:ascii="Arial" w:cs="Arial" w:eastAsia="Arial" w:hAnsi="Arial"/>
          <w:sz w:val="18"/>
          <w:szCs w:val="18"/>
          <w:color w:val="auto"/>
        </w:rPr>
        <w:t>The Company made cash payments for operating leases of $1.4 million and $3.2 million for the three months ended June 30, 2023 and 2022, respectively.</w:t>
      </w:r>
    </w:p>
    <w:p>
      <w:pPr>
        <w:spacing w:after="0" w:line="63" w:lineRule="exact"/>
        <w:rPr>
          <w:sz w:val="20"/>
          <w:szCs w:val="20"/>
          <w:color w:val="auto"/>
        </w:rPr>
      </w:pPr>
    </w:p>
    <w:p>
      <w:pPr>
        <w:ind w:left="520" w:right="780"/>
        <w:spacing w:after="0" w:line="275" w:lineRule="auto"/>
        <w:rPr>
          <w:sz w:val="20"/>
          <w:szCs w:val="20"/>
          <w:color w:val="auto"/>
        </w:rPr>
      </w:pPr>
      <w:r>
        <w:rPr>
          <w:rFonts w:ascii="Arial" w:cs="Arial" w:eastAsia="Arial" w:hAnsi="Arial"/>
          <w:sz w:val="18"/>
          <w:szCs w:val="18"/>
          <w:color w:val="auto"/>
        </w:rPr>
        <w:t>The Company made cash payments for operating leases of $2.0 million and $5.7 million for the six months ended June 30, 2023 and 2022, respectively.</w:t>
      </w:r>
    </w:p>
    <w:p>
      <w:pPr>
        <w:spacing w:after="0" w:line="274" w:lineRule="exact"/>
        <w:rPr>
          <w:sz w:val="20"/>
          <w:szCs w:val="20"/>
          <w:color w:val="auto"/>
        </w:rPr>
      </w:pPr>
    </w:p>
    <w:p>
      <w:pPr>
        <w:ind w:left="520" w:hanging="513"/>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Goodwill and intangible assets are primarily the result of business acquisitions.</w:t>
      </w:r>
    </w:p>
    <w:p>
      <w:pPr>
        <w:spacing w:after="0" w:line="115" w:lineRule="exact"/>
        <w:rPr>
          <w:rFonts w:ascii="Arial" w:cs="Arial" w:eastAsia="Arial" w:hAnsi="Arial"/>
          <w:sz w:val="18"/>
          <w:szCs w:val="18"/>
          <w:b w:val="1"/>
          <w:bCs w:val="1"/>
          <w:color w:val="auto"/>
        </w:rPr>
      </w:pPr>
    </w:p>
    <w:p>
      <w:pPr>
        <w:ind w:left="520" w:right="640"/>
        <w:spacing w:after="0" w:line="275" w:lineRule="auto"/>
        <w:rPr>
          <w:rFonts w:ascii="Arial" w:cs="Arial" w:eastAsia="Arial" w:hAnsi="Arial"/>
          <w:sz w:val="18"/>
          <w:szCs w:val="18"/>
          <w:b w:val="1"/>
          <w:bCs w:val="1"/>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—We evaluated goodwill for impairment, due to the events described below, which indicated that the carrying amount of the China</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 was in excess of its estimated fair value.</w:t>
      </w:r>
    </w:p>
    <w:p>
      <w:pPr>
        <w:spacing w:after="0" w:line="63" w:lineRule="exact"/>
        <w:rPr>
          <w:rFonts w:ascii="Arial" w:cs="Arial" w:eastAsia="Arial" w:hAnsi="Arial"/>
          <w:sz w:val="18"/>
          <w:szCs w:val="18"/>
          <w:b w:val="1"/>
          <w:bCs w:val="1"/>
          <w:color w:val="auto"/>
        </w:rPr>
      </w:pPr>
    </w:p>
    <w:p>
      <w:pPr>
        <w:ind w:left="520" w:right="40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During the three months ended June 30, 2023, the Company's China reporting unit experienced adverse impacts as a result of changes in market conditions and increases in interest rates, which contributed to reduced forecasted revenues and reduced projected future cash flows.</w:t>
      </w:r>
    </w:p>
    <w:p>
      <w:pPr>
        <w:spacing w:after="0" w:line="17" w:lineRule="exact"/>
        <w:rPr>
          <w:rFonts w:ascii="Arial" w:cs="Arial" w:eastAsia="Arial" w:hAnsi="Arial"/>
          <w:sz w:val="18"/>
          <w:szCs w:val="18"/>
          <w:b w:val="1"/>
          <w:bCs w:val="1"/>
          <w:color w:val="auto"/>
        </w:rPr>
      </w:pPr>
    </w:p>
    <w:p>
      <w:pPr>
        <w:ind w:left="52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a result of these adverse impacts, the Company performed a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impaired. As a result, the Company recorded a goodwill impairment charge of $77.4 million.</w:t>
      </w:r>
    </w:p>
    <w:p>
      <w:pPr>
        <w:spacing w:after="0" w:line="82" w:lineRule="exact"/>
        <w:rPr>
          <w:rFonts w:ascii="Arial" w:cs="Arial" w:eastAsia="Arial" w:hAnsi="Arial"/>
          <w:sz w:val="18"/>
          <w:szCs w:val="18"/>
          <w:b w:val="1"/>
          <w:bCs w:val="1"/>
          <w:color w:val="auto"/>
        </w:rPr>
      </w:pPr>
    </w:p>
    <w:p>
      <w:pPr>
        <w:ind w:left="52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used a quantitative approach to measure the fair value of its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spacing w:after="0" w:line="8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No goodwill impairments were recorded during the three or six months ended June 30, 2022.</w:t>
      </w:r>
    </w:p>
    <w:p>
      <w:pPr>
        <w:spacing w:after="0" w:line="1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gross amount, accumulated impairment loss and carrying amount of goodwill as of June 30, 2023 and December 31,</w:t>
      </w:r>
    </w:p>
    <w:p>
      <w:pPr>
        <w:spacing w:after="0" w:line="4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2022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jc w:val="right"/>
              <w:ind w:right="71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9"/>
                <w:szCs w:val="19"/>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r>
      <w:tr>
        <w:trPr>
          <w:trHeight w:val="248"/>
        </w:trPr>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Gross Amount</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2"/>
          </w:tcPr>
          <w:p>
            <w:pPr>
              <w:jc w:val="right"/>
              <w:ind w:right="570"/>
              <w:spacing w:after="0"/>
              <w:rPr>
                <w:sz w:val="20"/>
                <w:szCs w:val="20"/>
                <w:color w:val="auto"/>
              </w:rPr>
            </w:pPr>
            <w:r>
              <w:rPr>
                <w:rFonts w:ascii="Arial" w:cs="Arial" w:eastAsia="Arial" w:hAnsi="Arial"/>
                <w:sz w:val="18"/>
                <w:szCs w:val="18"/>
                <w:color w:val="auto"/>
                <w:w w:val="97"/>
              </w:rPr>
              <w:t>Impairment Loss</w:t>
            </w:r>
          </w:p>
        </w:tc>
        <w:tc>
          <w:tcPr>
            <w:tcW w:w="180" w:type="dxa"/>
            <w:vAlign w:val="bottom"/>
          </w:tcPr>
          <w:p>
            <w:pPr>
              <w:spacing w:after="0"/>
              <w:rPr>
                <w:sz w:val="21"/>
                <w:szCs w:val="21"/>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w w:val="97"/>
              </w:rPr>
              <w:t>Carrying Amount</w:t>
            </w:r>
          </w:p>
        </w:tc>
        <w:tc>
          <w:tcPr>
            <w:tcW w:w="140" w:type="dxa"/>
            <w:vAlign w:val="bottom"/>
          </w:tcPr>
          <w:p>
            <w:pPr>
              <w:spacing w:after="0"/>
              <w:rPr>
                <w:sz w:val="21"/>
                <w:szCs w:val="21"/>
                <w:color w:val="auto"/>
              </w:rPr>
            </w:pPr>
          </w:p>
        </w:tc>
      </w:tr>
      <w:tr>
        <w:trPr>
          <w:trHeight w:val="242"/>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1,520,926</w:t>
            </w:r>
          </w:p>
        </w:tc>
        <w:tc>
          <w:tcPr>
            <w:tcW w:w="4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(25,797</w:t>
            </w:r>
          </w:p>
        </w:tc>
        <w:tc>
          <w:tcPr>
            <w:tcW w:w="4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1,495,129</w:t>
            </w:r>
          </w:p>
        </w:tc>
        <w:tc>
          <w:tcPr>
            <w:tcW w:w="140" w:type="dxa"/>
            <w:vAlign w:val="bottom"/>
            <w:shd w:val="clear" w:color="auto" w:fill="CFF0FC"/>
          </w:tcPr>
          <w:p>
            <w:pPr>
              <w:spacing w:after="0"/>
              <w:rPr>
                <w:sz w:val="21"/>
                <w:szCs w:val="2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Balance as of June 30, 2023</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1,520,926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jc w:val="right"/>
              <w:ind w:right="230"/>
              <w:spacing w:after="0"/>
              <w:rPr>
                <w:sz w:val="20"/>
                <w:szCs w:val="20"/>
                <w:color w:val="auto"/>
              </w:rPr>
            </w:pPr>
            <w:r>
              <w:rPr>
                <w:rFonts w:ascii="Arial" w:cs="Arial" w:eastAsia="Arial" w:hAnsi="Arial"/>
                <w:sz w:val="18"/>
                <w:szCs w:val="18"/>
                <w:color w:val="auto"/>
              </w:rPr>
              <w:t>(103,202 )</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1,417,724</w:t>
            </w:r>
          </w:p>
        </w:tc>
        <w:tc>
          <w:tcPr>
            <w:tcW w:w="140" w:type="dxa"/>
            <w:vAlign w:val="bottom"/>
          </w:tcPr>
          <w:p>
            <w:pPr>
              <w:spacing w:after="0"/>
              <w:rPr>
                <w:sz w:val="19"/>
                <w:szCs w:val="19"/>
                <w:color w:val="auto"/>
              </w:rPr>
            </w:pPr>
          </w:p>
        </w:tc>
      </w:tr>
      <w:tr>
        <w:trPr>
          <w:trHeight w:val="657"/>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accumulated impairment loss as of December 31, 2022 was recognized during the year ended December 31, 2019.</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during the six months ended June 30, 2023 were as follows (in thousands):</w:t>
      </w:r>
    </w:p>
    <w:p>
      <w:pPr>
        <w:spacing w:after="0" w:line="152"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Net</w:t>
      </w:r>
    </w:p>
    <w:p>
      <w:pPr>
        <w:spacing w:after="0" w:line="35"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Carrying</w:t>
      </w:r>
    </w:p>
    <w:p>
      <w:pPr>
        <w:spacing w:after="0" w:line="35"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25400</wp:posOffset>
            </wp:positionV>
            <wp:extent cx="2218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420" w:type="dxa"/>
            <w:vAlign w:val="bottom"/>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1,495,129</w:t>
            </w:r>
          </w:p>
        </w:tc>
        <w:tc>
          <w:tcPr>
            <w:tcW w:w="140" w:type="dxa"/>
            <w:vAlign w:val="bottom"/>
            <w:shd w:val="clear" w:color="auto" w:fill="CFF0FC"/>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20" w:type="dxa"/>
            <w:vAlign w:val="bottom"/>
          </w:tcPr>
          <w:p>
            <w:pPr>
              <w:spacing w:after="0"/>
              <w:rPr>
                <w:sz w:val="20"/>
                <w:szCs w:val="20"/>
                <w:color w:val="auto"/>
              </w:rPr>
            </w:pP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(77,405 )</w:t>
            </w:r>
          </w:p>
        </w:tc>
      </w:tr>
      <w:tr>
        <w:trPr>
          <w:trHeight w:val="275"/>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2023</w:t>
            </w:r>
          </w:p>
        </w:tc>
        <w:tc>
          <w:tcPr>
            <w:tcW w:w="1420" w:type="dxa"/>
            <w:vAlign w:val="bottom"/>
            <w:tcBorders>
              <w:top w:val="single" w:sz="8" w:color="auto"/>
              <w:bottom w:val="single" w:sz="8" w:color="auto"/>
            </w:tcBorders>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1,417,724</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right="40"/>
        <w:spacing w:after="0" w:line="258"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—During the three months ended June 30, 2023, the Company recorded an impairment charge to its China reporting unit's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acquired technologies intangible assets. The Company's forecast of the revenue and expense cash flow of the China reporting unit indicated the carrying amounts of the intangible assets were not recoverable and therefore the Company recorded an impairment charge of $5.3 million.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intangible asset impairments were recorded during the three or six months ended June 30, 2022.</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intangible assets balance as of June 30, 2023 is reflected below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2"/>
        </w:trPr>
        <w:tc>
          <w:tcPr>
            <w:tcW w:w="3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37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w:t>
            </w:r>
          </w:p>
        </w:tc>
        <w:tc>
          <w:tcPr>
            <w:tcW w:w="140" w:type="dxa"/>
            <w:vAlign w:val="bottom"/>
          </w:tcPr>
          <w:p>
            <w:pPr>
              <w:spacing w:after="0"/>
              <w:rPr>
                <w:sz w:val="21"/>
                <w:szCs w:val="21"/>
                <w:color w:val="auto"/>
              </w:rPr>
            </w:pPr>
          </w:p>
        </w:tc>
      </w:tr>
      <w:tr>
        <w:trPr>
          <w:trHeight w:val="242"/>
        </w:trPr>
        <w:tc>
          <w:tcPr>
            <w:tcW w:w="37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21"/>
                <w:szCs w:val="21"/>
                <w:color w:val="auto"/>
              </w:rPr>
            </w:pPr>
          </w:p>
        </w:tc>
      </w:tr>
      <w:tr>
        <w:trPr>
          <w:trHeight w:val="248"/>
        </w:trPr>
        <w:tc>
          <w:tcPr>
            <w:tcW w:w="37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1"/>
                <w:szCs w:val="21"/>
                <w:color w:val="auto"/>
              </w:rPr>
            </w:pPr>
          </w:p>
        </w:tc>
      </w:tr>
      <w:tr>
        <w:trPr>
          <w:trHeight w:val="242"/>
        </w:trPr>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Customer relationships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1,291,830</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(443,169</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848,661</w:t>
            </w:r>
          </w:p>
        </w:tc>
        <w:tc>
          <w:tcPr>
            <w:tcW w:w="140" w:type="dxa"/>
            <w:vAlign w:val="bottom"/>
            <w:shd w:val="clear" w:color="auto" w:fill="CFF0FC"/>
          </w:tcPr>
          <w:p>
            <w:pPr>
              <w:spacing w:after="0"/>
              <w:rPr>
                <w:sz w:val="21"/>
                <w:szCs w:val="21"/>
                <w:color w:val="auto"/>
              </w:rPr>
            </w:pPr>
          </w:p>
        </w:tc>
      </w:tr>
      <w:tr>
        <w:trPr>
          <w:trHeight w:val="242"/>
        </w:trPr>
        <w:tc>
          <w:tcPr>
            <w:tcW w:w="3700" w:type="dxa"/>
            <w:vAlign w:val="bottom"/>
          </w:tcPr>
          <w:p>
            <w:pPr>
              <w:ind w:left="180"/>
              <w:spacing w:after="0"/>
              <w:rPr>
                <w:sz w:val="20"/>
                <w:szCs w:val="20"/>
                <w:color w:val="auto"/>
              </w:rPr>
            </w:pPr>
            <w:r>
              <w:rPr>
                <w:rFonts w:ascii="Arial" w:cs="Arial" w:eastAsia="Arial" w:hAnsi="Arial"/>
                <w:sz w:val="18"/>
                <w:szCs w:val="18"/>
                <w:color w:val="auto"/>
              </w:rPr>
              <w:t>Acquired technologies</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184,640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42"/>
              <w:spacing w:after="0"/>
              <w:rPr>
                <w:sz w:val="20"/>
                <w:szCs w:val="20"/>
                <w:color w:val="auto"/>
              </w:rPr>
            </w:pPr>
            <w:r>
              <w:rPr>
                <w:rFonts w:ascii="Arial" w:cs="Arial" w:eastAsia="Arial" w:hAnsi="Arial"/>
                <w:sz w:val="18"/>
                <w:szCs w:val="18"/>
                <w:color w:val="auto"/>
              </w:rPr>
              <w:t>(159,707 )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24,933</w:t>
            </w:r>
          </w:p>
        </w:tc>
        <w:tc>
          <w:tcPr>
            <w:tcW w:w="140" w:type="dxa"/>
            <w:vAlign w:val="bottom"/>
          </w:tcPr>
          <w:p>
            <w:pPr>
              <w:spacing w:after="0"/>
              <w:rPr>
                <w:sz w:val="21"/>
                <w:szCs w:val="21"/>
                <w:color w:val="auto"/>
              </w:rPr>
            </w:pPr>
          </w:p>
        </w:tc>
      </w:tr>
      <w:tr>
        <w:trPr>
          <w:trHeight w:val="235"/>
        </w:trPr>
        <w:tc>
          <w:tcPr>
            <w:tcW w:w="3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Subtotal</w:t>
            </w: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1,476,470</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(602,876</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873,594</w:t>
            </w:r>
          </w:p>
        </w:tc>
        <w:tc>
          <w:tcPr>
            <w:tcW w:w="140" w:type="dxa"/>
            <w:vAlign w:val="bottom"/>
            <w:shd w:val="clear" w:color="auto" w:fill="CFF0FC"/>
          </w:tcPr>
          <w:p>
            <w:pPr>
              <w:spacing w:after="0"/>
              <w:rPr>
                <w:sz w:val="20"/>
                <w:szCs w:val="20"/>
                <w:color w:val="auto"/>
              </w:rPr>
            </w:pPr>
          </w:p>
        </w:tc>
      </w:tr>
      <w:tr>
        <w:trPr>
          <w:trHeight w:val="236"/>
        </w:trPr>
        <w:tc>
          <w:tcPr>
            <w:tcW w:w="3700" w:type="dxa"/>
            <w:vAlign w:val="bottom"/>
          </w:tcPr>
          <w:p>
            <w:pPr>
              <w:ind w:left="180"/>
              <w:spacing w:after="0"/>
              <w:rPr>
                <w:sz w:val="20"/>
                <w:szCs w:val="20"/>
                <w:color w:val="auto"/>
              </w:rPr>
            </w:pPr>
            <w:r>
              <w:rPr>
                <w:rFonts w:ascii="Arial" w:cs="Arial" w:eastAsia="Arial" w:hAnsi="Arial"/>
                <w:sz w:val="18"/>
                <w:szCs w:val="18"/>
                <w:color w:val="auto"/>
              </w:rPr>
              <w:t>Trademarks—indefinite life</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190,470</w:t>
            </w:r>
          </w:p>
        </w:tc>
        <w:tc>
          <w:tcPr>
            <w:tcW w:w="140" w:type="dxa"/>
            <w:vAlign w:val="bottom"/>
          </w:tcPr>
          <w:p>
            <w:pPr>
              <w:spacing w:after="0"/>
              <w:rPr>
                <w:sz w:val="20"/>
                <w:szCs w:val="20"/>
                <w:color w:val="auto"/>
              </w:rPr>
            </w:pPr>
          </w:p>
        </w:tc>
      </w:tr>
      <w:tr>
        <w:trPr>
          <w:trHeight w:val="275"/>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1,666,940</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(602,876</w:t>
            </w:r>
          </w:p>
        </w:tc>
        <w:tc>
          <w:tcPr>
            <w:tcW w:w="28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1,064,064</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5132705</wp:posOffset>
            </wp:positionH>
            <wp:positionV relativeFrom="paragraph">
              <wp:posOffset>-24765</wp:posOffset>
            </wp:positionV>
            <wp:extent cx="850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-7620</wp:posOffset>
            </wp:positionV>
            <wp:extent cx="850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6207760</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6207760</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intangible assets balance as of December 31, 2022 is reflected below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2"/>
        </w:trPr>
        <w:tc>
          <w:tcPr>
            <w:tcW w:w="3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37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Net</w:t>
            </w:r>
          </w:p>
        </w:tc>
        <w:tc>
          <w:tcPr>
            <w:tcW w:w="140" w:type="dxa"/>
            <w:vAlign w:val="bottom"/>
          </w:tcPr>
          <w:p>
            <w:pPr>
              <w:spacing w:after="0"/>
              <w:rPr>
                <w:sz w:val="21"/>
                <w:szCs w:val="21"/>
                <w:color w:val="auto"/>
              </w:rPr>
            </w:pPr>
          </w:p>
        </w:tc>
      </w:tr>
      <w:tr>
        <w:trPr>
          <w:trHeight w:val="242"/>
        </w:trPr>
        <w:tc>
          <w:tcPr>
            <w:tcW w:w="37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Carrying</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21"/>
                <w:szCs w:val="21"/>
                <w:color w:val="auto"/>
              </w:rPr>
            </w:pPr>
          </w:p>
        </w:tc>
      </w:tr>
      <w:tr>
        <w:trPr>
          <w:trHeight w:val="248"/>
        </w:trPr>
        <w:tc>
          <w:tcPr>
            <w:tcW w:w="37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1"/>
                <w:szCs w:val="21"/>
                <w:color w:val="auto"/>
              </w:rPr>
            </w:pPr>
          </w:p>
        </w:tc>
      </w:tr>
      <w:tr>
        <w:trPr>
          <w:trHeight w:val="242"/>
        </w:trPr>
        <w:tc>
          <w:tcPr>
            <w:tcW w:w="3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16–18</w:t>
            </w:r>
          </w:p>
        </w:tc>
        <w:tc>
          <w:tcPr>
            <w:tcW w:w="12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1,299,750</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(410,095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889,655</w:t>
            </w:r>
          </w:p>
        </w:tc>
        <w:tc>
          <w:tcPr>
            <w:tcW w:w="140" w:type="dxa"/>
            <w:vAlign w:val="bottom"/>
            <w:shd w:val="clear" w:color="auto" w:fill="CFF0FC"/>
          </w:tcPr>
          <w:p>
            <w:pPr>
              <w:spacing w:after="0"/>
              <w:rPr>
                <w:sz w:val="21"/>
                <w:szCs w:val="21"/>
                <w:color w:val="auto"/>
              </w:rPr>
            </w:pPr>
          </w:p>
        </w:tc>
      </w:tr>
      <w:tr>
        <w:trPr>
          <w:trHeight w:val="242"/>
        </w:trPr>
        <w:tc>
          <w:tcPr>
            <w:tcW w:w="3760" w:type="dxa"/>
            <w:vAlign w:val="bottom"/>
          </w:tcPr>
          <w:p>
            <w:pPr>
              <w:ind w:left="180"/>
              <w:spacing w:after="0"/>
              <w:rPr>
                <w:sz w:val="20"/>
                <w:szCs w:val="20"/>
                <w:color w:val="auto"/>
              </w:rPr>
            </w:pPr>
            <w:r>
              <w:rPr>
                <w:rFonts w:ascii="Arial" w:cs="Arial" w:eastAsia="Arial" w:hAnsi="Arial"/>
                <w:sz w:val="18"/>
                <w:szCs w:val="18"/>
                <w:color w:val="auto"/>
              </w:rPr>
              <w:t>Acquired technologies</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187,950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(149,256 )</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38,694</w:t>
            </w:r>
          </w:p>
        </w:tc>
        <w:tc>
          <w:tcPr>
            <w:tcW w:w="140" w:type="dxa"/>
            <w:vAlign w:val="bottom"/>
          </w:tcPr>
          <w:p>
            <w:pPr>
              <w:spacing w:after="0"/>
              <w:rPr>
                <w:sz w:val="21"/>
                <w:szCs w:val="21"/>
                <w:color w:val="auto"/>
              </w:rPr>
            </w:pPr>
          </w:p>
        </w:tc>
      </w:tr>
      <w:tr>
        <w:trPr>
          <w:trHeight w:val="235"/>
        </w:trPr>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Subtotal</w:t>
            </w: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1,487,700</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(559,351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928,349</w:t>
            </w:r>
          </w:p>
        </w:tc>
        <w:tc>
          <w:tcPr>
            <w:tcW w:w="140" w:type="dxa"/>
            <w:vAlign w:val="bottom"/>
            <w:shd w:val="clear" w:color="auto" w:fill="CFF0FC"/>
          </w:tcPr>
          <w:p>
            <w:pPr>
              <w:spacing w:after="0"/>
              <w:rPr>
                <w:sz w:val="20"/>
                <w:szCs w:val="20"/>
                <w:color w:val="auto"/>
              </w:rPr>
            </w:pPr>
          </w:p>
        </w:tc>
      </w:tr>
      <w:tr>
        <w:trPr>
          <w:trHeight w:val="236"/>
        </w:trPr>
        <w:tc>
          <w:tcPr>
            <w:tcW w:w="3760" w:type="dxa"/>
            <w:vAlign w:val="bottom"/>
          </w:tcPr>
          <w:p>
            <w:pPr>
              <w:ind w:left="180"/>
              <w:spacing w:after="0"/>
              <w:rPr>
                <w:sz w:val="20"/>
                <w:szCs w:val="20"/>
                <w:color w:val="auto"/>
              </w:rPr>
            </w:pPr>
            <w:r>
              <w:rPr>
                <w:rFonts w:ascii="Arial" w:cs="Arial" w:eastAsia="Arial" w:hAnsi="Arial"/>
                <w:sz w:val="18"/>
                <w:szCs w:val="18"/>
                <w:color w:val="auto"/>
              </w:rPr>
              <w:t>Trademarks—indefinite life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190,470</w:t>
            </w:r>
          </w:p>
        </w:tc>
        <w:tc>
          <w:tcPr>
            <w:tcW w:w="140" w:type="dxa"/>
            <w:vAlign w:val="bottom"/>
          </w:tcPr>
          <w:p>
            <w:pPr>
              <w:spacing w:after="0"/>
              <w:rPr>
                <w:sz w:val="20"/>
                <w:szCs w:val="20"/>
                <w:color w:val="auto"/>
              </w:rPr>
            </w:pPr>
          </w:p>
        </w:tc>
      </w:tr>
      <w:tr>
        <w:trPr>
          <w:trHeight w:val="275"/>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1,678,170</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(559,351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1,118,819</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-24765</wp:posOffset>
            </wp:positionV>
            <wp:extent cx="850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-7620</wp:posOffset>
            </wp:positionV>
            <wp:extent cx="850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-24765</wp:posOffset>
            </wp:positionV>
            <wp:extent cx="850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-7620</wp:posOffset>
            </wp:positionV>
            <wp:extent cx="850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for intangible assets was $24.7 million and $24.8 million for the three months ended June 30, 2023 and 2022, respectively.</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intangible assets was $49.4 million and $49.6 million for the six months ended June 30, 2023 and 2022, respectively.</w:t>
      </w:r>
    </w:p>
    <w:p>
      <w:pPr>
        <w:spacing w:after="0" w:line="127" w:lineRule="exact"/>
        <w:rPr>
          <w:sz w:val="20"/>
          <w:szCs w:val="20"/>
          <w:color w:val="auto"/>
        </w:rPr>
      </w:pPr>
    </w:p>
    <w:p>
      <w:pPr>
        <w:ind w:left="520" w:right="80"/>
        <w:spacing w:after="0" w:line="275" w:lineRule="auto"/>
        <w:rPr>
          <w:sz w:val="20"/>
          <w:szCs w:val="20"/>
          <w:color w:val="auto"/>
        </w:rPr>
      </w:pPr>
      <w:r>
        <w:rPr>
          <w:rFonts w:ascii="Arial" w:cs="Arial" w:eastAsia="Arial" w:hAnsi="Arial"/>
          <w:sz w:val="18"/>
          <w:szCs w:val="18"/>
          <w:color w:val="auto"/>
        </w:rPr>
        <w:t>Future amortization expense for the remainder of the year ended December 31, 2023 and the following four years ended December 31 and thereafter for intangible assets as of June 30, 2023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2"/>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49,018</w:t>
            </w:r>
          </w:p>
        </w:tc>
        <w:tc>
          <w:tcPr>
            <w:tcW w:w="14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2024</w:t>
            </w:r>
          </w:p>
        </w:tc>
        <w:tc>
          <w:tcPr>
            <w:tcW w:w="5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80,768</w:t>
            </w:r>
          </w:p>
        </w:tc>
        <w:tc>
          <w:tcPr>
            <w:tcW w:w="14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72,454</w:t>
            </w:r>
          </w:p>
        </w:tc>
        <w:tc>
          <w:tcPr>
            <w:tcW w:w="14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2026</w:t>
            </w:r>
          </w:p>
        </w:tc>
        <w:tc>
          <w:tcPr>
            <w:tcW w:w="5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72,454</w:t>
            </w:r>
          </w:p>
        </w:tc>
        <w:tc>
          <w:tcPr>
            <w:tcW w:w="14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72,454</w:t>
            </w:r>
          </w:p>
        </w:tc>
        <w:tc>
          <w:tcPr>
            <w:tcW w:w="14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Thereafter</w:t>
            </w:r>
          </w:p>
        </w:tc>
        <w:tc>
          <w:tcPr>
            <w:tcW w:w="5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526,446</w:t>
            </w:r>
          </w:p>
        </w:tc>
        <w:tc>
          <w:tcPr>
            <w:tcW w:w="140" w:type="dxa"/>
            <w:vAlign w:val="bottom"/>
          </w:tcPr>
          <w:p>
            <w:pPr>
              <w:spacing w:after="0"/>
              <w:rPr>
                <w:sz w:val="20"/>
                <w:szCs w:val="20"/>
                <w:color w:val="auto"/>
              </w:rPr>
            </w:pPr>
          </w:p>
        </w:tc>
      </w:tr>
      <w:tr>
        <w:trPr>
          <w:trHeight w:val="275"/>
        </w:trPr>
        <w:tc>
          <w:tcPr>
            <w:tcW w:w="580" w:type="dxa"/>
            <w:vAlign w:val="bottom"/>
          </w:tcPr>
          <w:p>
            <w:pPr>
              <w:spacing w:after="0"/>
              <w:rPr>
                <w:sz w:val="23"/>
                <w:szCs w:val="23"/>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16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873,594</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632"/>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60" w:type="dxa"/>
            <w:vAlign w:val="bottom"/>
          </w:tcPr>
          <w:p>
            <w:pPr>
              <w:jc w:val="right"/>
              <w:ind w:right="347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5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7052310</wp:posOffset>
            </wp:positionH>
            <wp:positionV relativeFrom="paragraph">
              <wp:posOffset>-511175</wp:posOffset>
            </wp:positionV>
            <wp:extent cx="850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-494030</wp:posOffset>
            </wp:positionV>
            <wp:extent cx="850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9" w:name="page20"/>
    <w:bookmarkEnd w:id="19"/>
    <w:p>
      <w:pPr>
        <w:ind w:left="520" w:hanging="513"/>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as of June 30, 2023 and December 31, 2022 consists of the following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20"/>
                <w:szCs w:val="20"/>
                <w:color w:val="auto"/>
              </w:rPr>
            </w:pPr>
          </w:p>
        </w:tc>
      </w:tr>
      <w:tr>
        <w:trPr>
          <w:trHeight w:val="248"/>
        </w:trPr>
        <w:tc>
          <w:tcPr>
            <w:tcW w:w="7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2"/>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53,530</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1,877</w:t>
            </w:r>
          </w:p>
        </w:tc>
        <w:tc>
          <w:tcPr>
            <w:tcW w:w="140" w:type="dxa"/>
            <w:vAlign w:val="bottom"/>
          </w:tcPr>
          <w:p>
            <w:pPr>
              <w:spacing w:after="0"/>
              <w:rPr>
                <w:sz w:val="20"/>
                <w:szCs w:val="20"/>
                <w:color w:val="auto"/>
              </w:rPr>
            </w:pPr>
          </w:p>
        </w:tc>
      </w:tr>
      <w:tr>
        <w:trPr>
          <w:trHeight w:val="24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Royalties and licenses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Employee insurance benefits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20"/>
                <w:szCs w:val="20"/>
                <w:color w:val="auto"/>
              </w:rPr>
            </w:pPr>
          </w:p>
        </w:tc>
      </w:tr>
      <w:tr>
        <w:trPr>
          <w:trHeight w:val="248"/>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Sales tax</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14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Software license agreement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3,243</w:t>
            </w:r>
          </w:p>
        </w:tc>
        <w:tc>
          <w:tcPr>
            <w:tcW w:w="140" w:type="dxa"/>
            <w:vAlign w:val="bottom"/>
          </w:tcPr>
          <w:p>
            <w:pPr>
              <w:spacing w:after="0"/>
              <w:rPr>
                <w:sz w:val="20"/>
                <w:szCs w:val="20"/>
                <w:color w:val="auto"/>
              </w:rPr>
            </w:pPr>
          </w:p>
        </w:tc>
      </w:tr>
      <w:tr>
        <w:trPr>
          <w:trHeight w:val="248"/>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54,711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71,445</w:t>
            </w:r>
          </w:p>
        </w:tc>
        <w:tc>
          <w:tcPr>
            <w:tcW w:w="14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-187325</wp:posOffset>
            </wp:positionV>
            <wp:extent cx="76835" cy="1879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090" cy="1879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311"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liabilities as of June 30, 2023 and December 31, 2022 consists of the following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20"/>
                <w:szCs w:val="20"/>
                <w:color w:val="auto"/>
              </w:rPr>
            </w:pPr>
          </w:p>
        </w:tc>
      </w:tr>
      <w:tr>
        <w:trPr>
          <w:trHeight w:val="248"/>
        </w:trPr>
        <w:tc>
          <w:tcPr>
            <w:tcW w:w="7060" w:type="dxa"/>
            <w:vAlign w:val="bottom"/>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2"/>
        </w:trPr>
        <w:tc>
          <w:tcPr>
            <w:tcW w:w="7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revenue—non-current</w:t>
            </w: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1,139</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40" w:type="dxa"/>
            <w:vAlign w:val="bottom"/>
            <w:shd w:val="clear" w:color="auto" w:fill="CFF0FC"/>
          </w:tcPr>
          <w:p>
            <w:pPr>
              <w:spacing w:after="0"/>
              <w:rPr>
                <w:sz w:val="21"/>
                <w:szCs w:val="21"/>
                <w:color w:val="auto"/>
              </w:rPr>
            </w:pPr>
          </w:p>
        </w:tc>
      </w:tr>
      <w:tr>
        <w:trPr>
          <w:trHeight w:val="236"/>
        </w:trPr>
        <w:tc>
          <w:tcPr>
            <w:tcW w:w="7060" w:type="dxa"/>
            <w:vAlign w:val="bottom"/>
          </w:tcPr>
          <w:p>
            <w:pPr>
              <w:spacing w:after="0"/>
              <w:rPr>
                <w:sz w:val="20"/>
                <w:szCs w:val="20"/>
                <w:color w:val="auto"/>
              </w:rPr>
            </w:pPr>
            <w:r>
              <w:rPr>
                <w:rFonts w:ascii="Arial" w:cs="Arial" w:eastAsia="Arial" w:hAnsi="Arial"/>
                <w:sz w:val="18"/>
                <w:szCs w:val="18"/>
                <w:color w:val="auto"/>
              </w:rPr>
              <w:t>Software license agreement</w:t>
            </w:r>
          </w:p>
        </w:tc>
        <w:tc>
          <w:tcPr>
            <w:tcW w:w="1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20"/>
                <w:szCs w:val="20"/>
                <w:color w:val="auto"/>
              </w:rPr>
            </w:pPr>
          </w:p>
        </w:tc>
      </w:tr>
      <w:tr>
        <w:trPr>
          <w:trHeight w:val="248"/>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2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21"/>
                <w:szCs w:val="21"/>
                <w:color w:val="auto"/>
              </w:rPr>
            </w:pPr>
          </w:p>
        </w:tc>
      </w:tr>
      <w:tr>
        <w:trPr>
          <w:trHeight w:val="236"/>
        </w:trPr>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r>
      <w:tr>
        <w:trPr>
          <w:trHeight w:val="275"/>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liabilities</w:t>
            </w: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1,550</w:t>
            </w:r>
          </w:p>
        </w:tc>
        <w:tc>
          <w:tcPr>
            <w:tcW w:w="3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-24765</wp:posOffset>
            </wp:positionV>
            <wp:extent cx="850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-7620</wp:posOffset>
            </wp:positionV>
            <wp:extent cx="850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84" w:lineRule="exact"/>
        <w:rPr>
          <w:sz w:val="20"/>
          <w:szCs w:val="20"/>
          <w:color w:val="auto"/>
        </w:rPr>
      </w:pPr>
    </w:p>
    <w:p>
      <w:pPr>
        <w:ind w:left="520" w:hanging="513"/>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19" w:lineRule="exact"/>
        <w:rPr>
          <w:rFonts w:ascii="Arial" w:cs="Arial" w:eastAsia="Arial" w:hAnsi="Arial"/>
          <w:sz w:val="18"/>
          <w:szCs w:val="18"/>
          <w:b w:val="1"/>
          <w:bCs w:val="1"/>
          <w:color w:val="auto"/>
        </w:rPr>
      </w:pPr>
    </w:p>
    <w:p>
      <w:pPr>
        <w:ind w:left="520" w:right="820" w:firstLine="1"/>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On September 21, 2021, CCC Intelligent Solutions Inc., an indirect wholly-owned subsidiary of the Company, together with certain of the Company’s subsidiaries acting as guarantors entered into a credit agreement (as amended, the “2021 Credit Agreement”).</w:t>
      </w:r>
    </w:p>
    <w:p>
      <w:pPr>
        <w:spacing w:after="0" w:line="40" w:lineRule="exact"/>
        <w:rPr>
          <w:rFonts w:ascii="Arial" w:cs="Arial" w:eastAsia="Arial" w:hAnsi="Arial"/>
          <w:sz w:val="18"/>
          <w:szCs w:val="18"/>
          <w:b w:val="1"/>
          <w:bCs w:val="1"/>
          <w:color w:val="auto"/>
        </w:rPr>
      </w:pPr>
    </w:p>
    <w:p>
      <w:pPr>
        <w:ind w:left="520" w:right="2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proceeds of the 2021 Credit Agreement and cash on hand were used to repay all outstanding borrowings under the Company's previous credit agreement.</w:t>
      </w:r>
    </w:p>
    <w:p>
      <w:pPr>
        <w:spacing w:after="0" w:line="63" w:lineRule="exact"/>
        <w:rPr>
          <w:rFonts w:ascii="Arial" w:cs="Arial" w:eastAsia="Arial" w:hAnsi="Arial"/>
          <w:sz w:val="18"/>
          <w:szCs w:val="18"/>
          <w:b w:val="1"/>
          <w:bCs w:val="1"/>
          <w:color w:val="auto"/>
        </w:rPr>
      </w:pPr>
    </w:p>
    <w:p>
      <w:pPr>
        <w:ind w:left="52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 As of June 30, 2023 and December 31, 2022, the unamortized debt discount was $1.6 million and $1.7 million, respectively.</w:t>
      </w:r>
    </w:p>
    <w:p>
      <w:pPr>
        <w:spacing w:after="0" w:line="82" w:lineRule="exact"/>
        <w:rPr>
          <w:rFonts w:ascii="Arial" w:cs="Arial" w:eastAsia="Arial" w:hAnsi="Arial"/>
          <w:sz w:val="18"/>
          <w:szCs w:val="18"/>
          <w:b w:val="1"/>
          <w:bCs w:val="1"/>
          <w:color w:val="auto"/>
        </w:rPr>
      </w:pPr>
    </w:p>
    <w:p>
      <w:pPr>
        <w:jc w:val="both"/>
        <w:ind w:left="520" w:right="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incurred $9.8 million in financing costs related to the Term B Loan. These costs were recorded to a contra debt account and are being amortized to interest expense over the term of the Term B Loan using the effective interest method. As of June 30, 2023 and December 31, 2022, the unamortized financing costs were $7.7 million and $8.2 million, respectively.</w:t>
      </w:r>
    </w:p>
    <w:p>
      <w:pPr>
        <w:spacing w:after="0" w:line="74" w:lineRule="exact"/>
        <w:rPr>
          <w:rFonts w:ascii="Arial" w:cs="Arial" w:eastAsia="Arial" w:hAnsi="Arial"/>
          <w:sz w:val="18"/>
          <w:szCs w:val="18"/>
          <w:b w:val="1"/>
          <w:bCs w:val="1"/>
          <w:color w:val="auto"/>
        </w:rPr>
      </w:pPr>
    </w:p>
    <w:p>
      <w:pPr>
        <w:ind w:left="520" w:right="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incurred $3.1 million in financing costs related to the 2021 Revolving Credit Facility. These costs were recorded to a deferred financing fees asset account and are being amortized to interest expense over the term of the 2021 Revolving Credit Facility. As of June 30, 2023 and December 31, 2022, the deferred financing fees asset balance was $2.0 million and $2.3 million, respectively.</w:t>
      </w:r>
    </w:p>
    <w:p>
      <w:pPr>
        <w:spacing w:after="0" w:line="58" w:lineRule="exact"/>
        <w:rPr>
          <w:rFonts w:ascii="Arial" w:cs="Arial" w:eastAsia="Arial" w:hAnsi="Arial"/>
          <w:sz w:val="18"/>
          <w:szCs w:val="18"/>
          <w:b w:val="1"/>
          <w:bCs w:val="1"/>
          <w:color w:val="auto"/>
        </w:rPr>
      </w:pPr>
    </w:p>
    <w:p>
      <w:pPr>
        <w:ind w:left="520" w:right="2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The Term B Loan requires quarterly principal payments of $2.0 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sectPr>
      </w:pPr>
    </w:p>
    <w:bookmarkStart w:id="20" w:name="page21"/>
    <w:bookmarkEnd w:id="20"/>
    <w:p>
      <w:pPr>
        <w:jc w:val="both"/>
        <w:ind w:left="520" w:right="660"/>
        <w:spacing w:after="0" w:line="275" w:lineRule="auto"/>
        <w:rPr>
          <w:sz w:val="20"/>
          <w:szCs w:val="20"/>
          <w:color w:val="auto"/>
        </w:rPr>
      </w:pPr>
      <w:r>
        <w:rPr>
          <w:rFonts w:ascii="Arial" w:cs="Arial" w:eastAsia="Arial" w:hAnsi="Arial"/>
          <w:sz w:val="18"/>
          <w:szCs w:val="18"/>
          <w:color w:val="auto"/>
        </w:rPr>
        <w:t>3.5 threshold and the Company was not subject to the annual excess cash flow calculation and, as such, was not required to make a principal prepayment.</w:t>
      </w:r>
    </w:p>
    <w:p>
      <w:pPr>
        <w:spacing w:after="0" w:line="63" w:lineRule="exact"/>
        <w:rPr>
          <w:sz w:val="20"/>
          <w:szCs w:val="20"/>
          <w:color w:val="auto"/>
        </w:rPr>
      </w:pPr>
    </w:p>
    <w:p>
      <w:pPr>
        <w:ind w:left="520" w:right="420"/>
        <w:spacing w:after="0" w:line="275" w:lineRule="auto"/>
        <w:rPr>
          <w:sz w:val="20"/>
          <w:szCs w:val="20"/>
          <w:color w:val="auto"/>
        </w:rPr>
      </w:pPr>
      <w:r>
        <w:rPr>
          <w:rFonts w:ascii="Arial" w:cs="Arial" w:eastAsia="Arial" w:hAnsi="Arial"/>
          <w:sz w:val="18"/>
          <w:szCs w:val="18"/>
          <w:color w:val="auto"/>
        </w:rPr>
        <w:t>As of June 30, 2023 and December 31, 2022, the amount outstanding on the Term B Loan is $788.0 million and $792.0 million, respectively, of which $8.0 million is classified as current in the accompanying condensed consolidated balance sheets.</w:t>
      </w:r>
    </w:p>
    <w:p>
      <w:pPr>
        <w:spacing w:after="0" w:line="63" w:lineRule="exact"/>
        <w:rPr>
          <w:sz w:val="20"/>
          <w:szCs w:val="20"/>
          <w:color w:val="auto"/>
        </w:rPr>
      </w:pPr>
    </w:p>
    <w:p>
      <w:pPr>
        <w:ind w:left="520" w:right="160"/>
        <w:spacing w:after="0" w:line="305" w:lineRule="auto"/>
        <w:rPr>
          <w:sz w:val="20"/>
          <w:szCs w:val="20"/>
          <w:color w:val="auto"/>
        </w:rPr>
      </w:pPr>
      <w:r>
        <w:rPr>
          <w:rFonts w:ascii="Arial" w:cs="Arial" w:eastAsia="Arial" w:hAnsi="Arial"/>
          <w:sz w:val="17"/>
          <w:szCs w:val="17"/>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41" w:lineRule="exact"/>
        <w:rPr>
          <w:sz w:val="20"/>
          <w:szCs w:val="20"/>
          <w:color w:val="auto"/>
        </w:rPr>
      </w:pPr>
    </w:p>
    <w:p>
      <w:pPr>
        <w:jc w:val="both"/>
        <w:ind w:left="520" w:right="660"/>
        <w:spacing w:after="0" w:line="258" w:lineRule="auto"/>
        <w:rPr>
          <w:sz w:val="20"/>
          <w:szCs w:val="20"/>
          <w:color w:val="auto"/>
        </w:rPr>
      </w:pPr>
      <w:r>
        <w:rPr>
          <w:rFonts w:ascii="Arial" w:cs="Arial" w:eastAsia="Arial" w:hAnsi="Arial"/>
          <w:sz w:val="18"/>
          <w:szCs w:val="18"/>
          <w:color w:val="auto"/>
        </w:rPr>
        <w:t>On May 19, 2023, the Company entered into Amendment No. 1 to the 2021 Credit Agreement (the “Amendment”) to establish SOFR as the benchmark rate for determining the applicable interest rate, replacing LIBOR. No other terms, including the amount of borrowings, required payments or maturity date, were changed as a result of the Amendment. The Company did not incur any significant costs associated with the Amendment.</w:t>
      </w:r>
    </w:p>
    <w:p>
      <w:pPr>
        <w:spacing w:after="0" w:line="77" w:lineRule="exact"/>
        <w:rPr>
          <w:sz w:val="20"/>
          <w:szCs w:val="20"/>
          <w:color w:val="auto"/>
        </w:rPr>
      </w:pPr>
    </w:p>
    <w:p>
      <w:pPr>
        <w:jc w:val="both"/>
        <w:ind w:left="520" w:right="80"/>
        <w:spacing w:after="0" w:line="258" w:lineRule="auto"/>
        <w:rPr>
          <w:sz w:val="20"/>
          <w:szCs w:val="20"/>
          <w:color w:val="auto"/>
        </w:rPr>
      </w:pPr>
      <w:r>
        <w:rPr>
          <w:rFonts w:ascii="Arial" w:cs="Arial" w:eastAsia="Arial" w:hAnsi="Arial"/>
          <w:sz w:val="18"/>
          <w:szCs w:val="18"/>
          <w:color w:val="auto"/>
        </w:rPr>
        <w:t>Subsequent to the execution of the Amendment, the interest rate per annum applicable to the loans is based on a fluctuating rate of interest equal to the sum of an applicable rate and term SOFR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7" w:lineRule="exact"/>
        <w:rPr>
          <w:sz w:val="20"/>
          <w:szCs w:val="20"/>
          <w:color w:val="auto"/>
        </w:rPr>
      </w:pPr>
    </w:p>
    <w:p>
      <w:pPr>
        <w:ind w:left="520" w:right="240"/>
        <w:spacing w:after="0" w:line="275" w:lineRule="auto"/>
        <w:rPr>
          <w:sz w:val="20"/>
          <w:szCs w:val="20"/>
          <w:color w:val="auto"/>
        </w:rPr>
      </w:pPr>
      <w:r>
        <w:rPr>
          <w:rFonts w:ascii="Arial" w:cs="Arial" w:eastAsia="Arial" w:hAnsi="Arial"/>
          <w:sz w:val="18"/>
          <w:szCs w:val="18"/>
          <w:color w:val="auto"/>
        </w:rPr>
        <w:t>Prior to the execution of the Amendment, the interest rate per annum applicable to the loans was based on a fluctuating rate of interest equal to the sum of an applicable rate and, at the Company’s election from time to time, either:</w:t>
      </w:r>
    </w:p>
    <w:p>
      <w:pPr>
        <w:spacing w:after="0" w:line="63" w:lineRule="exact"/>
        <w:rPr>
          <w:sz w:val="20"/>
          <w:szCs w:val="20"/>
          <w:color w:val="auto"/>
        </w:rPr>
      </w:pPr>
    </w:p>
    <w:p>
      <w:pPr>
        <w:ind w:left="1120" w:right="220" w:hanging="558"/>
        <w:spacing w:after="0" w:line="262"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spacing w:after="0" w:line="74" w:lineRule="exact"/>
        <w:rPr>
          <w:rFonts w:ascii="Arial" w:cs="Arial" w:eastAsia="Arial" w:hAnsi="Arial"/>
          <w:sz w:val="18"/>
          <w:szCs w:val="18"/>
          <w:color w:val="auto"/>
        </w:rPr>
      </w:pPr>
    </w:p>
    <w:p>
      <w:pPr>
        <w:ind w:left="1120" w:right="160" w:hanging="558"/>
        <w:spacing w:after="0" w:line="262"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5" w:lineRule="exact"/>
        <w:rPr>
          <w:sz w:val="20"/>
          <w:szCs w:val="20"/>
          <w:color w:val="auto"/>
        </w:rPr>
      </w:pPr>
    </w:p>
    <w:p>
      <w:pPr>
        <w:ind w:left="520" w:right="440"/>
        <w:spacing w:after="0" w:line="275" w:lineRule="auto"/>
        <w:rPr>
          <w:sz w:val="20"/>
          <w:szCs w:val="20"/>
          <w:color w:val="auto"/>
        </w:rPr>
      </w:pPr>
      <w:r>
        <w:rPr>
          <w:rFonts w:ascii="Arial" w:cs="Arial" w:eastAsia="Arial" w:hAnsi="Arial"/>
          <w:sz w:val="18"/>
          <w:szCs w:val="18"/>
          <w:color w:val="auto"/>
        </w:rPr>
        <w:t>A quarterly commitment fee of up to 0.50% is payable on the unused portion of the 2021 Revolving Credit Facility. The 2021 Revolving Credit Facility matures on September 21, 2026.</w:t>
      </w:r>
    </w:p>
    <w:p>
      <w:pPr>
        <w:spacing w:after="0" w:line="63" w:lineRule="exact"/>
        <w:rPr>
          <w:sz w:val="20"/>
          <w:szCs w:val="20"/>
          <w:color w:val="auto"/>
        </w:rPr>
      </w:pPr>
    </w:p>
    <w:p>
      <w:pPr>
        <w:ind w:left="520" w:right="20"/>
        <w:spacing w:after="0" w:line="262" w:lineRule="auto"/>
        <w:rPr>
          <w:sz w:val="20"/>
          <w:szCs w:val="20"/>
          <w:color w:val="auto"/>
        </w:rPr>
      </w:pPr>
      <w:r>
        <w:rPr>
          <w:rFonts w:ascii="Arial" w:cs="Arial" w:eastAsia="Arial" w:hAnsi="Arial"/>
          <w:sz w:val="18"/>
          <w:szCs w:val="18"/>
          <w:color w:val="auto"/>
        </w:rPr>
        <w:t>During the three months ended June 30, 2023 and 2022, the weighted-average interest rate on the outstanding borrowings under the Term B Loan was 7.4% and 3.3%, respectively. During the three months ended June 30, 2023 and 2022, the Company made interest payments of $14.6 million and $6.6 million, respectively.</w:t>
      </w:r>
    </w:p>
    <w:p>
      <w:pPr>
        <w:spacing w:after="0" w:line="182" w:lineRule="exact"/>
        <w:rPr>
          <w:sz w:val="20"/>
          <w:szCs w:val="20"/>
          <w:color w:val="auto"/>
        </w:rPr>
      </w:pPr>
    </w:p>
    <w:p>
      <w:pPr>
        <w:ind w:left="520" w:right="40"/>
        <w:spacing w:after="0" w:line="262" w:lineRule="auto"/>
        <w:rPr>
          <w:sz w:val="20"/>
          <w:szCs w:val="20"/>
          <w:color w:val="auto"/>
        </w:rPr>
      </w:pPr>
      <w:r>
        <w:rPr>
          <w:rFonts w:ascii="Arial" w:cs="Arial" w:eastAsia="Arial" w:hAnsi="Arial"/>
          <w:sz w:val="18"/>
          <w:szCs w:val="18"/>
          <w:color w:val="auto"/>
        </w:rPr>
        <w:t>During the six months ended June 30, 2023 and 2022, the weighted-average interest rate on the outstanding borrowings under the Term B Loan was 7.1% and 3.2%, respectively. During the six months ended June 30, 2023 and 2022, the Company made interest payments of $28.1 million and $12.5 million, respectively.</w:t>
      </w:r>
    </w:p>
    <w:p>
      <w:pPr>
        <w:spacing w:after="0" w:line="75" w:lineRule="exact"/>
        <w:rPr>
          <w:sz w:val="20"/>
          <w:szCs w:val="20"/>
          <w:color w:val="auto"/>
        </w:rPr>
      </w:pPr>
    </w:p>
    <w:p>
      <w:pPr>
        <w:ind w:left="520" w:right="640"/>
        <w:spacing w:after="0" w:line="305" w:lineRule="auto"/>
        <w:rPr>
          <w:sz w:val="20"/>
          <w:szCs w:val="20"/>
          <w:color w:val="auto"/>
        </w:rPr>
      </w:pPr>
      <w:r>
        <w:rPr>
          <w:rFonts w:ascii="Arial" w:cs="Arial" w:eastAsia="Arial" w:hAnsi="Arial"/>
          <w:sz w:val="17"/>
          <w:szCs w:val="17"/>
          <w:color w:val="auto"/>
        </w:rPr>
        <w:t>The Company has an outstanding standby letter of credit for $0.7 million which reduces the amount available to be borrowed under the 2021 Revolving Credit Facility. As of June 30, 2023 and December 31, 2022, $249.3 million was available to be borrowed.</w:t>
      </w:r>
    </w:p>
    <w:p>
      <w:pPr>
        <w:spacing w:after="0" w:line="41" w:lineRule="exact"/>
        <w:rPr>
          <w:sz w:val="20"/>
          <w:szCs w:val="20"/>
          <w:color w:val="auto"/>
        </w:rPr>
      </w:pPr>
    </w:p>
    <w:p>
      <w:pPr>
        <w:ind w:left="520" w:right="40"/>
        <w:spacing w:after="0" w:line="277" w:lineRule="auto"/>
        <w:rPr>
          <w:sz w:val="20"/>
          <w:szCs w:val="20"/>
          <w:color w:val="auto"/>
        </w:rPr>
      </w:pPr>
      <w:r>
        <w:rPr>
          <w:rFonts w:ascii="Arial" w:cs="Arial" w:eastAsia="Arial" w:hAnsi="Arial"/>
          <w:sz w:val="17"/>
          <w:szCs w:val="17"/>
          <w:color w:val="auto"/>
        </w:rPr>
        <w:t>The terms of the 2021 Credit Agreement include a financial covenant which requires that, at the end of each fiscal quarter, if the aggregate amount of borrowings under the 2021 Revolving Credit Facility exceeds 35% of the aggregate commitments, leverage ratio of CCC Intelligent Solutions Inc. and certain of its subsidiaries cannot exceed 6.25 to 1.00. Borrowings under the 2021 Revolving Credit Facility did not exceed 35% of the aggregate commitments and the Company was not subject to the leverage test as of June 30, 2023 or December 31, 2022.</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June 30, 2023 and December 31, 2022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5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Term B Loan</w:t>
            </w:r>
          </w:p>
        </w:tc>
        <w:tc>
          <w:tcPr>
            <w:tcW w:w="29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788,000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Term B Loan—discount</w:t>
            </w: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(1,558 )</w:t>
            </w:r>
          </w:p>
        </w:tc>
        <w:tc>
          <w:tcPr>
            <w:tcW w:w="2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(1,669 )</w:t>
            </w: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Term B Loan—deferred financing fees</w:t>
            </w:r>
          </w:p>
        </w:tc>
        <w:tc>
          <w:tcPr>
            <w:tcW w:w="2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(7,655 )</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(8,199 )</w:t>
            </w: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1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Term B Loan—net of discount &amp; fees</w:t>
            </w:r>
          </w:p>
        </w:tc>
        <w:tc>
          <w:tcPr>
            <w:tcW w:w="29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778,787</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782,132</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9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 long-term debt—net of current portion</w:t>
            </w:r>
          </w:p>
        </w:tc>
        <w:tc>
          <w:tcPr>
            <w:tcW w:w="3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770,787</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774,132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60" w:type="dxa"/>
            <w:vAlign w:val="bottom"/>
            <w:vMerge w:val="restart"/>
          </w:tcPr>
          <w:p>
            <w:pPr>
              <w:jc w:val="right"/>
              <w:ind w:right="189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-997585</wp:posOffset>
            </wp:positionV>
            <wp:extent cx="85090" cy="1708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-997585</wp:posOffset>
            </wp:positionV>
            <wp:extent cx="85090" cy="1708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-673100</wp:posOffset>
            </wp:positionV>
            <wp:extent cx="85090" cy="1879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-673100</wp:posOffset>
            </wp:positionV>
            <wp:extent cx="85090" cy="1879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1" w:name="page22"/>
    <w:bookmarkEnd w:id="21"/>
    <w:p>
      <w:pPr>
        <w:ind w:left="520" w:right="260"/>
        <w:spacing w:after="0" w:line="262"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—In August 2022, the Company entered into two interest rate cap agreements to reduce its exposure to increases in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its floating rate long-term debt. The aggregate notional value of the interest rate cap agreements is $600.0 million with a cap rate of 4.0% and an expiration date of July 31, 2025.</w:t>
      </w:r>
    </w:p>
    <w:p>
      <w:pPr>
        <w:spacing w:after="0" w:line="75" w:lineRule="exact"/>
        <w:rPr>
          <w:sz w:val="20"/>
          <w:szCs w:val="20"/>
          <w:color w:val="auto"/>
        </w:rPr>
      </w:pPr>
    </w:p>
    <w:p>
      <w:pPr>
        <w:ind w:left="520" w:right="60"/>
        <w:spacing w:after="0" w:line="277" w:lineRule="auto"/>
        <w:rPr>
          <w:sz w:val="20"/>
          <w:szCs w:val="20"/>
          <w:color w:val="auto"/>
        </w:rPr>
      </w:pPr>
      <w:r>
        <w:rPr>
          <w:rFonts w:ascii="Arial" w:cs="Arial" w:eastAsia="Arial" w:hAnsi="Arial"/>
          <w:sz w:val="17"/>
          <w:szCs w:val="17"/>
          <w:color w:val="auto"/>
        </w:rPr>
        <w:t>During the three months ended June 30,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 The Company elected the optional expedients available within ASC 848 to allow for this transition without any modification to the derivative classification of the interest rate cap agreements.</w:t>
      </w:r>
    </w:p>
    <w:p>
      <w:pPr>
        <w:spacing w:after="0" w:line="65" w:lineRule="exact"/>
        <w:rPr>
          <w:sz w:val="20"/>
          <w:szCs w:val="20"/>
          <w:color w:val="auto"/>
        </w:rPr>
      </w:pPr>
    </w:p>
    <w:p>
      <w:pPr>
        <w:ind w:left="520" w:right="560"/>
        <w:spacing w:after="0" w:line="275" w:lineRule="auto"/>
        <w:rPr>
          <w:sz w:val="20"/>
          <w:szCs w:val="20"/>
          <w:color w:val="auto"/>
        </w:rPr>
      </w:pPr>
      <w:r>
        <w:rPr>
          <w:rFonts w:ascii="Arial" w:cs="Arial" w:eastAsia="Arial" w:hAnsi="Arial"/>
          <w:sz w:val="18"/>
          <w:szCs w:val="18"/>
          <w:color w:val="auto"/>
        </w:rPr>
        <w:t>As of June 30, 2023 and December 31, 2022, the aggregate fair value of the interest rate cap agreements was $13.0 million and $12.0 million, respectively (see Note 5).</w:t>
      </w:r>
    </w:p>
    <w:p>
      <w:pPr>
        <w:spacing w:after="0" w:line="274"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15" w:lineRule="exact"/>
        <w:rPr>
          <w:rFonts w:ascii="Arial" w:cs="Arial" w:eastAsia="Arial" w:hAnsi="Arial"/>
          <w:sz w:val="18"/>
          <w:szCs w:val="18"/>
          <w:b w:val="1"/>
          <w:bCs w:val="1"/>
          <w:color w:val="auto"/>
        </w:rPr>
      </w:pPr>
    </w:p>
    <w:p>
      <w:pPr>
        <w:ind w:left="520" w:right="16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—The Company is authorized to issue up to 100,000,000 shares of undesignated preferred stock with a par value of $0.0001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with such designations, voting and other rights and preferences as may be determined from time to time by the Company’s board of directors. As of June 30, 2023, there were no shares of preferred stock issued or outstanding.</w:t>
      </w:r>
    </w:p>
    <w:p>
      <w:pPr>
        <w:spacing w:after="0" w:line="69" w:lineRule="exact"/>
        <w:rPr>
          <w:rFonts w:ascii="Arial" w:cs="Arial" w:eastAsia="Arial" w:hAnsi="Arial"/>
          <w:sz w:val="18"/>
          <w:szCs w:val="18"/>
          <w:b w:val="1"/>
          <w:bCs w:val="1"/>
          <w:color w:val="auto"/>
        </w:rPr>
      </w:pPr>
    </w:p>
    <w:p>
      <w:pPr>
        <w:ind w:left="520" w:right="28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—The Company is authorized to issue up to 5,000,000,000 shares of common stock with a par value of $0.0001 per share. Each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common stock is entitled to one (1)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5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There were 631,982,491 and 622,072,905 shares of common stock issued and outstanding as of June 30, 2023 and December 31, 2022, respectively.</w:t>
      </w:r>
    </w:p>
    <w:p>
      <w:pPr>
        <w:spacing w:after="0" w:line="134" w:lineRule="exact"/>
        <w:rPr>
          <w:rFonts w:ascii="Arial" w:cs="Arial" w:eastAsia="Arial" w:hAnsi="Arial"/>
          <w:sz w:val="18"/>
          <w:szCs w:val="18"/>
          <w:b w:val="1"/>
          <w:bCs w:val="1"/>
          <w:color w:val="auto"/>
        </w:rPr>
      </w:pPr>
    </w:p>
    <w:p>
      <w:pPr>
        <w:ind w:left="560" w:hanging="553"/>
        <w:spacing w:after="0"/>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19" w:lineRule="exact"/>
        <w:rPr>
          <w:rFonts w:ascii="Arial" w:cs="Arial" w:eastAsia="Arial" w:hAnsi="Arial"/>
          <w:sz w:val="18"/>
          <w:szCs w:val="18"/>
          <w:b w:val="1"/>
          <w:bCs w:val="1"/>
          <w:color w:val="auto"/>
        </w:rPr>
      </w:pPr>
    </w:p>
    <w:p>
      <w:pPr>
        <w:ind w:left="5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As of June 30, 2023 and December 31, 2022, on an as-converted basis, the Preferred Shares represent an aggregate 10.0% ownership interest of the issued and outstanding capital stock of CCC Cayman, or 8.6% on a fully-diluted basis.</w:t>
      </w:r>
    </w:p>
    <w:p>
      <w:pPr>
        <w:spacing w:after="0" w:line="83" w:lineRule="exact"/>
        <w:rPr>
          <w:rFonts w:ascii="Arial" w:cs="Arial" w:eastAsia="Arial" w:hAnsi="Arial"/>
          <w:sz w:val="18"/>
          <w:szCs w:val="18"/>
          <w:b w:val="1"/>
          <w:bCs w:val="1"/>
          <w:color w:val="auto"/>
        </w:rPr>
      </w:pPr>
    </w:p>
    <w:p>
      <w:pPr>
        <w:ind w:left="560" w:right="60"/>
        <w:spacing w:after="0" w:line="300" w:lineRule="auto"/>
        <w:rPr>
          <w:rFonts w:ascii="Arial" w:cs="Arial" w:eastAsia="Arial" w:hAnsi="Arial"/>
          <w:sz w:val="18"/>
          <w:szCs w:val="18"/>
          <w:b w:val="1"/>
          <w:bCs w:val="1"/>
          <w:color w:val="auto"/>
        </w:rPr>
      </w:pPr>
      <w:r>
        <w:rPr>
          <w:rFonts w:ascii="Arial" w:cs="Arial" w:eastAsia="Arial" w:hAnsi="Arial"/>
          <w:sz w:val="16"/>
          <w:szCs w:val="16"/>
          <w:color w:val="auto"/>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spacing w:after="0" w:line="4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Preferred Shares do not participate in net income or losses.</w:t>
      </w:r>
    </w:p>
    <w:p>
      <w:pPr>
        <w:spacing w:after="0" w:line="115" w:lineRule="exact"/>
        <w:rPr>
          <w:rFonts w:ascii="Arial" w:cs="Arial" w:eastAsia="Arial" w:hAnsi="Arial"/>
          <w:sz w:val="18"/>
          <w:szCs w:val="18"/>
          <w:b w:val="1"/>
          <w:bCs w:val="1"/>
          <w:color w:val="auto"/>
        </w:rPr>
      </w:pPr>
    </w:p>
    <w:p>
      <w:pPr>
        <w:ind w:left="560" w:right="4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As of June 30, 2023 and December 31, 2022, the Investor’s ownership in CCC Cayman is classified in mezzanine equity as a redeemable non-controlling interest, because it is redeemable on an event that is not solely in the control of the Company.</w:t>
      </w:r>
    </w:p>
    <w:p>
      <w:pPr>
        <w:spacing w:after="0" w:line="63" w:lineRule="exact"/>
        <w:rPr>
          <w:rFonts w:ascii="Arial" w:cs="Arial" w:eastAsia="Arial" w:hAnsi="Arial"/>
          <w:sz w:val="18"/>
          <w:szCs w:val="18"/>
          <w:b w:val="1"/>
          <w:bCs w:val="1"/>
          <w:color w:val="auto"/>
        </w:rPr>
      </w:pPr>
    </w:p>
    <w:p>
      <w:pPr>
        <w:ind w:left="560" w:right="1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June 30, 2023, the Company determined it was probable the non-controlling interest would become redeemable and began to accrete the non-controlling interest to its redemption value. Changes in the carrying value of the non-controlling interest are recorded as adjustments to additional paid-in capital.</w:t>
      </w:r>
    </w:p>
    <w:p>
      <w:pPr>
        <w:spacing w:after="0" w:line="74" w:lineRule="exact"/>
        <w:rPr>
          <w:rFonts w:ascii="Arial" w:cs="Arial" w:eastAsia="Arial" w:hAnsi="Arial"/>
          <w:sz w:val="18"/>
          <w:szCs w:val="18"/>
          <w:b w:val="1"/>
          <w:bCs w:val="1"/>
          <w:color w:val="auto"/>
        </w:rPr>
      </w:pPr>
    </w:p>
    <w:p>
      <w:pPr>
        <w:ind w:left="560" w:right="2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activity impacting the redeemable non-controllable interest during the three and six months ended June 30, 2023 and 2022 is presented below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For the Three Months Ended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For the Six Months Ended</w:t>
            </w:r>
          </w:p>
        </w:tc>
        <w:tc>
          <w:tcPr>
            <w:tcW w:w="140" w:type="dxa"/>
            <w:vAlign w:val="bottom"/>
          </w:tcPr>
          <w:p>
            <w:pPr>
              <w:spacing w:after="0"/>
              <w:rPr>
                <w:sz w:val="20"/>
                <w:szCs w:val="20"/>
                <w:color w:val="auto"/>
              </w:rPr>
            </w:pPr>
          </w:p>
        </w:tc>
      </w:tr>
      <w:tr>
        <w:trPr>
          <w:trHeight w:val="248"/>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140" w:type="dxa"/>
            <w:vAlign w:val="bottom"/>
            <w:shd w:val="clear" w:color="auto" w:fill="CFF0FC"/>
          </w:tcPr>
          <w:p>
            <w:pPr>
              <w:spacing w:after="0"/>
              <w:rPr>
                <w:sz w:val="20"/>
                <w:szCs w:val="20"/>
                <w:color w:val="auto"/>
              </w:rPr>
            </w:pPr>
          </w:p>
        </w:tc>
      </w:tr>
      <w:tr>
        <w:trPr>
          <w:trHeight w:val="236"/>
        </w:trPr>
        <w:tc>
          <w:tcPr>
            <w:tcW w:w="5080" w:type="dxa"/>
            <w:vAlign w:val="bottom"/>
          </w:tcPr>
          <w:p>
            <w:pPr>
              <w:ind w:left="200"/>
              <w:spacing w:after="0"/>
              <w:rPr>
                <w:sz w:val="20"/>
                <w:szCs w:val="20"/>
                <w:color w:val="auto"/>
              </w:rPr>
            </w:pPr>
            <w:r>
              <w:rPr>
                <w:rFonts w:ascii="Arial" w:cs="Arial" w:eastAsia="Arial" w:hAnsi="Arial"/>
                <w:sz w:val="18"/>
                <w:szCs w:val="18"/>
                <w:color w:val="auto"/>
              </w:rPr>
              <w:t>Accretion of redeemable non-controlling interest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5"/>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3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63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63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-511175</wp:posOffset>
            </wp:positionV>
            <wp:extent cx="850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-494030</wp:posOffset>
            </wp:positionV>
            <wp:extent cx="850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-511175</wp:posOffset>
            </wp:positionV>
            <wp:extent cx="850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-494030</wp:posOffset>
            </wp:positionV>
            <wp:extent cx="850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-511175</wp:posOffset>
            </wp:positionV>
            <wp:extent cx="850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-494030</wp:posOffset>
            </wp:positionV>
            <wp:extent cx="850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-511175</wp:posOffset>
            </wp:positionV>
            <wp:extent cx="850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-494030</wp:posOffset>
            </wp:positionV>
            <wp:extent cx="850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2" w:name="page23"/>
    <w:bookmarkEnd w:id="22"/>
    <w:p>
      <w:pPr>
        <w:ind w:left="520" w:hanging="513"/>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19" w:lineRule="exact"/>
        <w:rPr>
          <w:rFonts w:ascii="Arial" w:cs="Arial" w:eastAsia="Arial" w:hAnsi="Arial"/>
          <w:sz w:val="18"/>
          <w:szCs w:val="18"/>
          <w:b w:val="1"/>
          <w:bCs w:val="1"/>
          <w:color w:val="auto"/>
        </w:rPr>
      </w:pPr>
    </w:p>
    <w:p>
      <w:pPr>
        <w:ind w:left="520" w:right="320"/>
        <w:spacing w:after="0" w:line="444" w:lineRule="auto"/>
        <w:rPr>
          <w:rFonts w:ascii="Arial" w:cs="Arial" w:eastAsia="Arial" w:hAnsi="Arial"/>
          <w:sz w:val="18"/>
          <w:szCs w:val="18"/>
          <w:b w:val="1"/>
          <w:bCs w:val="1"/>
          <w:color w:val="auto"/>
        </w:rPr>
      </w:pPr>
      <w:r>
        <w:rPr>
          <w:rFonts w:ascii="Arial" w:cs="Arial" w:eastAsia="Arial" w:hAnsi="Arial"/>
          <w:sz w:val="16"/>
          <w:szCs w:val="16"/>
          <w:color w:val="auto"/>
        </w:rPr>
        <w:t xml:space="preserve">In July 2021, the 2021 Equity Incentive Plan (the "2021 Plan") was adopted and approved by the Company's board of directors and stockholders. </w:t>
      </w:r>
      <w:r>
        <w:rPr>
          <w:rFonts w:ascii="Arial" w:cs="Arial" w:eastAsia="Arial" w:hAnsi="Arial"/>
          <w:sz w:val="16"/>
          <w:szCs w:val="16"/>
          <w:i w:val="1"/>
          <w:iCs w:val="1"/>
          <w:color w:val="auto"/>
        </w:rPr>
        <w:t>Restricted Stock Units</w:t>
      </w:r>
      <w:r>
        <w:rPr>
          <w:rFonts w:ascii="Arial" w:cs="Arial" w:eastAsia="Arial" w:hAnsi="Arial"/>
          <w:sz w:val="16"/>
          <w:szCs w:val="16"/>
          <w:color w:val="auto"/>
        </w:rPr>
        <w:t>—The table below summarizes the restricted stock unit ("RSU") activity for the six months ended June 30, 2023:</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20"/>
                <w:szCs w:val="20"/>
                <w:color w:val="auto"/>
              </w:rPr>
            </w:pPr>
          </w:p>
        </w:tc>
      </w:tr>
      <w:tr>
        <w:trPr>
          <w:trHeight w:val="242"/>
        </w:trPr>
        <w:tc>
          <w:tcPr>
            <w:tcW w:w="7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21"/>
                <w:szCs w:val="21"/>
                <w:color w:val="auto"/>
              </w:rPr>
            </w:pPr>
          </w:p>
        </w:tc>
      </w:tr>
      <w:tr>
        <w:trPr>
          <w:trHeight w:val="248"/>
        </w:trPr>
        <w:tc>
          <w:tcPr>
            <w:tcW w:w="7520" w:type="dxa"/>
            <w:vAlign w:val="bottom"/>
          </w:tcPr>
          <w:p>
            <w:pPr>
              <w:spacing w:after="0"/>
              <w:rPr>
                <w:sz w:val="21"/>
                <w:szCs w:val="21"/>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1"/>
                <w:szCs w:val="21"/>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1"/>
                <w:szCs w:val="21"/>
                <w:color w:val="auto"/>
              </w:rPr>
            </w:pPr>
          </w:p>
        </w:tc>
      </w:tr>
      <w:tr>
        <w:trPr>
          <w:trHeight w:val="242"/>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Unvested RSUs—December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31,288,688</w:t>
            </w:r>
          </w:p>
        </w:tc>
        <w:tc>
          <w:tcPr>
            <w:tcW w:w="3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FF0FC"/>
          </w:tcPr>
          <w:p>
            <w:pPr>
              <w:spacing w:after="0"/>
              <w:rPr>
                <w:sz w:val="21"/>
                <w:szCs w:val="21"/>
                <w:color w:val="auto"/>
              </w:rPr>
            </w:pPr>
          </w:p>
        </w:tc>
      </w:tr>
      <w:tr>
        <w:trPr>
          <w:trHeight w:val="236"/>
        </w:trPr>
        <w:tc>
          <w:tcPr>
            <w:tcW w:w="7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11,939,537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20"/>
                <w:szCs w:val="20"/>
                <w:color w:val="auto"/>
              </w:rPr>
            </w:pPr>
          </w:p>
        </w:tc>
      </w:tr>
      <w:tr>
        <w:trPr>
          <w:trHeight w:val="248"/>
        </w:trPr>
        <w:tc>
          <w:tcPr>
            <w:tcW w:w="7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(3,769,678 )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FF0FC"/>
          </w:tcPr>
          <w:p>
            <w:pPr>
              <w:spacing w:after="0"/>
              <w:rPr>
                <w:sz w:val="21"/>
                <w:szCs w:val="21"/>
                <w:color w:val="auto"/>
              </w:rPr>
            </w:pPr>
          </w:p>
        </w:tc>
      </w:tr>
      <w:tr>
        <w:trPr>
          <w:trHeight w:val="242"/>
        </w:trPr>
        <w:tc>
          <w:tcPr>
            <w:tcW w:w="75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(1,142,053 )</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21"/>
                <w:szCs w:val="21"/>
                <w:color w:val="auto"/>
              </w:rPr>
            </w:pPr>
          </w:p>
        </w:tc>
      </w:tr>
      <w:tr>
        <w:trPr>
          <w:trHeight w:val="275"/>
        </w:trPr>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RSUs—June 30,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38,316,494</w:t>
            </w:r>
          </w:p>
        </w:tc>
        <w:tc>
          <w:tcPr>
            <w:tcW w:w="3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6071235</wp:posOffset>
            </wp:positionH>
            <wp:positionV relativeFrom="paragraph">
              <wp:posOffset>-24765</wp:posOffset>
            </wp:positionV>
            <wp:extent cx="850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-7620</wp:posOffset>
            </wp:positionV>
            <wp:extent cx="850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73" w:lineRule="exact"/>
        <w:rPr>
          <w:sz w:val="20"/>
          <w:szCs w:val="20"/>
          <w:color w:val="auto"/>
        </w:rPr>
      </w:pPr>
    </w:p>
    <w:p>
      <w:pPr>
        <w:ind w:left="520" w:right="300"/>
        <w:spacing w:after="0" w:line="275" w:lineRule="auto"/>
        <w:rPr>
          <w:sz w:val="20"/>
          <w:szCs w:val="20"/>
          <w:color w:val="auto"/>
        </w:rPr>
      </w:pPr>
      <w:r>
        <w:rPr>
          <w:rFonts w:ascii="Arial" w:cs="Arial" w:eastAsia="Arial" w:hAnsi="Arial"/>
          <w:sz w:val="18"/>
          <w:szCs w:val="18"/>
          <w:color w:val="auto"/>
        </w:rPr>
        <w:t>During the six months ended June 30, 2023, the Company granted 11,939,537 RSUs, of which 10,351,104 have time-based vesting requirements, and 1,588,433 have performance-based vesting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2023, 3,769,678 RSUs vested, of which 1,250,236 were withheld for employee tax obligations.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—The table below summarizes the stock option activity for the six months ended June 30, 2023:</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2"/>
        </w:trPr>
        <w:tc>
          <w:tcPr>
            <w:tcW w:w="5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5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21"/>
                <w:szCs w:val="21"/>
                <w:color w:val="auto"/>
              </w:rPr>
            </w:pPr>
          </w:p>
        </w:tc>
      </w:tr>
      <w:tr>
        <w:trPr>
          <w:trHeight w:val="242"/>
        </w:trPr>
        <w:tc>
          <w:tcPr>
            <w:tcW w:w="5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140" w:type="dxa"/>
            <w:vAlign w:val="bottom"/>
          </w:tcPr>
          <w:p>
            <w:pPr>
              <w:spacing w:after="0"/>
              <w:rPr>
                <w:sz w:val="21"/>
                <w:szCs w:val="21"/>
                <w:color w:val="auto"/>
              </w:rPr>
            </w:pPr>
          </w:p>
        </w:tc>
      </w:tr>
      <w:tr>
        <w:trPr>
          <w:trHeight w:val="242"/>
        </w:trPr>
        <w:tc>
          <w:tcPr>
            <w:tcW w:w="5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2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1"/>
                <w:szCs w:val="21"/>
                <w:color w:val="auto"/>
              </w:rPr>
            </w:pPr>
          </w:p>
        </w:tc>
      </w:tr>
      <w:tr>
        <w:trPr>
          <w:trHeight w:val="223"/>
        </w:trPr>
        <w:tc>
          <w:tcPr>
            <w:tcW w:w="5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(in</w:t>
            </w:r>
          </w:p>
        </w:tc>
        <w:tc>
          <w:tcPr>
            <w:tcW w:w="140" w:type="dxa"/>
            <w:vAlign w:val="bottom"/>
          </w:tcPr>
          <w:p>
            <w:pPr>
              <w:spacing w:after="0"/>
              <w:rPr>
                <w:sz w:val="19"/>
                <w:szCs w:val="19"/>
                <w:color w:val="auto"/>
              </w:rPr>
            </w:pPr>
          </w:p>
        </w:tc>
      </w:tr>
      <w:tr>
        <w:trPr>
          <w:trHeight w:val="240"/>
        </w:trPr>
        <w:tc>
          <w:tcPr>
            <w:tcW w:w="552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8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140" w:type="dxa"/>
            <w:vAlign w:val="bottom"/>
          </w:tcPr>
          <w:p>
            <w:pPr>
              <w:spacing w:after="0"/>
              <w:rPr>
                <w:sz w:val="20"/>
                <w:szCs w:val="20"/>
                <w:color w:val="auto"/>
              </w:rPr>
            </w:pPr>
          </w:p>
        </w:tc>
      </w:tr>
      <w:tr>
        <w:trPr>
          <w:trHeight w:val="242"/>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45,249,260</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258,470</w:t>
            </w:r>
          </w:p>
        </w:tc>
        <w:tc>
          <w:tcPr>
            <w:tcW w:w="140" w:type="dxa"/>
            <w:vAlign w:val="bottom"/>
            <w:shd w:val="clear" w:color="auto" w:fill="CFF0FC"/>
          </w:tcPr>
          <w:p>
            <w:pPr>
              <w:spacing w:after="0"/>
              <w:rPr>
                <w:sz w:val="21"/>
                <w:szCs w:val="21"/>
                <w:color w:val="auto"/>
              </w:rPr>
            </w:pPr>
          </w:p>
        </w:tc>
      </w:tr>
      <w:tr>
        <w:trPr>
          <w:trHeight w:val="236"/>
        </w:trPr>
        <w:tc>
          <w:tcPr>
            <w:tcW w:w="55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(7,210,806 )</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8"/>
        </w:trPr>
        <w:tc>
          <w:tcPr>
            <w:tcW w:w="5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 and canceled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(493,652 )</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5"/>
        </w:trPr>
        <w:tc>
          <w:tcPr>
            <w:tcW w:w="55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Options outstanding—June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37,544,802</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2.95</w:t>
            </w:r>
          </w:p>
        </w:tc>
        <w:tc>
          <w:tcPr>
            <w:tcW w:w="1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309,944</w:t>
            </w:r>
          </w:p>
        </w:tc>
        <w:tc>
          <w:tcPr>
            <w:tcW w:w="140" w:type="dxa"/>
            <w:vAlign w:val="bottom"/>
            <w:tcBorders>
              <w:top w:val="single" w:sz="8" w:color="CFF0FC"/>
            </w:tcBorders>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2"/>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exercisable—June 30, 2023</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35,362,317</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298,143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Options vested and expected to vest—June 30,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37,435,411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309,372</w:t>
            </w:r>
          </w:p>
        </w:tc>
        <w:tc>
          <w:tcPr>
            <w:tcW w:w="14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4603750</wp:posOffset>
            </wp:positionH>
            <wp:positionV relativeFrom="paragraph">
              <wp:posOffset>-545465</wp:posOffset>
            </wp:positionV>
            <wp:extent cx="76835" cy="1879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-203835</wp:posOffset>
            </wp:positionV>
            <wp:extent cx="76835" cy="2044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204470"/>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options which vested during the six months ended June 30, 2023 was $2.3 million.</w:t>
      </w:r>
    </w:p>
    <w:p>
      <w:pPr>
        <w:spacing w:after="0" w:line="115" w:lineRule="exact"/>
        <w:rPr>
          <w:sz w:val="20"/>
          <w:szCs w:val="20"/>
          <w:color w:val="auto"/>
        </w:rPr>
      </w:pPr>
    </w:p>
    <w:p>
      <w:pPr>
        <w:ind w:left="520" w:right="260"/>
        <w:spacing w:after="0" w:line="262" w:lineRule="auto"/>
        <w:rPr>
          <w:sz w:val="20"/>
          <w:szCs w:val="20"/>
          <w:color w:val="auto"/>
        </w:rPr>
      </w:pPr>
      <w:r>
        <w:rPr>
          <w:rFonts w:ascii="Arial" w:cs="Arial" w:eastAsia="Arial" w:hAnsi="Arial"/>
          <w:sz w:val="18"/>
          <w:szCs w:val="18"/>
          <w:i w:val="1"/>
          <w:iCs w:val="1"/>
          <w:color w:val="auto"/>
        </w:rPr>
        <w:t>Cayman Equity Incentive Plan</w:t>
      </w:r>
      <w:r>
        <w:rPr>
          <w:rFonts w:ascii="Arial" w:cs="Arial" w:eastAsia="Arial" w:hAnsi="Arial"/>
          <w:sz w:val="18"/>
          <w:szCs w:val="18"/>
          <w:color w:val="auto"/>
        </w:rPr>
        <w:t>—In December 2022, the Company adopted the CCCIS Cayman Holdings Employees Equity Incentive Plans</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Incentive Plans”), which provide for the issuance of stock option awards in CCC Cayman (“Cayman Awards”) to eligible employees of the Company's China subsidiaries.</w:t>
      </w:r>
    </w:p>
    <w:p>
      <w:pPr>
        <w:spacing w:after="0" w:line="75" w:lineRule="exact"/>
        <w:rPr>
          <w:sz w:val="20"/>
          <w:szCs w:val="20"/>
          <w:color w:val="auto"/>
        </w:rPr>
      </w:pPr>
    </w:p>
    <w:p>
      <w:pPr>
        <w:ind w:left="520" w:right="60"/>
        <w:spacing w:after="0" w:line="275" w:lineRule="auto"/>
        <w:rPr>
          <w:sz w:val="20"/>
          <w:szCs w:val="20"/>
          <w:color w:val="auto"/>
        </w:rPr>
      </w:pPr>
      <w:r>
        <w:rPr>
          <w:rFonts w:ascii="Arial" w:cs="Arial" w:eastAsia="Arial" w:hAnsi="Arial"/>
          <w:sz w:val="18"/>
          <w:szCs w:val="18"/>
          <w:color w:val="auto"/>
        </w:rPr>
        <w:t>Awards under the Cayman Incentive Plans are settled in cash and thus accounted for as liability awards. Awards granted under the Cayman Incentive Plans have time-based vesting and expire on the tenth anniversary of the grant date.</w:t>
      </w:r>
    </w:p>
    <w:p>
      <w:pPr>
        <w:spacing w:after="0" w:line="63" w:lineRule="exact"/>
        <w:rPr>
          <w:sz w:val="20"/>
          <w:szCs w:val="20"/>
          <w:color w:val="auto"/>
        </w:rPr>
      </w:pPr>
    </w:p>
    <w:p>
      <w:pPr>
        <w:ind w:left="520" w:right="240"/>
        <w:spacing w:after="0" w:line="258" w:lineRule="auto"/>
        <w:rPr>
          <w:sz w:val="20"/>
          <w:szCs w:val="20"/>
          <w:color w:val="auto"/>
        </w:rPr>
      </w:pPr>
      <w:r>
        <w:rPr>
          <w:rFonts w:ascii="Arial" w:cs="Arial" w:eastAsia="Arial" w:hAnsi="Arial"/>
          <w:sz w:val="18"/>
          <w:szCs w:val="18"/>
          <w:color w:val="auto"/>
        </w:rPr>
        <w:t>During the six months ended June 30, 2023, the Company granted 539,400 stock options under the Cayman Incentive Plans. The exercise price of the options granted is equal to the fair value of the underlying shares at the grant date. As of June 30, 2023 and December 31, 2022, 1,842,400 and 1,303,000, respectively, of stock options under the Cayman Incentive Plans are outstanding. As of June 30, 2023, none of the outstanding stock options are exercisable.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—In July 2021, the Company adopted the CCC 2021 Employee Stock Purchase Plan ("ESPP").</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2023, 179,338 shares were sold under the ESPP.</w:t>
      </w:r>
    </w:p>
    <w:p>
      <w:pPr>
        <w:spacing w:after="0" w:line="115" w:lineRule="exact"/>
        <w:rPr>
          <w:sz w:val="20"/>
          <w:szCs w:val="20"/>
          <w:color w:val="auto"/>
        </w:rPr>
      </w:pPr>
    </w:p>
    <w:p>
      <w:pPr>
        <w:ind w:left="520" w:right="340"/>
        <w:spacing w:after="0" w:line="275" w:lineRule="auto"/>
        <w:rPr>
          <w:sz w:val="20"/>
          <w:szCs w:val="20"/>
          <w:color w:val="auto"/>
        </w:rPr>
      </w:pPr>
      <w:r>
        <w:rPr>
          <w:rFonts w:ascii="Arial" w:cs="Arial" w:eastAsia="Arial" w:hAnsi="Arial"/>
          <w:sz w:val="18"/>
          <w:szCs w:val="18"/>
          <w:color w:val="auto"/>
        </w:rPr>
        <w:t>The fair value of the ESPP purchase rights sold during the six months ended June 30, 2023 was estimated using the Black-Scholes option pricing model with the following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7580" w:type="dxa"/>
            <w:vAlign w:val="bottom"/>
            <w:shd w:val="clear" w:color="auto" w:fill="CFF0FC"/>
          </w:tcPr>
          <w:p>
            <w:pPr>
              <w:jc w:val="center"/>
              <w:ind w:left="5470"/>
              <w:spacing w:after="0"/>
              <w:rPr>
                <w:sz w:val="20"/>
                <w:szCs w:val="20"/>
                <w:color w:val="auto"/>
              </w:rPr>
            </w:pPr>
            <w:r>
              <w:rPr>
                <w:rFonts w:ascii="Arial" w:cs="Arial" w:eastAsia="Arial" w:hAnsi="Arial"/>
                <w:sz w:val="18"/>
                <w:szCs w:val="18"/>
                <w:color w:val="auto"/>
                <w:w w:val="87"/>
              </w:rPr>
              <w:t>0.5</w:t>
            </w: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580" w:type="dxa"/>
            <w:vAlign w:val="bottom"/>
          </w:tcPr>
          <w:p>
            <w:pPr>
              <w:jc w:val="center"/>
              <w:ind w:left="5470"/>
              <w:spacing w:after="0"/>
              <w:rPr>
                <w:sz w:val="20"/>
                <w:szCs w:val="20"/>
                <w:color w:val="auto"/>
              </w:rPr>
            </w:pPr>
            <w:r>
              <w:rPr>
                <w:rFonts w:ascii="Arial" w:cs="Arial" w:eastAsia="Arial" w:hAnsi="Arial"/>
                <w:sz w:val="18"/>
                <w:szCs w:val="18"/>
                <w:color w:val="auto"/>
                <w:w w:val="94"/>
              </w:rPr>
              <w:t>51%</w:t>
            </w:r>
          </w:p>
        </w:tc>
      </w:tr>
      <w:tr>
        <w:trPr>
          <w:trHeight w:val="248"/>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7580" w:type="dxa"/>
            <w:vAlign w:val="bottom"/>
            <w:shd w:val="clear" w:color="auto" w:fill="CFF0FC"/>
          </w:tcPr>
          <w:p>
            <w:pPr>
              <w:jc w:val="center"/>
              <w:ind w:left="5450"/>
              <w:spacing w:after="0"/>
              <w:rPr>
                <w:sz w:val="20"/>
                <w:szCs w:val="20"/>
                <w:color w:val="auto"/>
              </w:rPr>
            </w:pPr>
            <w:r>
              <w:rPr>
                <w:rFonts w:ascii="Arial" w:cs="Arial" w:eastAsia="Arial" w:hAnsi="Arial"/>
                <w:sz w:val="18"/>
                <w:szCs w:val="18"/>
                <w:color w:val="auto"/>
                <w:w w:val="92"/>
              </w:rPr>
              <w:t>0%</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7580" w:type="dxa"/>
            <w:vAlign w:val="bottom"/>
          </w:tcPr>
          <w:p>
            <w:pPr>
              <w:jc w:val="center"/>
              <w:ind w:left="5470"/>
              <w:spacing w:after="0"/>
              <w:rPr>
                <w:sz w:val="20"/>
                <w:szCs w:val="20"/>
                <w:color w:val="auto"/>
              </w:rPr>
            </w:pPr>
            <w:r>
              <w:rPr>
                <w:rFonts w:ascii="Arial" w:cs="Arial" w:eastAsia="Arial" w:hAnsi="Arial"/>
                <w:sz w:val="18"/>
                <w:szCs w:val="18"/>
                <w:color w:val="auto"/>
                <w:w w:val="92"/>
              </w:rPr>
              <w:t>2.5%</w:t>
            </w:r>
          </w:p>
        </w:tc>
      </w:tr>
      <w:tr>
        <w:trPr>
          <w:trHeight w:val="657"/>
        </w:trPr>
        <w:tc>
          <w:tcPr>
            <w:tcW w:w="3660" w:type="dxa"/>
            <w:vAlign w:val="bottom"/>
          </w:tcPr>
          <w:p>
            <w:pPr>
              <w:spacing w:after="0"/>
              <w:rPr>
                <w:sz w:val="24"/>
                <w:szCs w:val="24"/>
                <w:color w:val="auto"/>
              </w:rPr>
            </w:pPr>
          </w:p>
        </w:tc>
        <w:tc>
          <w:tcPr>
            <w:tcW w:w="7580" w:type="dxa"/>
            <w:vAlign w:val="bottom"/>
          </w:tcPr>
          <w:p>
            <w:pPr>
              <w:jc w:val="right"/>
              <w:ind w:right="5430"/>
              <w:spacing w:after="0"/>
              <w:rPr>
                <w:sz w:val="20"/>
                <w:szCs w:val="20"/>
                <w:color w:val="auto"/>
              </w:rPr>
            </w:pPr>
            <w:r>
              <w:rPr>
                <w:rFonts w:ascii="Arial" w:cs="Arial" w:eastAsia="Arial" w:hAnsi="Arial"/>
                <w:sz w:val="18"/>
                <w:szCs w:val="18"/>
                <w:color w:val="auto"/>
              </w:rPr>
              <w:t>23</w:t>
            </w:r>
          </w:p>
        </w:tc>
      </w:tr>
      <w:tr>
        <w:trPr>
          <w:trHeight w:val="101"/>
        </w:trPr>
        <w:tc>
          <w:tcPr>
            <w:tcW w:w="3660" w:type="dxa"/>
            <w:vAlign w:val="bottom"/>
            <w:tcBorders>
              <w:bottom w:val="single" w:sz="8" w:color="9A9A9A"/>
            </w:tcBorders>
          </w:tcPr>
          <w:p>
            <w:pPr>
              <w:spacing w:after="0"/>
              <w:rPr>
                <w:sz w:val="8"/>
                <w:szCs w:val="8"/>
                <w:color w:val="auto"/>
              </w:rPr>
            </w:pPr>
          </w:p>
        </w:tc>
        <w:tc>
          <w:tcPr>
            <w:tcW w:w="7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3" w:name="page24"/>
    <w:bookmarkEnd w:id="23"/>
    <w:p>
      <w:pPr>
        <w:ind w:left="520" w:right="420"/>
        <w:spacing w:after="0" w:line="339"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—Stock-based compensation expense has been recorded in the accompanying condensed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comprehensive (loss) income as follows for the three and six months ended June 30, 2023 and 2022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For the Six Months Ended</w:t>
            </w:r>
          </w:p>
        </w:tc>
        <w:tc>
          <w:tcPr>
            <w:tcW w:w="140" w:type="dxa"/>
            <w:vAlign w:val="bottom"/>
          </w:tcPr>
          <w:p>
            <w:pPr>
              <w:spacing w:after="0"/>
              <w:rPr>
                <w:sz w:val="20"/>
                <w:szCs w:val="20"/>
                <w:color w:val="auto"/>
              </w:rPr>
            </w:pPr>
          </w:p>
        </w:tc>
      </w:tr>
      <w:tr>
        <w:trPr>
          <w:trHeight w:val="248"/>
        </w:trPr>
        <w:tc>
          <w:tcPr>
            <w:tcW w:w="35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3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3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40" w:type="dxa"/>
            <w:vAlign w:val="bottom"/>
            <w:shd w:val="clear" w:color="auto" w:fill="CFF0FC"/>
          </w:tcPr>
          <w:p>
            <w:pPr>
              <w:spacing w:after="0"/>
              <w:rPr>
                <w:sz w:val="20"/>
                <w:szCs w:val="20"/>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6,600</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5,530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9,060</w:t>
            </w:r>
          </w:p>
        </w:tc>
        <w:tc>
          <w:tcPr>
            <w:tcW w:w="140" w:type="dxa"/>
            <w:vAlign w:val="bottom"/>
          </w:tcPr>
          <w:p>
            <w:pPr>
              <w:spacing w:after="0"/>
              <w:rPr>
                <w:sz w:val="20"/>
                <w:szCs w:val="20"/>
                <w:color w:val="auto"/>
              </w:rPr>
            </w:pPr>
          </w:p>
        </w:tc>
      </w:tr>
      <w:tr>
        <w:trPr>
          <w:trHeight w:val="248"/>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11,441</w:t>
            </w:r>
          </w:p>
        </w:tc>
        <w:tc>
          <w:tcPr>
            <w:tcW w:w="140" w:type="dxa"/>
            <w:vAlign w:val="bottom"/>
            <w:shd w:val="clear" w:color="auto" w:fill="CFF0FC"/>
          </w:tcPr>
          <w:p>
            <w:pPr>
              <w:spacing w:after="0"/>
              <w:rPr>
                <w:sz w:val="21"/>
                <w:szCs w:val="2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17,838</w:t>
            </w:r>
          </w:p>
        </w:tc>
        <w:tc>
          <w:tcPr>
            <w:tcW w:w="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14,601</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29,036</w:t>
            </w:r>
          </w:p>
        </w:tc>
        <w:tc>
          <w:tcPr>
            <w:tcW w:w="140" w:type="dxa"/>
            <w:vAlign w:val="bottom"/>
          </w:tcPr>
          <w:p>
            <w:pPr>
              <w:spacing w:after="0"/>
              <w:rPr>
                <w:sz w:val="20"/>
                <w:szCs w:val="20"/>
                <w:color w:val="auto"/>
              </w:rPr>
            </w:pPr>
          </w:p>
        </w:tc>
      </w:tr>
      <w:tr>
        <w:trPr>
          <w:trHeight w:val="275"/>
        </w:trPr>
        <w:tc>
          <w:tcPr>
            <w:tcW w:w="3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35,486</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28,403</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64,720</w:t>
            </w:r>
          </w:p>
        </w:tc>
        <w:tc>
          <w:tcPr>
            <w:tcW w:w="3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52,047</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-24765</wp:posOffset>
            </wp:positionV>
            <wp:extent cx="850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850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850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850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-24765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-7620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81" w:lineRule="exact"/>
        <w:rPr>
          <w:sz w:val="20"/>
          <w:szCs w:val="20"/>
          <w:color w:val="auto"/>
        </w:rPr>
      </w:pPr>
    </w:p>
    <w:p>
      <w:pPr>
        <w:ind w:left="520" w:right="20"/>
        <w:spacing w:after="0" w:line="258" w:lineRule="auto"/>
        <w:rPr>
          <w:sz w:val="20"/>
          <w:szCs w:val="20"/>
          <w:color w:val="auto"/>
        </w:rPr>
      </w:pPr>
      <w:r>
        <w:rPr>
          <w:rFonts w:ascii="Arial" w:cs="Arial" w:eastAsia="Arial" w:hAnsi="Arial"/>
          <w:sz w:val="18"/>
          <w:szCs w:val="18"/>
          <w:color w:val="auto"/>
        </w:rPr>
        <w:t>As of June 30, 2023, there was $210.1 million of unrecognized stock compensation expense related to unvested time-based awards which is expected to be recognized over a weighted-average period of 2.9 years. As of June 30, 2023, there was $58.5 million of unrecognized stock-based compensation expense related to unvested performance-based awards which is expected to be recognized over a weighted-average period of 1.3 years.</w:t>
      </w:r>
    </w:p>
    <w:p>
      <w:pPr>
        <w:spacing w:after="0" w:line="288" w:lineRule="exact"/>
        <w:rPr>
          <w:sz w:val="20"/>
          <w:szCs w:val="20"/>
          <w:color w:val="auto"/>
        </w:rPr>
      </w:pPr>
    </w:p>
    <w:p>
      <w:pPr>
        <w:ind w:left="520" w:hanging="513"/>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19" w:lineRule="exact"/>
        <w:rPr>
          <w:rFonts w:ascii="Arial" w:cs="Arial" w:eastAsia="Arial" w:hAnsi="Arial"/>
          <w:sz w:val="18"/>
          <w:szCs w:val="18"/>
          <w:b w:val="1"/>
          <w:bCs w:val="1"/>
          <w:color w:val="auto"/>
        </w:rPr>
      </w:pPr>
    </w:p>
    <w:p>
      <w:pPr>
        <w:ind w:left="520" w:right="5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Upon consummation of the Business Combination, the Company assumed publicly-traded warrants ("Public Warrants") and warrants sold in a private placement ("Private Warrants") issued by Dragoneer.</w:t>
      </w:r>
    </w:p>
    <w:p>
      <w:pPr>
        <w:spacing w:after="0" w:line="63" w:lineRule="exact"/>
        <w:rPr>
          <w:rFonts w:ascii="Arial" w:cs="Arial" w:eastAsia="Arial" w:hAnsi="Arial"/>
          <w:sz w:val="18"/>
          <w:szCs w:val="18"/>
          <w:b w:val="1"/>
          <w:bCs w:val="1"/>
          <w:color w:val="auto"/>
        </w:rPr>
      </w:pPr>
    </w:p>
    <w:p>
      <w:pPr>
        <w:ind w:left="520" w:right="1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74" w:lineRule="exact"/>
        <w:rPr>
          <w:rFonts w:ascii="Arial" w:cs="Arial" w:eastAsia="Arial" w:hAnsi="Arial"/>
          <w:sz w:val="18"/>
          <w:szCs w:val="18"/>
          <w:b w:val="1"/>
          <w:bCs w:val="1"/>
          <w:color w:val="auto"/>
        </w:rPr>
      </w:pPr>
    </w:p>
    <w:p>
      <w:pPr>
        <w:ind w:left="520" w:right="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November 2021, the Company announced that it had elected to redeem all of the outstanding Public Warrants on December 29, 2021. Each Public Warrant not exercised by the exercise deadline was redeemed by the Company for $0.10. Concurrent with the redemption, the Public Warrants ceased trading on the New York Stock Exchange and no Public Warrants remained outstanding.</w:t>
      </w:r>
    </w:p>
    <w:p>
      <w:pPr>
        <w:spacing w:after="0" w:line="74" w:lineRule="exact"/>
        <w:rPr>
          <w:rFonts w:ascii="Arial" w:cs="Arial" w:eastAsia="Arial" w:hAnsi="Arial"/>
          <w:sz w:val="18"/>
          <w:szCs w:val="18"/>
          <w:b w:val="1"/>
          <w:bCs w:val="1"/>
          <w:color w:val="auto"/>
        </w:rPr>
      </w:pPr>
    </w:p>
    <w:p>
      <w:pPr>
        <w:ind w:left="520" w:right="1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58" w:lineRule="exact"/>
        <w:rPr>
          <w:rFonts w:ascii="Arial" w:cs="Arial" w:eastAsia="Arial" w:hAnsi="Arial"/>
          <w:sz w:val="18"/>
          <w:szCs w:val="18"/>
          <w:b w:val="1"/>
          <w:bCs w:val="1"/>
          <w:color w:val="auto"/>
        </w:rPr>
      </w:pPr>
    </w:p>
    <w:p>
      <w:pPr>
        <w:ind w:left="520" w:right="40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58" w:lineRule="exact"/>
        <w:rPr>
          <w:rFonts w:ascii="Arial" w:cs="Arial" w:eastAsia="Arial" w:hAnsi="Arial"/>
          <w:sz w:val="18"/>
          <w:szCs w:val="18"/>
          <w:b w:val="1"/>
          <w:bCs w:val="1"/>
          <w:color w:val="auto"/>
        </w:rPr>
      </w:pPr>
    </w:p>
    <w:p>
      <w:pPr>
        <w:ind w:left="520" w:right="5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There were no exercises or redemptions of the Private Warrants during the three and six months ended June 30, 2023. As of June 30, 2023 and December 31, 2022, the Company had 17,800,000 Private Warrants outstanding.</w:t>
      </w:r>
    </w:p>
    <w:p>
      <w:pPr>
        <w:spacing w:after="0" w:line="63" w:lineRule="exact"/>
        <w:rPr>
          <w:rFonts w:ascii="Arial" w:cs="Arial" w:eastAsia="Arial" w:hAnsi="Arial"/>
          <w:sz w:val="18"/>
          <w:szCs w:val="18"/>
          <w:b w:val="1"/>
          <w:bCs w:val="1"/>
          <w:color w:val="auto"/>
        </w:rPr>
      </w:pPr>
    </w:p>
    <w:p>
      <w:pPr>
        <w:ind w:left="520" w:right="62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The Company recognized a loss of $20.4 million and income of $21.0 million as a change in fair value of warrant liabilities in the condensed consolidated statements of operations and comprehensive (loss) income for the three months ended June 30, 2023 and 2022, respectively.</w:t>
      </w:r>
    </w:p>
    <w:p>
      <w:pPr>
        <w:spacing w:after="0" w:line="17" w:lineRule="exact"/>
        <w:rPr>
          <w:rFonts w:ascii="Arial" w:cs="Arial" w:eastAsia="Arial" w:hAnsi="Arial"/>
          <w:sz w:val="18"/>
          <w:szCs w:val="18"/>
          <w:b w:val="1"/>
          <w:bCs w:val="1"/>
          <w:color w:val="auto"/>
        </w:rPr>
      </w:pPr>
    </w:p>
    <w:p>
      <w:pPr>
        <w:ind w:left="520" w:right="62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The Company recognized a loss of $19.2 million and income of $23.1 million as a change in fair value of warrant liabilities in the condensed consolidated statements of operations and comprehensive (loss) income for the six months ended June 30, 2023 and 2022, respectively.</w:t>
      </w:r>
    </w:p>
    <w:p>
      <w:pPr>
        <w:spacing w:after="0" w:line="1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As of June 30, 2023 and December 31, 2022, the Company’s warrant liability was $55.6 million and $36.4 million,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4" w:name="page25"/>
    <w:bookmarkEnd w:id="24"/>
    <w:p>
      <w:pPr>
        <w:ind w:left="520" w:hanging="513"/>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15" w:lineRule="exact"/>
        <w:rPr>
          <w:rFonts w:ascii="Arial" w:cs="Arial" w:eastAsia="Arial" w:hAnsi="Arial"/>
          <w:sz w:val="18"/>
          <w:szCs w:val="18"/>
          <w:b w:val="1"/>
          <w:bCs w:val="1"/>
          <w:color w:val="auto"/>
        </w:rPr>
      </w:pPr>
    </w:p>
    <w:p>
      <w:pPr>
        <w:jc w:val="both"/>
        <w:ind w:left="520" w:right="2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long-term agreements with suppliers and other parties related to licensing data used in its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outsourced data center, disaster recovery, and SaaS that expire at various dates through 2031. As of June 30, 2023, there were no material changes from the amounts disclosed as of December 31, 2022.</w:t>
      </w:r>
    </w:p>
    <w:p>
      <w:pPr>
        <w:spacing w:after="0" w:line="69" w:lineRule="exact"/>
        <w:rPr>
          <w:rFonts w:ascii="Arial" w:cs="Arial" w:eastAsia="Arial" w:hAnsi="Arial"/>
          <w:sz w:val="18"/>
          <w:szCs w:val="18"/>
          <w:b w:val="1"/>
          <w:bCs w:val="1"/>
          <w:color w:val="auto"/>
        </w:rPr>
      </w:pPr>
    </w:p>
    <w:p>
      <w:pPr>
        <w:ind w:left="520" w:right="4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Guarantees—</w:t>
      </w:r>
      <w:r>
        <w:rPr>
          <w:rFonts w:ascii="Arial" w:cs="Arial" w:eastAsia="Arial" w:hAnsi="Arial"/>
          <w:sz w:val="16"/>
          <w:szCs w:val="16"/>
          <w:color w:val="auto"/>
        </w:rPr>
        <w:t>The Company’s services and solutions are typically warranted to perform in a manner consistent with general industry standards that</w:t>
      </w:r>
      <w:r>
        <w:rPr>
          <w:rFonts w:ascii="Arial" w:cs="Arial" w:eastAsia="Arial" w:hAnsi="Arial"/>
          <w:sz w:val="16"/>
          <w:szCs w:val="16"/>
          <w:b w:val="1"/>
          <w:bCs w:val="1"/>
          <w:color w:val="auto"/>
        </w:rPr>
        <w:t xml:space="preserve"> </w:t>
      </w:r>
      <w:r>
        <w:rPr>
          <w:rFonts w:ascii="Arial" w:cs="Arial" w:eastAsia="Arial" w:hAnsi="Arial"/>
          <w:sz w:val="16"/>
          <w:szCs w:val="16"/>
          <w:color w:val="auto"/>
        </w:rPr>
        <w:t>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subject to customary limitations, if its services and solutions infringe a third party’s intellectual property rights.</w:t>
      </w:r>
    </w:p>
    <w:p>
      <w:pPr>
        <w:spacing w:after="0" w:line="51" w:lineRule="exact"/>
        <w:rPr>
          <w:rFonts w:ascii="Arial" w:cs="Arial" w:eastAsia="Arial" w:hAnsi="Arial"/>
          <w:sz w:val="18"/>
          <w:szCs w:val="18"/>
          <w:b w:val="1"/>
          <w:bCs w:val="1"/>
          <w:color w:val="auto"/>
        </w:rPr>
      </w:pPr>
    </w:p>
    <w:p>
      <w:pPr>
        <w:ind w:left="520" w:right="34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59" w:lineRule="exact"/>
        <w:rPr>
          <w:rFonts w:ascii="Arial" w:cs="Arial" w:eastAsia="Arial" w:hAnsi="Arial"/>
          <w:sz w:val="18"/>
          <w:szCs w:val="18"/>
          <w:b w:val="1"/>
          <w:bCs w:val="1"/>
          <w:color w:val="auto"/>
        </w:rPr>
      </w:pPr>
    </w:p>
    <w:p>
      <w:pPr>
        <w:ind w:left="520" w:right="400"/>
        <w:spacing w:after="0" w:line="310" w:lineRule="auto"/>
        <w:rPr>
          <w:rFonts w:ascii="Arial" w:cs="Arial" w:eastAsia="Arial" w:hAnsi="Arial"/>
          <w:sz w:val="18"/>
          <w:szCs w:val="18"/>
          <w:b w:val="1"/>
          <w:bCs w:val="1"/>
          <w:color w:val="auto"/>
        </w:rPr>
      </w:pPr>
      <w:r>
        <w:rPr>
          <w:rFonts w:ascii="Arial" w:cs="Arial" w:eastAsia="Arial" w:hAnsi="Arial"/>
          <w:sz w:val="17"/>
          <w:szCs w:val="17"/>
          <w:b w:val="1"/>
          <w:bCs w:val="1"/>
          <w:color w:val="auto"/>
        </w:rPr>
        <w:t>Employment Agreements</w:t>
      </w:r>
      <w:r>
        <w:rPr>
          <w:rFonts w:ascii="Arial" w:cs="Arial" w:eastAsia="Arial" w:hAnsi="Arial"/>
          <w:sz w:val="17"/>
          <w:szCs w:val="17"/>
          <w:color w:val="auto"/>
        </w:rPr>
        <w:t>—The Company is a party to employment agreements with key employees that provide for compensation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benefits. These agreements also provide for severance and bonus payments under certain circumstances.</w:t>
      </w:r>
    </w:p>
    <w:p>
      <w:pPr>
        <w:spacing w:after="0" w:line="247" w:lineRule="exact"/>
        <w:rPr>
          <w:rFonts w:ascii="Arial" w:cs="Arial" w:eastAsia="Arial" w:hAnsi="Arial"/>
          <w:sz w:val="18"/>
          <w:szCs w:val="18"/>
          <w:b w:val="1"/>
          <w:bCs w:val="1"/>
          <w:color w:val="auto"/>
        </w:rPr>
      </w:pPr>
    </w:p>
    <w:p>
      <w:pPr>
        <w:ind w:left="520" w:hanging="513"/>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 AND CONTINGENCIES</w:t>
      </w:r>
    </w:p>
    <w:p>
      <w:pPr>
        <w:spacing w:after="0" w:line="119" w:lineRule="exact"/>
        <w:rPr>
          <w:rFonts w:ascii="Arial" w:cs="Arial" w:eastAsia="Arial" w:hAnsi="Arial"/>
          <w:sz w:val="18"/>
          <w:szCs w:val="18"/>
          <w:b w:val="1"/>
          <w:bCs w:val="1"/>
          <w:color w:val="auto"/>
        </w:rPr>
      </w:pPr>
    </w:p>
    <w:p>
      <w:pPr>
        <w:ind w:left="520" w:right="120"/>
        <w:spacing w:after="0" w:line="300" w:lineRule="auto"/>
        <w:rPr>
          <w:rFonts w:ascii="Arial" w:cs="Arial" w:eastAsia="Arial" w:hAnsi="Arial"/>
          <w:sz w:val="18"/>
          <w:szCs w:val="18"/>
          <w:b w:val="1"/>
          <w:bCs w:val="1"/>
          <w:color w:val="auto"/>
        </w:rPr>
      </w:pPr>
      <w:r>
        <w:rPr>
          <w:rFonts w:ascii="Arial" w:cs="Arial" w:eastAsia="Arial" w:hAnsi="Arial"/>
          <w:sz w:val="16"/>
          <w:szCs w:val="16"/>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58" w:lineRule="exact"/>
        <w:rPr>
          <w:rFonts w:ascii="Arial" w:cs="Arial" w:eastAsia="Arial" w:hAnsi="Arial"/>
          <w:sz w:val="18"/>
          <w:szCs w:val="18"/>
          <w:b w:val="1"/>
          <w:bCs w:val="1"/>
          <w:color w:val="auto"/>
        </w:rPr>
      </w:pPr>
    </w:p>
    <w:p>
      <w:pPr>
        <w:ind w:left="520" w:hanging="513"/>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19" w:lineRule="exact"/>
        <w:rPr>
          <w:rFonts w:ascii="Arial" w:cs="Arial" w:eastAsia="Arial" w:hAnsi="Arial"/>
          <w:sz w:val="18"/>
          <w:szCs w:val="18"/>
          <w:b w:val="1"/>
          <w:bCs w:val="1"/>
          <w:color w:val="auto"/>
        </w:rPr>
      </w:pPr>
    </w:p>
    <w:p>
      <w:pPr>
        <w:ind w:left="520" w:right="70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Company has engaged in transactions within the ordinary course of business with entities affiliated with its principal equity owners and directors.</w:t>
      </w:r>
    </w:p>
    <w:p>
      <w:pPr>
        <w:spacing w:after="0" w:line="63" w:lineRule="exact"/>
        <w:rPr>
          <w:rFonts w:ascii="Arial" w:cs="Arial" w:eastAsia="Arial" w:hAnsi="Arial"/>
          <w:sz w:val="18"/>
          <w:szCs w:val="18"/>
          <w:b w:val="1"/>
          <w:bCs w:val="1"/>
          <w:color w:val="auto"/>
        </w:rPr>
      </w:pPr>
    </w:p>
    <w:p>
      <w:pPr>
        <w:ind w:left="520" w:right="3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revenues recognized and expenses incurred with entities affiliated with one of its principal equity owners for the three and six months ended June 30, 2023 and 2022 (in thousands):</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2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For the Six Months Ended</w:t>
            </w:r>
          </w:p>
        </w:tc>
        <w:tc>
          <w:tcPr>
            <w:tcW w:w="140" w:type="dxa"/>
            <w:vAlign w:val="bottom"/>
          </w:tcPr>
          <w:p>
            <w:pPr>
              <w:spacing w:after="0"/>
              <w:rPr>
                <w:sz w:val="20"/>
                <w:szCs w:val="20"/>
                <w:color w:val="auto"/>
              </w:rPr>
            </w:pPr>
          </w:p>
        </w:tc>
      </w:tr>
      <w:tr>
        <w:trPr>
          <w:trHeight w:val="248"/>
        </w:trPr>
        <w:tc>
          <w:tcPr>
            <w:tcW w:w="56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5"/>
        </w:trPr>
        <w:tc>
          <w:tcPr>
            <w:tcW w:w="56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5"/>
        </w:trPr>
        <w:tc>
          <w:tcPr>
            <w:tcW w:w="5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8"/>
        </w:trPr>
        <w:tc>
          <w:tcPr>
            <w:tcW w:w="5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Credit card processing</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274</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FF0FC"/>
          </w:tcPr>
          <w:p>
            <w:pPr>
              <w:spacing w:after="0"/>
              <w:rPr>
                <w:sz w:val="21"/>
                <w:szCs w:val="21"/>
                <w:color w:val="auto"/>
              </w:rPr>
            </w:pPr>
          </w:p>
        </w:tc>
      </w:tr>
      <w:tr>
        <w:trPr>
          <w:trHeight w:val="238"/>
        </w:trPr>
        <w:tc>
          <w:tcPr>
            <w:tcW w:w="5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6"/>
        </w:trPr>
        <w:tc>
          <w:tcPr>
            <w:tcW w:w="5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Employee health insurance benefits</w:t>
            </w: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953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40" w:type="dxa"/>
            <w:vAlign w:val="bottom"/>
            <w:shd w:val="clear" w:color="auto" w:fill="CFF0FC"/>
          </w:tcPr>
          <w:p>
            <w:pPr>
              <w:spacing w:after="0"/>
              <w:rPr>
                <w:sz w:val="21"/>
                <w:szCs w:val="21"/>
                <w:color w:val="auto"/>
              </w:rPr>
            </w:pPr>
          </w:p>
        </w:tc>
      </w:tr>
      <w:tr>
        <w:trPr>
          <w:trHeight w:val="236"/>
        </w:trPr>
        <w:tc>
          <w:tcPr>
            <w:tcW w:w="5680" w:type="dxa"/>
            <w:vAlign w:val="bottom"/>
          </w:tcPr>
          <w:p>
            <w:pPr>
              <w:ind w:left="100"/>
              <w:spacing w:after="0"/>
              <w:rPr>
                <w:sz w:val="20"/>
                <w:szCs w:val="20"/>
                <w:color w:val="auto"/>
              </w:rPr>
            </w:pPr>
            <w:r>
              <w:rPr>
                <w:rFonts w:ascii="Arial" w:cs="Arial" w:eastAsia="Arial" w:hAnsi="Arial"/>
                <w:sz w:val="18"/>
                <w:szCs w:val="18"/>
                <w:color w:val="auto"/>
              </w:rPr>
              <w:t>Human resources support services</w:t>
            </w:r>
          </w:p>
        </w:tc>
        <w:tc>
          <w:tcPr>
            <w:tcW w:w="6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0"/>
                <w:szCs w:val="20"/>
                <w:color w:val="auto"/>
              </w:rPr>
            </w:pPr>
          </w:p>
        </w:tc>
      </w:tr>
      <w:tr>
        <w:trPr>
          <w:trHeight w:val="248"/>
        </w:trPr>
        <w:tc>
          <w:tcPr>
            <w:tcW w:w="5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Sales tax processing and license fees for tax information</w:t>
            </w: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21"/>
                <w:szCs w:val="21"/>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Not significant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Not a related party during the three and six months ended June 30, 2023.</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amounts receivable and due to entities affiliated with one of its principal equity owners as of June 30, 2023 and</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December 31, 2022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04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c>
          <w:tcPr>
            <w:tcW w:w="140" w:type="dxa"/>
            <w:vAlign w:val="bottom"/>
          </w:tcPr>
          <w:p>
            <w:pPr>
              <w:spacing w:after="0"/>
              <w:rPr>
                <w:sz w:val="20"/>
                <w:szCs w:val="20"/>
                <w:color w:val="auto"/>
              </w:rPr>
            </w:pPr>
          </w:p>
        </w:tc>
      </w:tr>
      <w:tr>
        <w:trPr>
          <w:trHeight w:val="248"/>
        </w:trPr>
        <w:tc>
          <w:tcPr>
            <w:tcW w:w="92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Receivables</w:t>
            </w:r>
          </w:p>
        </w:tc>
        <w:tc>
          <w:tcPr>
            <w:tcW w:w="10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8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Credit card processing</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Payables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6"/>
        </w:trPr>
        <w:tc>
          <w:tcPr>
            <w:tcW w:w="580" w:type="dxa"/>
            <w:vAlign w:val="bottom"/>
          </w:tcPr>
          <w:p>
            <w:pPr>
              <w:spacing w:after="0"/>
              <w:rPr>
                <w:sz w:val="21"/>
                <w:szCs w:val="21"/>
                <w:color w:val="auto"/>
              </w:rPr>
            </w:pPr>
          </w:p>
        </w:tc>
        <w:tc>
          <w:tcPr>
            <w:tcW w:w="8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Employee health insurance benefits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8660" w:type="dxa"/>
            <w:vAlign w:val="bottom"/>
            <w:gridSpan w:val="2"/>
          </w:tcPr>
          <w:p>
            <w:pPr>
              <w:ind w:left="100"/>
              <w:spacing w:after="0"/>
              <w:rPr>
                <w:sz w:val="20"/>
                <w:szCs w:val="20"/>
                <w:color w:val="auto"/>
              </w:rPr>
            </w:pPr>
            <w:r>
              <w:rPr>
                <w:rFonts w:ascii="Arial" w:cs="Arial" w:eastAsia="Arial" w:hAnsi="Arial"/>
                <w:sz w:val="18"/>
                <w:szCs w:val="18"/>
                <w:color w:val="auto"/>
              </w:rPr>
              <w:t>Human resources support services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8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Sales tax processing and license fees for tax information</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308"/>
        </w:trPr>
        <w:tc>
          <w:tcPr>
            <w:tcW w:w="9240" w:type="dxa"/>
            <w:vAlign w:val="bottom"/>
            <w:gridSpan w:val="3"/>
          </w:tcPr>
          <w:p>
            <w:pPr>
              <w:ind w:left="520"/>
              <w:spacing w:after="0"/>
              <w:rPr>
                <w:sz w:val="20"/>
                <w:szCs w:val="20"/>
                <w:color w:val="auto"/>
              </w:rPr>
            </w:pPr>
            <w:r>
              <w:rPr>
                <w:rFonts w:ascii="Arial" w:cs="Arial" w:eastAsia="Arial" w:hAnsi="Arial"/>
                <w:sz w:val="18"/>
                <w:szCs w:val="18"/>
                <w:color w:val="auto"/>
              </w:rPr>
              <w:t>* Not significant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9240" w:type="dxa"/>
            <w:vAlign w:val="bottom"/>
            <w:gridSpan w:val="3"/>
          </w:tcPr>
          <w:p>
            <w:pPr>
              <w:ind w:left="520"/>
              <w:spacing w:after="0"/>
              <w:rPr>
                <w:sz w:val="20"/>
                <w:szCs w:val="20"/>
                <w:color w:val="auto"/>
              </w:rPr>
            </w:pPr>
            <w:r>
              <w:rPr>
                <w:rFonts w:ascii="Arial" w:cs="Arial" w:eastAsia="Arial" w:hAnsi="Arial"/>
                <w:sz w:val="18"/>
                <w:szCs w:val="18"/>
                <w:color w:val="auto"/>
              </w:rPr>
              <w:t>^ Not a related party as of June 30, 2023.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0"/>
        </w:trPr>
        <w:tc>
          <w:tcPr>
            <w:tcW w:w="8200" w:type="dxa"/>
            <w:vAlign w:val="bottom"/>
            <w:gridSpan w:val="2"/>
          </w:tcPr>
          <w:p>
            <w:pPr>
              <w:jc w:val="right"/>
              <w:ind w:right="239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76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5" w:name="page26"/>
    <w:bookmarkEnd w:id="25"/>
    <w:p>
      <w:pPr>
        <w:ind w:left="520" w:right="200"/>
        <w:spacing w:after="0" w:line="275" w:lineRule="auto"/>
        <w:rPr>
          <w:sz w:val="20"/>
          <w:szCs w:val="20"/>
          <w:color w:val="auto"/>
        </w:rPr>
      </w:pPr>
      <w:r>
        <w:rPr>
          <w:rFonts w:ascii="Arial" w:cs="Arial" w:eastAsia="Arial" w:hAnsi="Arial"/>
          <w:sz w:val="18"/>
          <w:szCs w:val="18"/>
          <w:color w:val="auto"/>
        </w:rPr>
        <w:t>As of October 2022, the entity which provided sales tax processing and license fees for tax information is no longer affiliated with a director of the Company and is no longer a related party.</w:t>
      </w:r>
    </w:p>
    <w:p>
      <w:pPr>
        <w:spacing w:after="0" w:line="274" w:lineRule="exact"/>
        <w:rPr>
          <w:sz w:val="20"/>
          <w:szCs w:val="20"/>
          <w:color w:val="auto"/>
        </w:rPr>
      </w:pPr>
    </w:p>
    <w:p>
      <w:pPr>
        <w:ind w:left="520" w:hanging="513"/>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119" w:lineRule="exact"/>
        <w:rPr>
          <w:rFonts w:ascii="Arial" w:cs="Arial" w:eastAsia="Arial" w:hAnsi="Arial"/>
          <w:sz w:val="18"/>
          <w:szCs w:val="18"/>
          <w:b w:val="1"/>
          <w:bCs w:val="1"/>
          <w:color w:val="auto"/>
        </w:rPr>
      </w:pPr>
    </w:p>
    <w:p>
      <w:pPr>
        <w:ind w:left="52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basic earnings per share by dividing the net (loss) income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p>
    <w:p>
      <w:pPr>
        <w:spacing w:after="0" w:line="82" w:lineRule="exact"/>
        <w:rPr>
          <w:rFonts w:ascii="Arial" w:cs="Arial" w:eastAsia="Arial" w:hAnsi="Arial"/>
          <w:sz w:val="18"/>
          <w:szCs w:val="18"/>
          <w:b w:val="1"/>
          <w:bCs w:val="1"/>
          <w:color w:val="auto"/>
        </w:rPr>
      </w:pPr>
    </w:p>
    <w:p>
      <w:pPr>
        <w:ind w:left="520" w:right="2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a reconciliation of the numerator and denominator used to compute basic and diluted earnings per share of common stock (in thousands, except for share and per share data).</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3"/>
              </w:rPr>
              <w:t>For the Three Months Ended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For the Six Months Ended</w:t>
            </w:r>
          </w:p>
        </w:tc>
        <w:tc>
          <w:tcPr>
            <w:tcW w:w="140" w:type="dxa"/>
            <w:vAlign w:val="bottom"/>
          </w:tcPr>
          <w:p>
            <w:pPr>
              <w:spacing w:after="0"/>
              <w:rPr>
                <w:sz w:val="20"/>
                <w:szCs w:val="20"/>
                <w:color w:val="auto"/>
              </w:rPr>
            </w:pPr>
          </w:p>
        </w:tc>
      </w:tr>
      <w:tr>
        <w:trPr>
          <w:trHeight w:val="248"/>
        </w:trPr>
        <w:tc>
          <w:tcPr>
            <w:tcW w:w="4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4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6"/>
        </w:trPr>
        <w:tc>
          <w:tcPr>
            <w:tcW w:w="4800" w:type="dxa"/>
            <w:vAlign w:val="bottom"/>
          </w:tcPr>
          <w:p>
            <w:pPr>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(97,344 )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15,564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(95,160 )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27,539</w:t>
            </w:r>
          </w:p>
        </w:tc>
        <w:tc>
          <w:tcPr>
            <w:tcW w:w="140" w:type="dxa"/>
            <w:vAlign w:val="bottom"/>
          </w:tcPr>
          <w:p>
            <w:pPr>
              <w:spacing w:after="0"/>
              <w:rPr>
                <w:sz w:val="20"/>
                <w:szCs w:val="20"/>
                <w:color w:val="auto"/>
              </w:rPr>
            </w:pPr>
          </w:p>
        </w:tc>
      </w:tr>
      <w:tr>
        <w:trPr>
          <w:trHeight w:val="242"/>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non-controlling interest</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(315 )</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(315 )</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Net (loss) income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(97,659 )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15,564</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(95,475 )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27,539</w:t>
            </w:r>
          </w:p>
        </w:tc>
        <w:tc>
          <w:tcPr>
            <w:tcW w:w="140" w:type="dxa"/>
            <w:vAlign w:val="bottom"/>
          </w:tcPr>
          <w:p>
            <w:pPr>
              <w:spacing w:after="0"/>
              <w:rPr>
                <w:sz w:val="19"/>
                <w:szCs w:val="19"/>
                <w:color w:val="auto"/>
              </w:rPr>
            </w:pPr>
          </w:p>
        </w:tc>
      </w:tr>
      <w:tr>
        <w:trPr>
          <w:trHeight w:val="254"/>
        </w:trPr>
        <w:tc>
          <w:tcPr>
            <w:tcW w:w="4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2"/>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4800" w:type="dxa"/>
            <w:vAlign w:val="bottom"/>
          </w:tcPr>
          <w:p>
            <w:pPr>
              <w:spacing w:after="0"/>
              <w:rPr>
                <w:sz w:val="20"/>
                <w:szCs w:val="20"/>
                <w:color w:val="auto"/>
              </w:rPr>
            </w:pPr>
            <w:r>
              <w:rPr>
                <w:rFonts w:ascii="Arial" w:cs="Arial" w:eastAsia="Arial" w:hAnsi="Arial"/>
                <w:sz w:val="18"/>
                <w:szCs w:val="18"/>
                <w:color w:val="auto"/>
              </w:rPr>
              <w:t>Weighted average shares of common stock—basic</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621,235,776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605,948,628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618,740,340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604,534,589</w:t>
            </w:r>
          </w:p>
        </w:tc>
        <w:tc>
          <w:tcPr>
            <w:tcW w:w="140" w:type="dxa"/>
            <w:vAlign w:val="bottom"/>
          </w:tcPr>
          <w:p>
            <w:pPr>
              <w:spacing w:after="0"/>
              <w:rPr>
                <w:sz w:val="20"/>
                <w:szCs w:val="20"/>
                <w:color w:val="auto"/>
              </w:rPr>
            </w:pPr>
          </w:p>
        </w:tc>
      </w:tr>
      <w:tr>
        <w:trPr>
          <w:trHeight w:val="242"/>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stock-based awards</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34,016,068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36,115,708</w:t>
            </w:r>
          </w:p>
        </w:tc>
        <w:tc>
          <w:tcPr>
            <w:tcW w:w="140" w:type="dxa"/>
            <w:vAlign w:val="bottom"/>
            <w:shd w:val="clear" w:color="auto" w:fill="CFF0FC"/>
          </w:tcPr>
          <w:p>
            <w:pPr>
              <w:spacing w:after="0"/>
              <w:rPr>
                <w:sz w:val="21"/>
                <w:szCs w:val="21"/>
                <w:color w:val="auto"/>
              </w:rPr>
            </w:pPr>
          </w:p>
        </w:tc>
      </w:tr>
      <w:tr>
        <w:trPr>
          <w:trHeight w:val="235"/>
        </w:trPr>
        <w:tc>
          <w:tcPr>
            <w:tcW w:w="4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Weighted average shares of common stock—diluted</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621,235,776</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639,964,696</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618,740,340</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640,650,297</w:t>
            </w:r>
          </w:p>
        </w:tc>
        <w:tc>
          <w:tcPr>
            <w:tcW w:w="140" w:type="dxa"/>
            <w:vAlign w:val="bottom"/>
            <w:tcBorders>
              <w:top w:val="single" w:sz="8" w:color="CFF0FC"/>
            </w:tcBorders>
          </w:tcPr>
          <w:p>
            <w:pPr>
              <w:spacing w:after="0"/>
              <w:rPr>
                <w:sz w:val="20"/>
                <w:szCs w:val="20"/>
                <w:color w:val="auto"/>
              </w:rPr>
            </w:pPr>
          </w:p>
        </w:tc>
      </w:tr>
      <w:tr>
        <w:trPr>
          <w:trHeight w:val="248"/>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480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p>
        </w:tc>
      </w:tr>
      <w:tr>
        <w:trPr>
          <w:trHeight w:val="248"/>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-1398905</wp:posOffset>
            </wp:positionV>
            <wp:extent cx="76835" cy="315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31559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-1398905</wp:posOffset>
            </wp:positionV>
            <wp:extent cx="76835" cy="315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315595"/>
                    </a:xfrm>
                    <a:prstGeom prst="rect">
                      <a:avLst/>
                    </a:prstGeom>
                    <a:noFill/>
                  </pic:spPr>
                </pic:pic>
              </a:graphicData>
            </a:graphic>
          </wp:anchor>
        </w:drawing>
        <w:drawing>
          <wp:anchor simplePos="0" relativeHeight="251657728" behindDoc="1" locked="0" layoutInCell="0" allowOverlap="1">
            <wp:simplePos x="0" y="0"/>
            <wp:positionH relativeFrom="column">
              <wp:posOffset>6096635</wp:posOffset>
            </wp:positionH>
            <wp:positionV relativeFrom="paragraph">
              <wp:posOffset>-1398905</wp:posOffset>
            </wp:positionV>
            <wp:extent cx="85090" cy="315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-1398905</wp:posOffset>
            </wp:positionV>
            <wp:extent cx="85090" cy="315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-622300</wp:posOffset>
            </wp:positionV>
            <wp:extent cx="76835" cy="161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16192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-622300</wp:posOffset>
            </wp:positionV>
            <wp:extent cx="76835" cy="161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61925"/>
                    </a:xfrm>
                    <a:prstGeom prst="rect">
                      <a:avLst/>
                    </a:prstGeom>
                    <a:noFill/>
                  </pic:spPr>
                </pic:pic>
              </a:graphicData>
            </a:graphic>
          </wp:anchor>
        </w:drawing>
        <w:drawing>
          <wp:anchor simplePos="0" relativeHeight="251657728" behindDoc="1" locked="0" layoutInCell="0" allowOverlap="1">
            <wp:simplePos x="0" y="0"/>
            <wp:positionH relativeFrom="column">
              <wp:posOffset>6096635</wp:posOffset>
            </wp:positionH>
            <wp:positionV relativeFrom="paragraph">
              <wp:posOffset>-622300</wp:posOffset>
            </wp:positionV>
            <wp:extent cx="85090" cy="161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-622300</wp:posOffset>
            </wp:positionV>
            <wp:extent cx="85090" cy="161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090" cy="161925"/>
                    </a:xfrm>
                    <a:prstGeom prst="rect">
                      <a:avLst/>
                    </a:prstGeom>
                    <a:noFill/>
                  </pic:spPr>
                </pic:pic>
              </a:graphicData>
            </a:graphic>
          </wp:anchor>
        </w:drawing>
      </w:r>
    </w:p>
    <w:p>
      <w:pPr>
        <w:spacing w:after="0" w:line="288" w:lineRule="exact"/>
        <w:rPr>
          <w:sz w:val="20"/>
          <w:szCs w:val="20"/>
          <w:color w:val="auto"/>
        </w:rPr>
      </w:pPr>
    </w:p>
    <w:p>
      <w:pPr>
        <w:ind w:left="520" w:right="240"/>
        <w:spacing w:after="0" w:line="275" w:lineRule="auto"/>
        <w:rPr>
          <w:sz w:val="20"/>
          <w:szCs w:val="20"/>
          <w:color w:val="auto"/>
        </w:rPr>
      </w:pPr>
      <w:r>
        <w:rPr>
          <w:rFonts w:ascii="Arial" w:cs="Arial" w:eastAsia="Arial" w:hAnsi="Arial"/>
          <w:sz w:val="18"/>
          <w:szCs w:val="18"/>
          <w:color w:val="auto"/>
        </w:rPr>
        <w:t>Approximately 30,191,730 and 22,162,166 common stock equivalent shares were excluded from the computation of diluted per share amounts for the three months ended June 30, 2023 and 2022, respectively, because their effect was anti-dilutive.</w:t>
      </w:r>
    </w:p>
    <w:p>
      <w:pPr>
        <w:spacing w:after="0" w:line="63" w:lineRule="exact"/>
        <w:rPr>
          <w:sz w:val="20"/>
          <w:szCs w:val="20"/>
          <w:color w:val="auto"/>
        </w:rPr>
      </w:pPr>
    </w:p>
    <w:p>
      <w:pPr>
        <w:ind w:left="520" w:right="240"/>
        <w:spacing w:after="0" w:line="275" w:lineRule="auto"/>
        <w:rPr>
          <w:sz w:val="20"/>
          <w:szCs w:val="20"/>
          <w:color w:val="auto"/>
        </w:rPr>
      </w:pPr>
      <w:r>
        <w:rPr>
          <w:rFonts w:ascii="Arial" w:cs="Arial" w:eastAsia="Arial" w:hAnsi="Arial"/>
          <w:sz w:val="18"/>
          <w:szCs w:val="18"/>
          <w:color w:val="auto"/>
        </w:rPr>
        <w:t>Approximately 30,147,441 and 14,336,893 common stock equivalent shares were excluded from the computation of diluted per share amounts for the six months ended June 30, 2023 and 2022, respectively, because their effect was anti-dilutive.</w:t>
      </w:r>
    </w:p>
    <w:p>
      <w:pPr>
        <w:spacing w:after="0" w:line="63" w:lineRule="exact"/>
        <w:rPr>
          <w:sz w:val="20"/>
          <w:szCs w:val="20"/>
          <w:color w:val="auto"/>
        </w:rPr>
      </w:pPr>
    </w:p>
    <w:p>
      <w:pPr>
        <w:ind w:left="520" w:right="220"/>
        <w:spacing w:after="0" w:line="258" w:lineRule="auto"/>
        <w:rPr>
          <w:sz w:val="20"/>
          <w:szCs w:val="20"/>
          <w:color w:val="auto"/>
        </w:rPr>
      </w:pPr>
      <w:r>
        <w:rPr>
          <w:rFonts w:ascii="Arial" w:cs="Arial" w:eastAsia="Arial" w:hAnsi="Arial"/>
          <w:sz w:val="18"/>
          <w:szCs w:val="18"/>
          <w:color w:val="auto"/>
        </w:rPr>
        <w:t>As part of the Business Combination, 8,625,000 shares issued and held by Dragoneer (the “Sponsor Vesting Shares”) became non-transferable and subject to forfeiture on the tenth anniversary of Closing if neither of the defined triggering events has occurred. The Sponsor Vesting Shares are issued and outstanding as of June 30, 2023 and December 31, 2022 and excluded from the weighted average number of shares of common stock outstanding until the vesting requirement is met and the restriction is removed.</w:t>
      </w:r>
    </w:p>
    <w:p>
      <w:pPr>
        <w:spacing w:after="0" w:line="288" w:lineRule="exact"/>
        <w:rPr>
          <w:sz w:val="20"/>
          <w:szCs w:val="20"/>
          <w:color w:val="auto"/>
        </w:rPr>
      </w:pPr>
    </w:p>
    <w:p>
      <w:pPr>
        <w:ind w:left="520" w:hanging="513"/>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INFORMATION ABOUT GEOGRAPHIC AREAS</w:t>
      </w:r>
    </w:p>
    <w:p>
      <w:pPr>
        <w:spacing w:after="0" w:line="119" w:lineRule="exact"/>
        <w:rPr>
          <w:rFonts w:ascii="Arial" w:cs="Arial" w:eastAsia="Arial" w:hAnsi="Arial"/>
          <w:sz w:val="18"/>
          <w:szCs w:val="18"/>
          <w:b w:val="1"/>
          <w:bCs w:val="1"/>
          <w:color w:val="auto"/>
        </w:rPr>
      </w:pPr>
    </w:p>
    <w:p>
      <w:pPr>
        <w:ind w:left="520" w:right="1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56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90"/>
              </w:rPr>
              <w:t>For the Three Months Ended</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For the Six Months Ended</w:t>
            </w:r>
          </w:p>
        </w:tc>
        <w:tc>
          <w:tcPr>
            <w:tcW w:w="14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700" w:type="dxa"/>
            <w:vAlign w:val="bottom"/>
          </w:tcPr>
          <w:p>
            <w:pPr>
              <w:spacing w:after="0"/>
              <w:rPr>
                <w:sz w:val="20"/>
                <w:szCs w:val="20"/>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60" w:type="dxa"/>
            <w:vAlign w:val="bottom"/>
            <w:tcBorders>
              <w:top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209,972</w:t>
            </w:r>
          </w:p>
        </w:tc>
        <w:tc>
          <w:tcPr>
            <w:tcW w:w="34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190,852</w:t>
            </w:r>
          </w:p>
        </w:tc>
        <w:tc>
          <w:tcPr>
            <w:tcW w:w="3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413,000</w:t>
            </w: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375,691</w:t>
            </w:r>
          </w:p>
        </w:tc>
        <w:tc>
          <w:tcPr>
            <w:tcW w:w="140" w:type="dxa"/>
            <w:vAlign w:val="bottom"/>
            <w:shd w:val="clear" w:color="auto" w:fill="CFF0FC"/>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China</w:t>
            </w:r>
          </w:p>
        </w:tc>
        <w:tc>
          <w:tcPr>
            <w:tcW w:w="1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34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140" w:type="dxa"/>
            <w:vAlign w:val="bottom"/>
          </w:tcPr>
          <w:p>
            <w:pPr>
              <w:spacing w:after="0"/>
              <w:rPr>
                <w:sz w:val="21"/>
                <w:szCs w:val="21"/>
                <w:color w:val="auto"/>
              </w:rPr>
            </w:pPr>
          </w:p>
        </w:tc>
      </w:tr>
      <w:tr>
        <w:trPr>
          <w:trHeight w:val="275"/>
        </w:trPr>
        <w:tc>
          <w:tcPr>
            <w:tcW w:w="580" w:type="dxa"/>
            <w:vAlign w:val="bottom"/>
          </w:tcPr>
          <w:p>
            <w:pPr>
              <w:spacing w:after="0"/>
              <w:rPr>
                <w:sz w:val="23"/>
                <w:szCs w:val="23"/>
                <w:color w:val="auto"/>
              </w:rPr>
            </w:pPr>
          </w:p>
        </w:tc>
        <w:tc>
          <w:tcPr>
            <w:tcW w:w="2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211,710</w:t>
            </w:r>
          </w:p>
        </w:tc>
        <w:tc>
          <w:tcPr>
            <w:tcW w:w="3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192,786</w:t>
            </w:r>
          </w:p>
        </w:tc>
        <w:tc>
          <w:tcPr>
            <w:tcW w:w="3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416,630</w:t>
            </w:r>
          </w:p>
        </w:tc>
        <w:tc>
          <w:tcPr>
            <w:tcW w:w="3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379,609</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626"/>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-511175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-494030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-511175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-494030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-511175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-494030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-511175</wp:posOffset>
            </wp:positionV>
            <wp:extent cx="850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-494030</wp:posOffset>
            </wp:positionV>
            <wp:extent cx="850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6" w:name="page27"/>
    <w:bookmarkEnd w:id="26"/>
    <w:tbl>
      <w:tblPr>
        <w:tblLayout w:type="fixed"/>
        <w:tblInd w:w="52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Software, equipment and property, net by geographic area are as follows (in thousands):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70"/>
        </w:trPr>
        <w:tc>
          <w:tcPr>
            <w:tcW w:w="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4"/>
                <w:szCs w:val="24"/>
                <w:color w:val="auto"/>
              </w:rPr>
            </w:pPr>
          </w:p>
        </w:tc>
      </w:tr>
      <w:tr>
        <w:trPr>
          <w:trHeight w:val="248"/>
        </w:trPr>
        <w:tc>
          <w:tcPr>
            <w:tcW w:w="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2"/>
        </w:trPr>
        <w:tc>
          <w:tcPr>
            <w:tcW w:w="60" w:type="dxa"/>
            <w:vAlign w:val="bottom"/>
          </w:tcPr>
          <w:p>
            <w:pPr>
              <w:spacing w:after="0"/>
              <w:rPr>
                <w:sz w:val="21"/>
                <w:szCs w:val="21"/>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153,392</w:t>
            </w: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146,398</w:t>
            </w:r>
          </w:p>
        </w:tc>
        <w:tc>
          <w:tcPr>
            <w:tcW w:w="140" w:type="dxa"/>
            <w:vAlign w:val="bottom"/>
            <w:shd w:val="clear" w:color="auto" w:fill="CFF0FC"/>
          </w:tcPr>
          <w:p>
            <w:pPr>
              <w:spacing w:after="0"/>
              <w:rPr>
                <w:sz w:val="21"/>
                <w:szCs w:val="21"/>
                <w:color w:val="auto"/>
              </w:rPr>
            </w:pPr>
          </w:p>
        </w:tc>
      </w:tr>
      <w:tr>
        <w:trPr>
          <w:trHeight w:val="242"/>
        </w:trPr>
        <w:tc>
          <w:tcPr>
            <w:tcW w:w="60" w:type="dxa"/>
            <w:vAlign w:val="bottom"/>
          </w:tcPr>
          <w:p>
            <w:pPr>
              <w:spacing w:after="0"/>
              <w:rPr>
                <w:sz w:val="21"/>
                <w:szCs w:val="21"/>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China</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7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software, equipment and property-net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153,539</w:t>
            </w:r>
          </w:p>
        </w:tc>
        <w:tc>
          <w:tcPr>
            <w:tcW w:w="4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146,443</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-24765</wp:posOffset>
            </wp:positionV>
            <wp:extent cx="850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-7620</wp:posOffset>
            </wp:positionV>
            <wp:extent cx="850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20" w:hanging="513"/>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COST METHOD INVESTMENT</w:t>
      </w:r>
    </w:p>
    <w:p>
      <w:pPr>
        <w:spacing w:after="0" w:line="119" w:lineRule="exact"/>
        <w:rPr>
          <w:rFonts w:ascii="Arial" w:cs="Arial" w:eastAsia="Arial" w:hAnsi="Arial"/>
          <w:sz w:val="18"/>
          <w:szCs w:val="18"/>
          <w:b w:val="1"/>
          <w:bCs w:val="1"/>
          <w:color w:val="auto"/>
        </w:rPr>
      </w:pPr>
    </w:p>
    <w:p>
      <w:pPr>
        <w:ind w:left="520" w:right="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During February 2022, the Company received cash proceeds of $3.9 million in exchange for its equity interest in an investee as a result of the acquisition of the investee. The Company had been accounting for its investment using the cost method and recognized a gain of $3.6 million during the six months ended June 30, 2022. The investment’s carrying value was $0.3 million at time of the acquisition. The Company no longer has any ownership interest in the investee.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spacing w:after="0" w:line="15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i w:val="1"/>
          <w:iCs w:val="1"/>
          <w:color w:val="auto"/>
        </w:rPr>
        <w:t>Unless otherwise indicated or the context otherwise requires, references to “CCC,” the “Company,” “we,” “us,” “our” and other similar terms refer to CCC Intelligent Solutions Holdings Inc. and its consolidated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9" w:lineRule="exact"/>
        <w:rPr>
          <w:sz w:val="20"/>
          <w:szCs w:val="20"/>
          <w:color w:val="auto"/>
        </w:rPr>
      </w:pPr>
    </w:p>
    <w:p>
      <w:pPr>
        <w:ind w:right="280" w:firstLine="509"/>
        <w:spacing w:after="0" w:line="295" w:lineRule="auto"/>
        <w:rPr>
          <w:sz w:val="20"/>
          <w:szCs w:val="20"/>
          <w:color w:val="auto"/>
        </w:rPr>
      </w:pPr>
      <w:r>
        <w:rPr>
          <w:rFonts w:ascii="Arial" w:cs="Arial" w:eastAsia="Arial" w:hAnsi="Arial"/>
          <w:sz w:val="16"/>
          <w:szCs w:val="16"/>
          <w:color w:val="auto"/>
        </w:rPr>
        <w:t>Founded in 1980, CCC is a leading provider of innovative cloud, mobile, artificial intelligence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35,000 companies across the P&amp;C insurance economy, including insurance carriers, collision repairers, parts suppliers, automotive manufacturers, financial institutions and others.</w:t>
      </w:r>
    </w:p>
    <w:p>
      <w:pPr>
        <w:spacing w:after="0" w:line="52"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6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29,000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56"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75"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Smart Suite of AI solutions increases automation across existing insurance and repair processes including vehicle damage detection, claim triage, repair estimating, and intelligent claims review. We deliver real-world AI with more than 100 U.S. auto insurers actively using AI-powered solutions in production environments. We have processed more than 14 million unique claims using CCC deep learning AI as of December 31, 2022, an increase of more than 50% over December 31, 2021.</w:t>
      </w:r>
    </w:p>
    <w:p>
      <w:pPr>
        <w:spacing w:after="0" w:line="85"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One of the primary obstacles facing the P&amp;C insurance economy is increasing complexity. Complexity in the P&amp;C insurance economy is driven by technological advancements, Internet of Things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ecosystem, and we believe we are well positioned to power the P&amp;C insurance economy of the future with our data, network, and platform.</w:t>
      </w:r>
    </w:p>
    <w:p>
      <w:pPr>
        <w:spacing w:after="0" w:line="115" w:lineRule="exact"/>
        <w:rPr>
          <w:sz w:val="20"/>
          <w:szCs w:val="20"/>
          <w:color w:val="auto"/>
        </w:rPr>
      </w:pPr>
    </w:p>
    <w:p>
      <w:pPr>
        <w:ind w:right="160" w:firstLine="509"/>
        <w:spacing w:after="0" w:line="292" w:lineRule="auto"/>
        <w:rPr>
          <w:sz w:val="20"/>
          <w:szCs w:val="20"/>
          <w:color w:val="auto"/>
        </w:rPr>
      </w:pPr>
      <w:r>
        <w:rPr>
          <w:rFonts w:ascii="Arial" w:cs="Arial" w:eastAsia="Arial" w:hAnsi="Arial"/>
          <w:sz w:val="16"/>
          <w:szCs w:val="16"/>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our acquisition of Safekeep in February 2022 added subrogation solutions that can span insurance lines including automotive, property, and worker's compensation.</w:t>
      </w:r>
    </w:p>
    <w:p>
      <w:pPr>
        <w:spacing w:after="0" w:line="5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35,000 total customers, including over 29,000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and Operating Metrics</w:t>
      </w:r>
    </w:p>
    <w:p>
      <w:pPr>
        <w:spacing w:after="0" w:line="119" w:lineRule="exact"/>
        <w:rPr>
          <w:sz w:val="20"/>
          <w:szCs w:val="20"/>
          <w:color w:val="auto"/>
        </w:rPr>
      </w:pPr>
    </w:p>
    <w:p>
      <w:pPr>
        <w:jc w:val="both"/>
        <w:ind w:right="100" w:firstLine="509"/>
        <w:spacing w:after="0" w:line="262" w:lineRule="auto"/>
        <w:rPr>
          <w:sz w:val="20"/>
          <w:szCs w:val="20"/>
          <w:color w:val="auto"/>
        </w:rPr>
      </w:pPr>
      <w:r>
        <w:rPr>
          <w:rFonts w:ascii="Arial" w:cs="Arial" w:eastAsia="Arial" w:hAnsi="Arial"/>
          <w:sz w:val="18"/>
          <w:szCs w:val="18"/>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NDR</w:t>
      </w:r>
    </w:p>
    <w:p>
      <w:pPr>
        <w:spacing w:after="0" w:line="115"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spacing w:after="0"/>
              <w:rPr>
                <w:sz w:val="20"/>
                <w:szCs w:val="20"/>
                <w:color w:val="auto"/>
              </w:rPr>
            </w:pPr>
          </w:p>
        </w:tc>
        <w:tc>
          <w:tcPr>
            <w:tcW w:w="1540" w:type="dxa"/>
            <w:vAlign w:val="bottom"/>
          </w:tcPr>
          <w:p>
            <w:pPr>
              <w:ind w:left="160"/>
              <w:spacing w:after="0"/>
              <w:rPr>
                <w:sz w:val="20"/>
                <w:szCs w:val="20"/>
                <w:color w:val="auto"/>
              </w:rPr>
            </w:pPr>
            <w:r>
              <w:rPr>
                <w:rFonts w:ascii="Arial" w:cs="Arial" w:eastAsia="Arial" w:hAnsi="Arial"/>
                <w:sz w:val="18"/>
                <w:szCs w:val="18"/>
                <w:b w:val="1"/>
                <w:bCs w:val="1"/>
                <w:color w:val="auto"/>
              </w:rPr>
              <w:t>Quarter Ending</w:t>
            </w:r>
          </w:p>
        </w:tc>
        <w:tc>
          <w:tcPr>
            <w:tcW w:w="17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2023</w:t>
            </w:r>
          </w:p>
        </w:tc>
        <w:tc>
          <w:tcPr>
            <w:tcW w:w="17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2022</w:t>
            </w:r>
          </w:p>
        </w:tc>
      </w:tr>
      <w:tr>
        <w:trPr>
          <w:trHeight w:val="242"/>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 NDR</w:t>
            </w:r>
          </w:p>
        </w:tc>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w:t>
            </w:r>
          </w:p>
        </w:tc>
        <w:tc>
          <w:tcPr>
            <w:tcW w:w="22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106%</w:t>
            </w:r>
          </w:p>
        </w:tc>
        <w:tc>
          <w:tcPr>
            <w:tcW w:w="20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114%</w:t>
            </w:r>
          </w:p>
        </w:tc>
      </w:tr>
      <w:tr>
        <w:trPr>
          <w:trHeight w:val="236"/>
        </w:trPr>
        <w:tc>
          <w:tcPr>
            <w:tcW w:w="618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June 30</w:t>
            </w: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107%</w:t>
            </w:r>
          </w:p>
        </w:tc>
        <w:tc>
          <w:tcPr>
            <w:tcW w:w="1760" w:type="dxa"/>
            <w:vAlign w:val="bottom"/>
            <w:gridSpan w:val="2"/>
          </w:tcPr>
          <w:p>
            <w:pPr>
              <w:jc w:val="center"/>
              <w:ind w:left="110"/>
              <w:spacing w:after="0"/>
              <w:rPr>
                <w:sz w:val="20"/>
                <w:szCs w:val="20"/>
                <w:color w:val="auto"/>
              </w:rPr>
            </w:pPr>
            <w:r>
              <w:rPr>
                <w:rFonts w:ascii="Arial" w:cs="Arial" w:eastAsia="Arial" w:hAnsi="Arial"/>
                <w:sz w:val="18"/>
                <w:szCs w:val="18"/>
                <w:color w:val="auto"/>
                <w:w w:val="86"/>
              </w:rPr>
              <w:t>111%</w:t>
            </w:r>
          </w:p>
        </w:tc>
      </w:tr>
      <w:tr>
        <w:trPr>
          <w:trHeight w:val="248"/>
        </w:trPr>
        <w:tc>
          <w:tcPr>
            <w:tcW w:w="6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September 30</w:t>
            </w: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6"/>
              </w:rPr>
              <w:t>110%</w:t>
            </w:r>
          </w:p>
        </w:tc>
      </w:tr>
      <w:tr>
        <w:trPr>
          <w:trHeight w:val="230"/>
        </w:trPr>
        <w:tc>
          <w:tcPr>
            <w:tcW w:w="618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106%</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GDR</w:t>
      </w:r>
    </w:p>
    <w:p>
      <w:pPr>
        <w:spacing w:after="0" w:line="115"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9" w:name="page30"/>
    <w:bookmarkEnd w:id="29"/>
    <w:p>
      <w:pPr>
        <w:spacing w:after="0" w:line="283" w:lineRule="auto"/>
        <w:rPr>
          <w:sz w:val="20"/>
          <w:szCs w:val="20"/>
          <w:color w:val="auto"/>
        </w:rPr>
      </w:pPr>
      <w:r>
        <w:rPr>
          <w:rFonts w:ascii="Arial" w:cs="Arial" w:eastAsia="Arial" w:hAnsi="Arial"/>
          <w:sz w:val="16"/>
          <w:szCs w:val="16"/>
          <w:color w:val="auto"/>
        </w:rPr>
        <w:t>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w:t>
      </w:r>
    </w:p>
    <w:p>
      <w:pPr>
        <w:spacing w:after="0" w:line="3" w:lineRule="exact"/>
        <w:rPr>
          <w:sz w:val="20"/>
          <w:szCs w:val="20"/>
          <w:color w:val="auto"/>
        </w:rPr>
      </w:pPr>
    </w:p>
    <w:p>
      <w:pPr>
        <w:jc w:val="right"/>
        <w:ind w:left="5540" w:right="5300" w:hanging="5533"/>
        <w:spacing w:after="0" w:line="1021" w:lineRule="auto"/>
        <w:tabs>
          <w:tab w:leader="none" w:pos="4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casualty solutions which are largely usage and professional service based.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-323850</wp:posOffset>
            </wp:positionV>
            <wp:extent cx="7158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320" w:top="448" w:right="5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0"/>
        </w:trPr>
        <w:tc>
          <w:tcPr>
            <w:tcW w:w="6180" w:type="dxa"/>
            <w:vAlign w:val="bottom"/>
          </w:tcPr>
          <w:p>
            <w:pPr>
              <w:spacing w:after="0"/>
              <w:rPr>
                <w:sz w:val="20"/>
                <w:szCs w:val="20"/>
                <w:color w:val="auto"/>
              </w:rPr>
            </w:pPr>
          </w:p>
        </w:tc>
        <w:tc>
          <w:tcPr>
            <w:tcW w:w="1540" w:type="dxa"/>
            <w:vAlign w:val="bottom"/>
          </w:tcPr>
          <w:p>
            <w:pPr>
              <w:ind w:left="160"/>
              <w:spacing w:after="0"/>
              <w:rPr>
                <w:sz w:val="20"/>
                <w:szCs w:val="20"/>
                <w:color w:val="auto"/>
              </w:rPr>
            </w:pPr>
            <w:r>
              <w:rPr>
                <w:rFonts w:ascii="Arial" w:cs="Arial" w:eastAsia="Arial" w:hAnsi="Arial"/>
                <w:sz w:val="18"/>
                <w:szCs w:val="18"/>
                <w:b w:val="1"/>
                <w:bCs w:val="1"/>
                <w:color w:val="auto"/>
              </w:rPr>
              <w:t>Quarter Ending</w:t>
            </w:r>
          </w:p>
        </w:tc>
        <w:tc>
          <w:tcPr>
            <w:tcW w:w="17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2023</w:t>
            </w:r>
          </w:p>
        </w:tc>
        <w:tc>
          <w:tcPr>
            <w:tcW w:w="17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2022</w:t>
            </w:r>
          </w:p>
        </w:tc>
      </w:tr>
      <w:tr>
        <w:trPr>
          <w:trHeight w:val="242"/>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 GDR</w:t>
            </w:r>
          </w:p>
        </w:tc>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w:t>
            </w:r>
          </w:p>
        </w:tc>
        <w:tc>
          <w:tcPr>
            <w:tcW w:w="22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99%</w:t>
            </w:r>
          </w:p>
        </w:tc>
        <w:tc>
          <w:tcPr>
            <w:tcW w:w="20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99%</w:t>
            </w:r>
          </w:p>
        </w:tc>
      </w:tr>
      <w:tr>
        <w:trPr>
          <w:trHeight w:val="236"/>
        </w:trPr>
        <w:tc>
          <w:tcPr>
            <w:tcW w:w="618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June 30</w:t>
            </w: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99%</w:t>
            </w:r>
          </w:p>
        </w:tc>
        <w:tc>
          <w:tcPr>
            <w:tcW w:w="17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99%</w:t>
            </w:r>
          </w:p>
        </w:tc>
      </w:tr>
      <w:tr>
        <w:trPr>
          <w:trHeight w:val="248"/>
        </w:trPr>
        <w:tc>
          <w:tcPr>
            <w:tcW w:w="6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September 30</w:t>
            </w: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8"/>
              </w:rPr>
              <w:t>99%</w:t>
            </w:r>
          </w:p>
        </w:tc>
      </w:tr>
      <w:tr>
        <w:trPr>
          <w:trHeight w:val="230"/>
        </w:trPr>
        <w:tc>
          <w:tcPr>
            <w:tcW w:w="618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99%</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to the three months ended June 30, 2022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0"/>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1"/>
              </w:rPr>
              <w:t>Three Months Ended June 30,</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(dollar amounts in thousands, except share and per share data)</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211,710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18,924</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5240" w:type="dxa"/>
            <w:vAlign w:val="bottom"/>
            <w:gridSpan w:val="2"/>
          </w:tcPr>
          <w:p>
            <w:pPr>
              <w:ind w:left="380"/>
              <w:spacing w:after="0"/>
              <w:rPr>
                <w:sz w:val="20"/>
                <w:szCs w:val="20"/>
                <w:color w:val="auto"/>
              </w:rPr>
            </w:pPr>
            <w:r>
              <w:rPr>
                <w:rFonts w:ascii="Arial" w:cs="Arial" w:eastAsia="Arial" w:hAnsi="Arial"/>
                <w:sz w:val="18"/>
                <w:szCs w:val="18"/>
                <w:color w:val="auto"/>
                <w:w w:val="98"/>
              </w:rPr>
              <w:t>Cost of revenues, exclusive of amortization and impairment of</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acquired technologies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52,047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46,095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5,952</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55"/>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acquired technologies</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3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(104 )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acquired technologies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21"/>
                <w:szCs w:val="21"/>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5"/>
        </w:trPr>
        <w:tc>
          <w:tcPr>
            <w:tcW w:w="5240" w:type="dxa"/>
            <w:vAlign w:val="bottom"/>
            <w:gridSpan w:val="2"/>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40" w:type="dxa"/>
            <w:vAlign w:val="bottom"/>
            <w:tcBorders>
              <w:bottom w:val="single" w:sz="8" w:color="CFF0FC"/>
            </w:tcBorders>
            <w:gridSpan w:val="2"/>
            <w:shd w:val="clear" w:color="auto" w:fill="CFF0FC"/>
          </w:tcPr>
          <w:p>
            <w:pPr>
              <w:ind w:left="20"/>
              <w:spacing w:after="0" w:line="242"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59,124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152,586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139,941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12,645</w:t>
            </w:r>
          </w:p>
        </w:tc>
        <w:tc>
          <w:tcPr>
            <w:tcW w:w="26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8"/>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40" w:type="dxa"/>
            <w:vAlign w:val="bottom"/>
            <w:gridSpan w:val="2"/>
          </w:tcPr>
          <w:p>
            <w:pPr>
              <w:ind w:left="380"/>
              <w:spacing w:after="0" w:line="242"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43,363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38,758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4,605</w:t>
            </w: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FF0FC"/>
          </w:tcPr>
          <w:p>
            <w:pPr>
              <w:ind w:left="380"/>
              <w:spacing w:after="0" w:line="242" w:lineRule="exact"/>
              <w:rPr>
                <w:sz w:val="20"/>
                <w:szCs w:val="20"/>
                <w:color w:val="auto"/>
              </w:rPr>
            </w:pPr>
            <w:r>
              <w:rPr>
                <w:rFonts w:ascii="Arial" w:cs="Arial" w:eastAsia="Arial" w:hAnsi="Arial"/>
                <w:sz w:val="18"/>
                <w:szCs w:val="18"/>
                <w:color w:val="auto"/>
              </w:rPr>
              <w:t>Selling and marketing</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40" w:type="dxa"/>
            <w:vAlign w:val="bottom"/>
            <w:gridSpan w:val="2"/>
          </w:tcPr>
          <w:p>
            <w:pPr>
              <w:ind w:left="380"/>
              <w:spacing w:after="0" w:line="242"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46,141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39,509</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6,632</w:t>
            </w: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(44 )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goodwill</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77,405</w:t>
            </w:r>
          </w:p>
        </w:tc>
        <w:tc>
          <w:tcPr>
            <w:tcW w:w="26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225,773</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127,424</w:t>
            </w:r>
          </w:p>
        </w:tc>
        <w:tc>
          <w:tcPr>
            <w:tcW w:w="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98,349</w:t>
            </w:r>
          </w:p>
        </w:tc>
        <w:tc>
          <w:tcPr>
            <w:tcW w:w="26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77.2 %</w:t>
            </w:r>
          </w:p>
        </w:tc>
        <w:tc>
          <w:tcPr>
            <w:tcW w:w="0" w:type="dxa"/>
            <w:vAlign w:val="bottom"/>
          </w:tcPr>
          <w:p>
            <w:pPr>
              <w:spacing w:after="0"/>
              <w:rPr>
                <w:sz w:val="1"/>
                <w:szCs w:val="1"/>
                <w:color w:val="auto"/>
              </w:rPr>
            </w:pPr>
          </w:p>
        </w:tc>
      </w:tr>
      <w:tr>
        <w:trPr>
          <w:trHeight w:val="235"/>
        </w:trPr>
        <w:tc>
          <w:tcPr>
            <w:tcW w:w="5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46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(73,187 )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(85,704 )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(14,014 )</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(7,944 )</w:t>
            </w: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(6,070 )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-76.4 %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4,023</w:t>
            </w:r>
          </w:p>
        </w:tc>
        <w:tc>
          <w:tcPr>
            <w:tcW w:w="2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Change in fair value of derivative instruments</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w:t>
            </w: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20"/>
                <w:szCs w:val="20"/>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(20,375 )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(41,379 )</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181.3 %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24"/>
                <w:szCs w:val="24"/>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(26,438 )</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(39,610 )</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5"/>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25,689</w:t>
            </w: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(125,314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(10,125 )</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12,406</w:t>
            </w:r>
          </w:p>
        </w:tc>
        <w:tc>
          <w:tcPr>
            <w:tcW w:w="260" w:type="dxa"/>
            <w:vAlign w:val="bottom"/>
          </w:tcPr>
          <w:p>
            <w:pPr>
              <w:spacing w:after="0"/>
              <w:rPr>
                <w:sz w:val="21"/>
                <w:szCs w:val="21"/>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5"/>
        </w:trPr>
        <w:tc>
          <w:tcPr>
            <w:tcW w:w="5240" w:type="dxa"/>
            <w:vAlign w:val="bottom"/>
            <w:gridSpan w:val="2"/>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 income including non-controlling interest</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(97,344 )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15,564</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(112,908 )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Less: accretion of redeemable non-controlling interest</w:t>
            </w:r>
          </w:p>
        </w:tc>
        <w:tc>
          <w:tcPr>
            <w:tcW w:w="160" w:type="dxa"/>
            <w:vAlign w:val="bottom"/>
          </w:tcPr>
          <w:p>
            <w:pPr>
              <w:spacing w:after="0"/>
              <w:rPr>
                <w:sz w:val="24"/>
                <w:szCs w:val="24"/>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(315 )</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24"/>
                <w:szCs w:val="24"/>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7"/>
              </w:rPr>
              <w:t>Net (loss) income attributable to CCC Intelligent Solutions Holdings</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(97,659 )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15,564</w:t>
            </w:r>
          </w:p>
        </w:tc>
        <w:tc>
          <w:tcPr>
            <w:tcW w:w="32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(113,223 )</w:t>
            </w: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2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Inc. Common Stockholders</w:t>
            </w:r>
          </w:p>
        </w:tc>
        <w:tc>
          <w:tcPr>
            <w:tcW w:w="160" w:type="dxa"/>
            <w:vAlign w:val="bottom"/>
            <w:vMerge w:val="continue"/>
            <w:shd w:val="clear" w:color="auto" w:fill="CFF0FC"/>
          </w:tcPr>
          <w:p>
            <w:pPr>
              <w:spacing w:after="0"/>
              <w:rPr>
                <w:sz w:val="21"/>
                <w:szCs w:val="21"/>
                <w:color w:val="auto"/>
              </w:rPr>
            </w:pPr>
          </w:p>
        </w:tc>
        <w:tc>
          <w:tcPr>
            <w:tcW w:w="1360" w:type="dxa"/>
            <w:vAlign w:val="bottom"/>
            <w:gridSpan w:val="2"/>
            <w:vMerge w:val="continue"/>
            <w:shd w:val="clear" w:color="auto" w:fill="CFF0FC"/>
          </w:tcPr>
          <w:p>
            <w:pPr>
              <w:spacing w:after="0"/>
              <w:rPr>
                <w:sz w:val="21"/>
                <w:szCs w:val="21"/>
                <w:color w:val="auto"/>
              </w:rPr>
            </w:pPr>
          </w:p>
        </w:tc>
        <w:tc>
          <w:tcPr>
            <w:tcW w:w="220" w:type="dxa"/>
            <w:vAlign w:val="bottom"/>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vMerge w:val="continue"/>
            <w:shd w:val="clear" w:color="auto" w:fill="CFF0FC"/>
          </w:tcPr>
          <w:p>
            <w:pPr>
              <w:spacing w:after="0"/>
              <w:rPr>
                <w:sz w:val="21"/>
                <w:szCs w:val="21"/>
                <w:color w:val="auto"/>
              </w:rPr>
            </w:pPr>
          </w:p>
        </w:tc>
        <w:tc>
          <w:tcPr>
            <w:tcW w:w="1140" w:type="dxa"/>
            <w:vAlign w:val="bottom"/>
            <w:gridSpan w:val="2"/>
            <w:vMerge w:val="continue"/>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w w:val="99"/>
              </w:rPr>
              <w:t>Net (loss) income per share attributable to common stockholders:</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(0.16 )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(0.16 )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8"/>
              </w:rPr>
              <w:t>Weighted-average shares used in computing net (loss) income per</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 attributable to common stockholders:</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621,235,776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605,948,628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621,235,776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639,964,696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20"/>
              <w:spacing w:after="0"/>
              <w:rPr>
                <w:sz w:val="20"/>
                <w:szCs w:val="20"/>
                <w:color w:val="auto"/>
              </w:rPr>
            </w:pPr>
            <w:r>
              <w:rPr>
                <w:rFonts w:ascii="Arial" w:cs="Arial" w:eastAsia="Arial" w:hAnsi="Arial"/>
                <w:sz w:val="18"/>
                <w:szCs w:val="18"/>
                <w:i w:val="1"/>
                <w:iCs w:val="1"/>
                <w:color w:val="auto"/>
              </w:rPr>
              <w:t>NM—Not Meaningful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-5853430</wp:posOffset>
            </wp:positionV>
            <wp:extent cx="85090" cy="315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-5853430</wp:posOffset>
            </wp:positionV>
            <wp:extent cx="85090" cy="315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-5853430</wp:posOffset>
            </wp:positionV>
            <wp:extent cx="85090" cy="315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090" cy="31559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-4462780</wp:posOffset>
            </wp:positionV>
            <wp:extent cx="85090" cy="4775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090" cy="477520"/>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-4462780</wp:posOffset>
            </wp:positionV>
            <wp:extent cx="85090" cy="4775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090" cy="477520"/>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-4462780</wp:posOffset>
            </wp:positionV>
            <wp:extent cx="85090" cy="4775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090" cy="47752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-2909570</wp:posOffset>
            </wp:positionV>
            <wp:extent cx="85090" cy="3244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090" cy="32448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-2909570</wp:posOffset>
            </wp:positionV>
            <wp:extent cx="85090" cy="3244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090" cy="32448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-2909570</wp:posOffset>
            </wp:positionV>
            <wp:extent cx="85090" cy="3244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090" cy="3244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-1382395</wp:posOffset>
            </wp:positionV>
            <wp:extent cx="2030730" cy="1790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30730" cy="179070"/>
                    </a:xfrm>
                    <a:prstGeom prst="rect">
                      <a:avLst/>
                    </a:prstGeom>
                    <a:noFill/>
                  </pic:spPr>
                </pic:pic>
              </a:graphicData>
            </a:graphic>
          </wp:anchor>
        </w:drawing>
      </w:r>
    </w:p>
    <w:p>
      <w:pPr>
        <w:spacing w:after="0" w:line="233" w:lineRule="exact"/>
        <w:rPr>
          <w:sz w:val="20"/>
          <w:szCs w:val="20"/>
          <w:color w:val="auto"/>
        </w:rPr>
      </w:pPr>
    </w:p>
    <w:p>
      <w:pPr>
        <w:ind w:left="20" w:right="6840" w:firstLine="1"/>
        <w:spacing w:after="0" w:line="220" w:lineRule="auto"/>
        <w:tabs>
          <w:tab w:leader="none" w:pos="249" w:val="left"/>
        </w:tabs>
        <w:numPr>
          <w:ilvl w:val="0"/>
          <w:numId w:val="31"/>
        </w:numPr>
        <w:rPr>
          <w:rFonts w:ascii="Arial" w:cs="Arial" w:eastAsia="Arial" w:hAnsi="Arial"/>
          <w:sz w:val="24"/>
          <w:szCs w:val="24"/>
          <w:color w:val="auto"/>
          <w:vertAlign w:val="superscript"/>
        </w:rPr>
      </w:pPr>
      <w:r>
        <w:rPr>
          <w:rFonts w:ascii="Arial" w:cs="Arial" w:eastAsia="Arial" w:hAnsi="Arial"/>
          <w:sz w:val="18"/>
          <w:szCs w:val="18"/>
          <w:color w:val="auto"/>
        </w:rPr>
        <w:t>Includes stock-based compensation expense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40" w:type="dxa"/>
            <w:vAlign w:val="bottom"/>
          </w:tcPr>
          <w:p>
            <w:pPr>
              <w:spacing w:after="0"/>
              <w:rPr>
                <w:sz w:val="20"/>
                <w:szCs w:val="20"/>
                <w:color w:val="auto"/>
              </w:rPr>
            </w:pPr>
          </w:p>
        </w:tc>
        <w:tc>
          <w:tcPr>
            <w:tcW w:w="27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7"/>
              </w:rPr>
              <w:t>Three Months Ended June 30,</w:t>
            </w:r>
          </w:p>
        </w:tc>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35"/>
        </w:trPr>
        <w:tc>
          <w:tcPr>
            <w:tcW w:w="52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2,299</w:t>
            </w:r>
          </w:p>
        </w:tc>
        <w:tc>
          <w:tcPr>
            <w:tcW w:w="3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1,661</w:t>
            </w:r>
          </w:p>
        </w:tc>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48"/>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6,600</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40" w:type="dxa"/>
            <w:vAlign w:val="bottom"/>
            <w:shd w:val="clear" w:color="auto" w:fill="CFF0FC"/>
          </w:tcPr>
          <w:p>
            <w:pPr>
              <w:spacing w:after="0"/>
              <w:rPr>
                <w:sz w:val="21"/>
                <w:szCs w:val="21"/>
                <w:color w:val="auto"/>
              </w:rPr>
            </w:pPr>
          </w:p>
        </w:tc>
        <w:tc>
          <w:tcPr>
            <w:tcW w:w="3100" w:type="dxa"/>
            <w:vAlign w:val="bottom"/>
          </w:tcPr>
          <w:p>
            <w:pPr>
              <w:spacing w:after="0"/>
              <w:rPr>
                <w:sz w:val="21"/>
                <w:szCs w:val="21"/>
                <w:color w:val="auto"/>
              </w:rPr>
            </w:pPr>
          </w:p>
        </w:tc>
      </w:tr>
      <w:tr>
        <w:trPr>
          <w:trHeight w:val="430"/>
        </w:trPr>
        <w:tc>
          <w:tcPr>
            <w:tcW w:w="524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14"/>
        </w:trPr>
        <w:tc>
          <w:tcPr>
            <w:tcW w:w="5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76"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6,611</w:t>
            </w:r>
          </w:p>
        </w:tc>
        <w:tc>
          <w:tcPr>
            <w:tcW w:w="140" w:type="dxa"/>
            <w:vAlign w:val="bottom"/>
          </w:tcPr>
          <w:p>
            <w:pPr>
              <w:spacing w:after="0"/>
              <w:rPr>
                <w:sz w:val="20"/>
                <w:szCs w:val="20"/>
                <w:color w:val="auto"/>
              </w:rPr>
            </w:pPr>
          </w:p>
        </w:tc>
      </w:tr>
      <w:tr>
        <w:trPr>
          <w:trHeight w:val="242"/>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17,838</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53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35,486</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28,403</w:t>
            </w:r>
          </w:p>
        </w:tc>
        <w:tc>
          <w:tcPr>
            <w:tcW w:w="14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-187325</wp:posOffset>
            </wp:positionV>
            <wp:extent cx="85090" cy="1879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-187325</wp:posOffset>
            </wp:positionV>
            <wp:extent cx="85090" cy="1879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Revenues increased by $18.9 million to $211.7 million, or 9.8%, for the three months ended June 30, 2023, compared to the three months ended June 30, 2022. The Company's software subscription revenues accounted for $202.9 million and $185.5 million, or 96% and 96%, of total revenue during the three months ended June 30, 2023 and 2022, respectively.</w:t>
      </w:r>
    </w:p>
    <w:p>
      <w:pPr>
        <w:spacing w:after="0" w:line="75" w:lineRule="exact"/>
        <w:rPr>
          <w:sz w:val="20"/>
          <w:szCs w:val="20"/>
          <w:color w:val="auto"/>
        </w:rPr>
      </w:pPr>
    </w:p>
    <w:p>
      <w:pPr>
        <w:ind w:right="360" w:firstLine="509"/>
        <w:spacing w:after="0" w:line="275" w:lineRule="auto"/>
        <w:rPr>
          <w:sz w:val="20"/>
          <w:szCs w:val="20"/>
          <w:color w:val="auto"/>
        </w:rPr>
      </w:pPr>
      <w:r>
        <w:rPr>
          <w:rFonts w:ascii="Arial" w:cs="Arial" w:eastAsia="Arial" w:hAnsi="Arial"/>
          <w:sz w:val="18"/>
          <w:szCs w:val="18"/>
          <w:color w:val="auto"/>
        </w:rPr>
        <w:t>The increase in revenue was primarily a result of 7% growth from existing customer upgrades and expanding solution offerings to these existing customers as well as 3% growth from new customers.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5" w:lineRule="exact"/>
        <w:rPr>
          <w:sz w:val="20"/>
          <w:szCs w:val="20"/>
          <w:color w:val="auto"/>
        </w:rPr>
      </w:pPr>
    </w:p>
    <w:p>
      <w:pPr>
        <w:ind w:right="420" w:firstLine="509"/>
        <w:spacing w:after="0" w:line="275" w:lineRule="auto"/>
        <w:rPr>
          <w:sz w:val="20"/>
          <w:szCs w:val="20"/>
          <w:color w:val="auto"/>
        </w:rPr>
      </w:pPr>
      <w:r>
        <w:rPr>
          <w:rFonts w:ascii="Arial" w:cs="Arial" w:eastAsia="Arial" w:hAnsi="Arial"/>
          <w:sz w:val="18"/>
          <w:szCs w:val="18"/>
          <w:color w:val="auto"/>
        </w:rPr>
        <w:t>Cost of revenues increased by $6.3 million to $59.1 million, or 11.9%, for the three months ended June 30, 2023, compared to the three months ended June 30,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and impairment of acquired technologies</w:t>
      </w:r>
    </w:p>
    <w:p>
      <w:pPr>
        <w:spacing w:after="0" w:line="115"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Cost of revenues, exclusive of amortization and impairment of acquired technologies, increased by $6.0 million to $52.0 million, or 12.9%, for the three months ended June 30, 2023, compared to the three months ended June 30, 2022. The increase was primarily due to a $2.3 million increase in depreciation expense related to additional investments in platform and infrastructure enhancements, a $1.5 million increase in personnel-related costs, including stock-based compensation, a $1.1 million increase in information technology ("IT") related costs and a $0.8 million increase in third party fees and direct costs associated with our revenue growth.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of acquired technologies was $6.6 million and $6.8 million for the three months ended June 30,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Technologies</w:t>
      </w:r>
    </w:p>
    <w:p>
      <w:pPr>
        <w:spacing w:after="0" w:line="115"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Impairment of acquired technologies was $0.4 million for the three months ended June 30, 2023 due to an impairment charge recognized as a result of a downward revision of projected earnings and cash flows of our China reporting unit. There was no impairment charge recognized during the three months ended June 30,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5" w:lineRule="exact"/>
        <w:rPr>
          <w:sz w:val="20"/>
          <w:szCs w:val="20"/>
          <w:color w:val="auto"/>
        </w:rPr>
      </w:pPr>
    </w:p>
    <w:p>
      <w:pPr>
        <w:ind w:right="40" w:firstLine="509"/>
        <w:spacing w:after="0" w:line="277" w:lineRule="auto"/>
        <w:rPr>
          <w:sz w:val="20"/>
          <w:szCs w:val="20"/>
          <w:color w:val="auto"/>
        </w:rPr>
      </w:pPr>
      <w:r>
        <w:rPr>
          <w:rFonts w:ascii="Arial" w:cs="Arial" w:eastAsia="Arial" w:hAnsi="Arial"/>
          <w:sz w:val="17"/>
          <w:szCs w:val="17"/>
          <w:color w:val="auto"/>
        </w:rPr>
        <w:t>Gross profit increased by $12.6 million to $152.6 million, or 9.0%, for the three months ended June 30, 2023, compared to the three months ended June 30, 2022. Our gross profit margin was 72.1% for the three months ended June 30, 2023, compared to 72.6% for the three months ended June 30, 2022. The increase in gross profit was due to increased software subscription revenues and economies of scale resulting from fixed cost arrangements, partially offset by the increase in depreciation expense related to additional investments in platform and infrastructure enhancements.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ind w:right="60" w:firstLine="509"/>
        <w:spacing w:after="0" w:line="277" w:lineRule="auto"/>
        <w:rPr>
          <w:sz w:val="20"/>
          <w:szCs w:val="20"/>
          <w:color w:val="auto"/>
        </w:rPr>
      </w:pPr>
      <w:r>
        <w:rPr>
          <w:rFonts w:ascii="Arial" w:cs="Arial" w:eastAsia="Arial" w:hAnsi="Arial"/>
          <w:sz w:val="17"/>
          <w:szCs w:val="17"/>
          <w:color w:val="auto"/>
        </w:rPr>
        <w:t>Research and development expense increased by $4.6 million to $43.4 million, or 11.9%, for the three months ended June 30, 2023, compared to the three months ended June 30, 2022. The increase was primarily due to a $3.1 million increase in consulting and other professional service costs, a $3.1 million increase in IT related costs and a $0.9 million increase in personnel-related costs, including stock-based compensation, partially offset by a $2.5 million increase in the amount of capitalized time on platform and infrastructure enhancements.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5"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Selling and marketing expense increased by $4.8 million to $35.9 million, or 15.6%, for the three months ended June 30, 2023, compared to the three months ended June 30, 2022. The increase was primarily due to a $4.2 million increase in personnel-related costs, including stock-based compensation and sales incentives and a $0.5 million increase in travel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5" w:lineRule="exact"/>
        <w:rPr>
          <w:sz w:val="20"/>
          <w:szCs w:val="20"/>
          <w:color w:val="auto"/>
        </w:rPr>
      </w:pPr>
    </w:p>
    <w:p>
      <w:pPr>
        <w:jc w:val="both"/>
        <w:ind w:right="40" w:firstLine="509"/>
        <w:spacing w:after="0" w:line="258" w:lineRule="auto"/>
        <w:rPr>
          <w:sz w:val="20"/>
          <w:szCs w:val="20"/>
          <w:color w:val="auto"/>
        </w:rPr>
      </w:pPr>
      <w:r>
        <w:rPr>
          <w:rFonts w:ascii="Arial" w:cs="Arial" w:eastAsia="Arial" w:hAnsi="Arial"/>
          <w:sz w:val="18"/>
          <w:szCs w:val="18"/>
          <w:color w:val="auto"/>
        </w:rPr>
        <w:t>General and administrative expense increased by $6.6 million to $46.1 million, or 16.8%, for the three months ended June 30, 2023, compared to the three months ended June 30, 2022. The increase was primarily due to a $4.1 million increase in personnel-related costs, including a $3.2 million increase in stock-based compensation, a $1.3 million increase in legal and other professional service costs, a $0.6 million increase in IT related costs and a $0.4 million increase in the Company's facilities costs.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of intangible assets was $18.0 million and $18.1 million for the three months ended June 30,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115" w:lineRule="exact"/>
        <w:rPr>
          <w:sz w:val="20"/>
          <w:szCs w:val="20"/>
          <w:color w:val="auto"/>
        </w:rPr>
      </w:pPr>
    </w:p>
    <w:p>
      <w:pPr>
        <w:ind w:right="140" w:firstLine="509"/>
        <w:spacing w:after="0" w:line="258" w:lineRule="auto"/>
        <w:rPr>
          <w:sz w:val="20"/>
          <w:szCs w:val="20"/>
          <w:color w:val="auto"/>
        </w:rPr>
      </w:pPr>
      <w:r>
        <w:rPr>
          <w:rFonts w:ascii="Arial" w:cs="Arial" w:eastAsia="Arial" w:hAnsi="Arial"/>
          <w:sz w:val="18"/>
          <w:szCs w:val="18"/>
          <w:color w:val="auto"/>
        </w:rPr>
        <w:t>We recorded impairment charges of goodwill and intangible assets of $77.4 million and $4.9 million, respectively, for the three months ended June 30, 2023. The impairment charges were the result of lower forecasted earnings and cash flows for the Company’s China reporting unit. There was no impairment charge recognized during the three months ended June 30, 2022. See Note 11 to the condensed consolidated financial statements included elsewhere in this Quarterly Report on Form 10-Q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Interest expense increased by $6.0 million to $14.0 million, or 76.4%, for the three months ended June 30, 2023, compared to the three months ended June 30, 2022, due to higher variable interest rates during the three months ended June 30,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5"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Interest income was $4.0 million for the three months ended June 30, 2023. The interest income was due to interest earned on our cash balances. We did not recognize any interest income for the three months ended June 30,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Instruments</w:t>
      </w:r>
    </w:p>
    <w:p>
      <w:pPr>
        <w:spacing w:after="0" w:line="115" w:lineRule="exact"/>
        <w:rPr>
          <w:sz w:val="20"/>
          <w:szCs w:val="20"/>
          <w:color w:val="auto"/>
        </w:rPr>
      </w:pPr>
    </w:p>
    <w:p>
      <w:pPr>
        <w:ind w:right="20" w:firstLine="509"/>
        <w:spacing w:after="0" w:line="262" w:lineRule="auto"/>
        <w:rPr>
          <w:sz w:val="20"/>
          <w:szCs w:val="20"/>
          <w:color w:val="auto"/>
        </w:rPr>
      </w:pPr>
      <w:r>
        <w:rPr>
          <w:rFonts w:ascii="Arial" w:cs="Arial" w:eastAsia="Arial" w:hAnsi="Arial"/>
          <w:sz w:val="18"/>
          <w:szCs w:val="18"/>
          <w:color w:val="auto"/>
        </w:rPr>
        <w:t>We recognized income of $3.6 million from a change in fair value of derivative instruments for the three months ended June 30, 2023. The change in fair value recognized for the three months ended June 30, 2023 is related to the interest rate cap agreements entered into in August 2022 and driven by the changes in the forward yield curve during the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15" w:lineRule="exact"/>
        <w:rPr>
          <w:sz w:val="20"/>
          <w:szCs w:val="20"/>
          <w:color w:val="auto"/>
        </w:rPr>
      </w:pPr>
    </w:p>
    <w:p>
      <w:pPr>
        <w:ind w:right="240" w:firstLine="509"/>
        <w:spacing w:after="0" w:line="262" w:lineRule="auto"/>
        <w:rPr>
          <w:sz w:val="20"/>
          <w:szCs w:val="20"/>
          <w:color w:val="auto"/>
        </w:rPr>
      </w:pPr>
      <w:r>
        <w:rPr>
          <w:rFonts w:ascii="Arial" w:cs="Arial" w:eastAsia="Arial" w:hAnsi="Arial"/>
          <w:sz w:val="18"/>
          <w:szCs w:val="18"/>
          <w:color w:val="auto"/>
        </w:rPr>
        <w:t>We recognized a loss of $20.4 million from a change in fair value of warrant liabilities for the three months ended June 30, 2023, compared to income of $21.0 million for the three months ended June 30, 2022. The change in fair value of warrant liabilities during each period was primarily due to changes in the price of the Company's common stock during each respective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15" w:lineRule="exact"/>
        <w:rPr>
          <w:sz w:val="20"/>
          <w:szCs w:val="20"/>
          <w:color w:val="auto"/>
        </w:rPr>
      </w:pPr>
    </w:p>
    <w:p>
      <w:pPr>
        <w:ind w:right="60" w:firstLine="509"/>
        <w:spacing w:after="0" w:line="300" w:lineRule="auto"/>
        <w:rPr>
          <w:sz w:val="20"/>
          <w:szCs w:val="20"/>
          <w:color w:val="auto"/>
        </w:rPr>
      </w:pPr>
      <w:r>
        <w:rPr>
          <w:rFonts w:ascii="Arial" w:cs="Arial" w:eastAsia="Arial" w:hAnsi="Arial"/>
          <w:sz w:val="16"/>
          <w:szCs w:val="16"/>
          <w:color w:val="auto"/>
        </w:rPr>
        <w:t>Income tax benefit was $2.3 million for the three months ended June 30, 2023, compared to an income tax provision of $10.1 million for the three months ended June 30, 2022. The income tax benefit during the three months ended June 30, 2023 was due to the tax benefits from discrete items related to share-based compensation expense, the tax benefit related to the impairment of certain intangible assets, as well as the tax benefit associated with the re-measurement of the Company's deferred tax liability for changes in state tax rates being greater than the tax expense related to pre-tax income.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to the six months ended June 30, 2022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0"/>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4"/>
              </w:rPr>
              <w:t>Six Months Ended June 30,</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(dollar amounts in thousands, except share and per share data)</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416,630</w:t>
            </w: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379,609</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37,021</w:t>
            </w:r>
          </w:p>
        </w:tc>
        <w:tc>
          <w:tcPr>
            <w:tcW w:w="26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Cost of revenue, exclusive of amortization and impairment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acquired technologies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102,494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88,795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13,699</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55"/>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acquired technologies</w:t>
            </w: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(114 )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Impairment of acquired technologies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21"/>
                <w:szCs w:val="21"/>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FF0FC"/>
            </w:tcBorders>
            <w:gridSpan w:val="2"/>
            <w:shd w:val="clear" w:color="auto" w:fill="CFF0FC"/>
          </w:tcPr>
          <w:p>
            <w:pPr>
              <w:ind w:left="20"/>
              <w:spacing w:after="0" w:line="235"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116,256</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102,240</w:t>
            </w:r>
          </w:p>
        </w:tc>
        <w:tc>
          <w:tcPr>
            <w:tcW w:w="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14,016</w:t>
            </w:r>
          </w:p>
        </w:tc>
        <w:tc>
          <w:tcPr>
            <w:tcW w:w="2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300,374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277,369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23,005</w:t>
            </w:r>
          </w:p>
        </w:tc>
        <w:tc>
          <w:tcPr>
            <w:tcW w:w="2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gridSpan w:val="2"/>
          </w:tcPr>
          <w:p>
            <w:pPr>
              <w:ind w:left="200"/>
              <w:spacing w:after="0" w:line="242"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84,359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74,438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9,921</w:t>
            </w: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gridSpan w:val="2"/>
            <w:shd w:val="clear" w:color="auto" w:fill="CFF0FC"/>
          </w:tcPr>
          <w:p>
            <w:pPr>
              <w:ind w:left="200"/>
              <w:spacing w:after="0" w:line="242" w:lineRule="exact"/>
              <w:rPr>
                <w:sz w:val="20"/>
                <w:szCs w:val="20"/>
                <w:color w:val="auto"/>
              </w:rPr>
            </w:pPr>
            <w:r>
              <w:rPr>
                <w:rFonts w:ascii="Arial" w:cs="Arial" w:eastAsia="Arial" w:hAnsi="Arial"/>
                <w:sz w:val="18"/>
                <w:szCs w:val="18"/>
                <w:color w:val="auto"/>
              </w:rPr>
              <w:t>Selling and marketing</w:t>
            </w:r>
            <w:r>
              <w:rPr>
                <w:rFonts w:ascii="Arial" w:cs="Arial" w:eastAsia="Arial" w:hAnsi="Arial"/>
                <w:sz w:val="23"/>
                <w:szCs w:val="23"/>
                <w:color w:val="auto"/>
                <w:vertAlign w:val="superscript"/>
              </w:rPr>
              <w:t>(1)</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69,467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57,894</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gridSpan w:val="2"/>
          </w:tcPr>
          <w:p>
            <w:pPr>
              <w:ind w:left="200"/>
              <w:spacing w:after="0" w:line="242"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88,006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83,717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4,289</w:t>
            </w: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36,146</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(58 )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Impairment of goodwill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77,405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77,405</w:t>
            </w:r>
          </w:p>
        </w:tc>
        <w:tc>
          <w:tcPr>
            <w:tcW w:w="260" w:type="dxa"/>
            <w:vAlign w:val="bottom"/>
          </w:tcPr>
          <w:p>
            <w:pPr>
              <w:spacing w:after="0"/>
              <w:rPr>
                <w:sz w:val="20"/>
                <w:szCs w:val="20"/>
                <w:color w:val="auto"/>
              </w:rPr>
            </w:pP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Impairment of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360,231</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252,195</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108,036</w:t>
            </w:r>
          </w:p>
        </w:tc>
        <w:tc>
          <w:tcPr>
            <w:tcW w:w="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35"/>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(59,857</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25,174</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(85,031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(27,846 )</w:t>
            </w:r>
          </w:p>
        </w:tc>
        <w:tc>
          <w:tcPr>
            <w:tcW w:w="2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(15,285 )</w:t>
            </w: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(12,561 )</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-82.2 %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7,282</w:t>
            </w:r>
          </w:p>
        </w:tc>
        <w:tc>
          <w:tcPr>
            <w:tcW w:w="260" w:type="dxa"/>
            <w:vAlign w:val="bottom"/>
          </w:tcPr>
          <w:p>
            <w:pPr>
              <w:spacing w:after="0"/>
              <w:rPr>
                <w:sz w:val="19"/>
                <w:szCs w:val="19"/>
                <w:color w:val="auto"/>
              </w:rPr>
            </w:pP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instruments</w:t>
            </w: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9"/>
                <w:szCs w:val="19"/>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(19,180 )</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23,140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(42,320 )</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Gain on sale of cost method investment</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(3,578 )</w:t>
            </w: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89.7 %</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(38,367</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11,627</w:t>
            </w:r>
          </w:p>
        </w:tc>
        <w:tc>
          <w:tcPr>
            <w:tcW w:w="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(49,994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(Loss) income before income taxes</w:t>
            </w:r>
          </w:p>
        </w:tc>
        <w:tc>
          <w:tcPr>
            <w:tcW w:w="220" w:type="dxa"/>
            <w:vAlign w:val="bottom"/>
          </w:tcPr>
          <w:p>
            <w:pPr>
              <w:spacing w:after="0"/>
              <w:rPr>
                <w:sz w:val="19"/>
                <w:szCs w:val="19"/>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(98,224 )</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(135,025 )</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Income tax benefit (provision)</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(9,262 )</w:t>
            </w: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12,326</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(loss) income including non-controlling interest</w:t>
            </w:r>
          </w:p>
        </w:tc>
        <w:tc>
          <w:tcPr>
            <w:tcW w:w="220" w:type="dxa"/>
            <w:vAlign w:val="bottom"/>
          </w:tcPr>
          <w:p>
            <w:pPr>
              <w:spacing w:after="0"/>
              <w:rPr>
                <w:sz w:val="19"/>
                <w:szCs w:val="19"/>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(95,160 )</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27,539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(122,699 )</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accretion of redeemable non-controlling interest</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(315 )</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(315 )</w:t>
            </w: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8"/>
                <w:szCs w:val="18"/>
                <w:color w:val="auto"/>
                <w:w w:val="96"/>
              </w:rPr>
              <w:t>Net (loss) income attributable to CCC Intelligent Solutions Holdings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(95,475 )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27,539</w:t>
            </w:r>
          </w:p>
        </w:tc>
        <w:tc>
          <w:tcPr>
            <w:tcW w:w="320" w:type="dxa"/>
            <w:vAlign w:val="bottom"/>
          </w:tcPr>
          <w:p>
            <w:pPr>
              <w:spacing w:after="0"/>
              <w:rPr>
                <w:sz w:val="18"/>
                <w:szCs w:val="18"/>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(123,014 )</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 Common Stockholders</w:t>
            </w:r>
          </w:p>
        </w:tc>
        <w:tc>
          <w:tcPr>
            <w:tcW w:w="22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00" w:type="dxa"/>
            <w:vAlign w:val="bottom"/>
            <w:gridSpan w:val="2"/>
            <w:shd w:val="clear" w:color="auto" w:fill="CFF0FC"/>
          </w:tcPr>
          <w:p>
            <w:pPr>
              <w:ind w:left="20"/>
              <w:spacing w:after="0" w:line="195" w:lineRule="exact"/>
              <w:rPr>
                <w:sz w:val="20"/>
                <w:szCs w:val="20"/>
                <w:color w:val="auto"/>
              </w:rPr>
            </w:pPr>
            <w:r>
              <w:rPr>
                <w:rFonts w:ascii="Arial" w:cs="Arial" w:eastAsia="Arial" w:hAnsi="Arial"/>
                <w:sz w:val="18"/>
                <w:szCs w:val="18"/>
                <w:color w:val="auto"/>
              </w:rPr>
              <w:t>Net (loss) income per share attributable to common</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(0.15 )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(0.15 )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20"/>
              <w:spacing w:after="0"/>
              <w:rPr>
                <w:sz w:val="20"/>
                <w:szCs w:val="20"/>
                <w:color w:val="auto"/>
              </w:rPr>
            </w:pPr>
            <w:r>
              <w:rPr>
                <w:rFonts w:ascii="Arial" w:cs="Arial" w:eastAsia="Arial" w:hAnsi="Arial"/>
                <w:sz w:val="18"/>
                <w:szCs w:val="18"/>
                <w:color w:val="auto"/>
                <w:w w:val="97"/>
              </w:rPr>
              <w:t>Weighted-average shares used in computing net (loss) income per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share attributable to common stockholders: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618,740,340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604,534,589</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618,740,340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640,650,297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-4914900</wp:posOffset>
            </wp:positionV>
            <wp:extent cx="85090" cy="161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-4914900</wp:posOffset>
            </wp:positionV>
            <wp:extent cx="85090" cy="161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-4914900</wp:posOffset>
            </wp:positionV>
            <wp:extent cx="85090" cy="161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-3677285</wp:posOffset>
            </wp:positionV>
            <wp:extent cx="85090" cy="1708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-3677285</wp:posOffset>
            </wp:positionV>
            <wp:extent cx="85090" cy="1708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-3677285</wp:posOffset>
            </wp:positionV>
            <wp:extent cx="85090" cy="1708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-2115820</wp:posOffset>
            </wp:positionV>
            <wp:extent cx="85090" cy="161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-2115820</wp:posOffset>
            </wp:positionV>
            <wp:extent cx="85090" cy="161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-2115820</wp:posOffset>
            </wp:positionV>
            <wp:extent cx="85090" cy="161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-1800225</wp:posOffset>
            </wp:positionV>
            <wp:extent cx="85090" cy="161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-1800225</wp:posOffset>
            </wp:positionV>
            <wp:extent cx="85090" cy="161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-1800225</wp:posOffset>
            </wp:positionV>
            <wp:extent cx="85090" cy="161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-1484630</wp:posOffset>
            </wp:positionV>
            <wp:extent cx="85090" cy="298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090" cy="298450"/>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-1484630</wp:posOffset>
            </wp:positionV>
            <wp:extent cx="85090" cy="298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090" cy="298450"/>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-1484630</wp:posOffset>
            </wp:positionV>
            <wp:extent cx="85090" cy="298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090" cy="298450"/>
                    </a:xfrm>
                    <a:prstGeom prst="rect">
                      <a:avLst/>
                    </a:prstGeom>
                    <a:noFill/>
                  </pic:spPr>
                </pic:pic>
              </a:graphicData>
            </a:graphic>
          </wp:anchor>
        </w:drawing>
      </w:r>
    </w:p>
    <w:p>
      <w:pPr>
        <w:spacing w:after="0" w:line="233" w:lineRule="exact"/>
        <w:rPr>
          <w:sz w:val="20"/>
          <w:szCs w:val="20"/>
          <w:color w:val="auto"/>
        </w:rPr>
      </w:pPr>
    </w:p>
    <w:p>
      <w:pPr>
        <w:ind w:left="20" w:right="6840" w:firstLine="1"/>
        <w:spacing w:after="0" w:line="220" w:lineRule="auto"/>
        <w:tabs>
          <w:tab w:leader="none" w:pos="249" w:val="left"/>
        </w:tabs>
        <w:numPr>
          <w:ilvl w:val="0"/>
          <w:numId w:val="32"/>
        </w:numPr>
        <w:rPr>
          <w:rFonts w:ascii="Arial" w:cs="Arial" w:eastAsia="Arial" w:hAnsi="Arial"/>
          <w:sz w:val="24"/>
          <w:szCs w:val="24"/>
          <w:color w:val="auto"/>
          <w:vertAlign w:val="superscript"/>
        </w:rPr>
      </w:pPr>
      <w:r>
        <w:rPr>
          <w:rFonts w:ascii="Arial" w:cs="Arial" w:eastAsia="Arial" w:hAnsi="Arial"/>
          <w:sz w:val="18"/>
          <w:szCs w:val="18"/>
          <w:color w:val="auto"/>
        </w:rPr>
        <w:t>Includes stock-based compensation expense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3"/>
              </w:rPr>
              <w:t>Six Months Ended June 30,</w:t>
            </w:r>
          </w:p>
        </w:tc>
        <w:tc>
          <w:tcPr>
            <w:tcW w:w="140" w:type="dxa"/>
            <w:vAlign w:val="bottom"/>
          </w:tcPr>
          <w:p>
            <w:pPr>
              <w:spacing w:after="0"/>
              <w:rPr>
                <w:sz w:val="20"/>
                <w:szCs w:val="20"/>
                <w:color w:val="auto"/>
              </w:rPr>
            </w:pPr>
          </w:p>
        </w:tc>
      </w:tr>
      <w:tr>
        <w:trPr>
          <w:trHeight w:val="235"/>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4,199</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2,510</w:t>
            </w:r>
          </w:p>
        </w:tc>
        <w:tc>
          <w:tcPr>
            <w:tcW w:w="140" w:type="dxa"/>
            <w:vAlign w:val="bottom"/>
          </w:tcPr>
          <w:p>
            <w:pPr>
              <w:spacing w:after="0"/>
              <w:rPr>
                <w:sz w:val="20"/>
                <w:szCs w:val="20"/>
                <w:color w:val="auto"/>
              </w:rPr>
            </w:pPr>
          </w:p>
        </w:tc>
      </w:tr>
      <w:tr>
        <w:trPr>
          <w:trHeight w:val="248"/>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12,475</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140" w:type="dxa"/>
            <w:vAlign w:val="bottom"/>
            <w:shd w:val="clear" w:color="auto" w:fill="CFF0FC"/>
          </w:tcPr>
          <w:p>
            <w:pPr>
              <w:spacing w:after="0"/>
              <w:rPr>
                <w:sz w:val="21"/>
                <w:szCs w:val="2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11,441</w:t>
            </w:r>
          </w:p>
        </w:tc>
        <w:tc>
          <w:tcPr>
            <w:tcW w:w="140" w:type="dxa"/>
            <w:vAlign w:val="bottom"/>
          </w:tcPr>
          <w:p>
            <w:pPr>
              <w:spacing w:after="0"/>
              <w:rPr>
                <w:sz w:val="20"/>
                <w:szCs w:val="20"/>
                <w:color w:val="auto"/>
              </w:rPr>
            </w:pPr>
          </w:p>
        </w:tc>
      </w:tr>
      <w:tr>
        <w:trPr>
          <w:trHeight w:val="242"/>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32,038</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5"/>
        </w:trPr>
        <w:tc>
          <w:tcPr>
            <w:tcW w:w="52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64,720</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52,047</w:t>
            </w:r>
          </w:p>
        </w:tc>
        <w:tc>
          <w:tcPr>
            <w:tcW w:w="14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-187325</wp:posOffset>
            </wp:positionV>
            <wp:extent cx="85090" cy="1879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-187325</wp:posOffset>
            </wp:positionV>
            <wp:extent cx="85090" cy="1879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NM—Not Meaningful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8"/>
          <w:szCs w:val="18"/>
          <w:color w:val="auto"/>
        </w:rPr>
        <w:t>Revenues increased by $37.0 million to $416.6 million, or 9.8%, for the six months ended June 30, 2023, compared to the six months ended June 30, 2022. The Company's software subscription revenues accounted for $399.1 million and $365.3 million, or 96% of total revenue during the six months ended June 30, 2023 and 2022.</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376" w:right="319" w:bottom="1440" w:gutter="0" w:footer="0" w:header="0"/>
        </w:sectPr>
      </w:pPr>
    </w:p>
    <w:bookmarkStart w:id="35" w:name="page36"/>
    <w:bookmarkEnd w:id="35"/>
    <w:p>
      <w:pPr>
        <w:ind w:right="380" w:firstLine="509"/>
        <w:spacing w:after="0" w:line="275" w:lineRule="auto"/>
        <w:rPr>
          <w:sz w:val="20"/>
          <w:szCs w:val="20"/>
          <w:color w:val="auto"/>
        </w:rPr>
      </w:pPr>
      <w:r>
        <w:rPr>
          <w:rFonts w:ascii="Arial" w:cs="Arial" w:eastAsia="Arial" w:hAnsi="Arial"/>
          <w:sz w:val="18"/>
          <w:szCs w:val="18"/>
          <w:color w:val="auto"/>
        </w:rPr>
        <w:t>The increase in revenue was primarily a result of 7% growth from existing customer upgrades and expanding solution offerings to these existing customers as well as 3% growth from new customers.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5"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Cost of revenues increased by $14.0 million to $116.3 million, or 13.7%, for the six months ended June 30, 2023, compared to the six months ended June 30,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and impairment of acquired technologies</w:t>
      </w:r>
    </w:p>
    <w:p>
      <w:pPr>
        <w:spacing w:after="0" w:line="11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Cost of revenues, exclusive of amortization and impairment of acquired technologies, increased by $13.7 million to $102.5 million, or 15.4%, for the six months ended June 30, 2023, compared to the six months ended June 30, 2022. The increase was primarily due to a $5.5 million increase in depreciation expense related to additional investments in platform and infrastructure enhancements, a $4.3 million increase in personnel-related costs, including stock-based compensation, a $2.0 million increase in IT related costs and a $1.5 million increase in third party fees and direct costs associated with our revenue growth.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of acquired technologies was $13.3 million and 13.4 million for the six months ended June 30,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Technologies</w:t>
      </w:r>
    </w:p>
    <w:p>
      <w:pPr>
        <w:spacing w:after="0" w:line="115" w:lineRule="exact"/>
        <w:rPr>
          <w:sz w:val="20"/>
          <w:szCs w:val="20"/>
          <w:color w:val="auto"/>
        </w:rPr>
      </w:pPr>
    </w:p>
    <w:p>
      <w:pPr>
        <w:ind w:right="100" w:firstLine="509"/>
        <w:spacing w:after="0" w:line="262" w:lineRule="auto"/>
        <w:rPr>
          <w:sz w:val="20"/>
          <w:szCs w:val="20"/>
          <w:color w:val="auto"/>
        </w:rPr>
      </w:pPr>
      <w:r>
        <w:rPr>
          <w:rFonts w:ascii="Arial" w:cs="Arial" w:eastAsia="Arial" w:hAnsi="Arial"/>
          <w:sz w:val="18"/>
          <w:szCs w:val="18"/>
          <w:color w:val="auto"/>
        </w:rPr>
        <w:t>Impairment of acquired technologies was $0.4 million for the six months ended June 30, 2023 due to an impairment charge recognized as a result of a downward revision of projected earnings and cash flows of our China reporting unit. There was no impairment charge recognized during the six months ended June 30,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5" w:lineRule="exact"/>
        <w:rPr>
          <w:sz w:val="20"/>
          <w:szCs w:val="20"/>
          <w:color w:val="auto"/>
        </w:rPr>
      </w:pPr>
    </w:p>
    <w:p>
      <w:pPr>
        <w:ind w:right="140" w:firstLine="509"/>
        <w:spacing w:after="0" w:line="300" w:lineRule="auto"/>
        <w:rPr>
          <w:sz w:val="20"/>
          <w:szCs w:val="20"/>
          <w:color w:val="auto"/>
        </w:rPr>
      </w:pPr>
      <w:r>
        <w:rPr>
          <w:rFonts w:ascii="Arial" w:cs="Arial" w:eastAsia="Arial" w:hAnsi="Arial"/>
          <w:sz w:val="16"/>
          <w:szCs w:val="16"/>
          <w:color w:val="auto"/>
        </w:rPr>
        <w:t>Gross profit increased by $23.0 million to $300.4 million, or 8.3%, for the six months ended June 30, 2023, compared to the six months ended June 30, 2022. Our gross profit margin was 72.1% for the six months ended June 30, 2023, compared to 73.1% for the six months ended June 30, 2022. The increase in gross profit was due to increased software subscription revenues and economies of scale resulting from fixed cost arrangements, partially offset by the increase in depreciation expense related to additional investments in platform and infrastructure enhancements.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Research and development expense increased by $9.9 million to $84.4 million, or 13.3%, for the six months ended June 30, 2023, compared to the six months ended June 30, 2022. The increase was primarily due to a $6.7 million increase in personnel-related costs, including stock-based compensation, a $6.6 million increase in consulting and other professional service costs and a $4.2 million increase in IT related costs, partially offset by a $7.4 million increase in the amount of capitalized time on platform and infrastructure enhancements.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Selling and marketing expense increased by $11.6 million to $69.5 million, or 20.0%, for the six months ended June 30, 2023, compared to the six months ended June 30, 2022. The increase was primarily due to a $9.8 million increase in personnel-related costs, including stock-based compensation and sales incentives and a $1.0 million increase in travel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5" w:lineRule="exact"/>
        <w:rPr>
          <w:sz w:val="20"/>
          <w:szCs w:val="20"/>
          <w:color w:val="auto"/>
        </w:rPr>
      </w:pPr>
    </w:p>
    <w:p>
      <w:pPr>
        <w:ind w:right="40" w:firstLine="509"/>
        <w:spacing w:after="0" w:line="300" w:lineRule="auto"/>
        <w:rPr>
          <w:sz w:val="20"/>
          <w:szCs w:val="20"/>
          <w:color w:val="auto"/>
        </w:rPr>
      </w:pPr>
      <w:r>
        <w:rPr>
          <w:rFonts w:ascii="Arial" w:cs="Arial" w:eastAsia="Arial" w:hAnsi="Arial"/>
          <w:sz w:val="16"/>
          <w:szCs w:val="16"/>
          <w:color w:val="auto"/>
        </w:rPr>
        <w:t>General and administrative expense increased by $4.3 million to $88.0 million, or 5.1%, for the six months ended June 30, 2023, compared to the six months ended June 30, 2022. The increase was primarily due to a $5.2 million increase in personnel-related costs, including stock-based compensation and a $0.5 million increase in legal and other professional service costs, partially offset by a $0.9 million decrease in the Company's facilities costs and a $0.8 million loss on disposal recognized during the six months ended June 30, 2022 due to the closure of the Company's previous headquarters in March 2022.</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intangible assets was $36.1 million for the six months ended June 30, 2023 and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115"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We recorded impairment charges of goodwill and intangible assets of $77.4 million and $4.9 million, respectively, for the six months ended June 30, 2023. The impairment charges were the result of lower forecasted earnings and cash flows for the Company’s China reporting unit. There was no impairment charge recognized during the six months ended June 30, 2022. See Note 11 to the condensed consolidated financial statements included elsewhere in this Quarterly Report on Form 10-Q for additional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Interest expense increased by $12.6 million to $27.8 million, or 82.2%, for the six months ended June 30, 2023, compared to the six months ended June 30, 2022, due to higher variable interest rates during the six months ended June 30, 2023.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Interest income was $7.3 million for the six months ended June 30, 2023. The interest income was due to interest earned on our cash balances. We did not recognize any interest income for the six months ended June 30,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Instruments</w:t>
      </w:r>
    </w:p>
    <w:p>
      <w:pPr>
        <w:spacing w:after="0" w:line="115" w:lineRule="exact"/>
        <w:rPr>
          <w:sz w:val="20"/>
          <w:szCs w:val="20"/>
          <w:color w:val="auto"/>
        </w:rPr>
      </w:pPr>
    </w:p>
    <w:p>
      <w:pPr>
        <w:ind w:right="140" w:firstLine="509"/>
        <w:spacing w:after="0" w:line="262" w:lineRule="auto"/>
        <w:rPr>
          <w:sz w:val="20"/>
          <w:szCs w:val="20"/>
          <w:color w:val="auto"/>
        </w:rPr>
      </w:pPr>
      <w:r>
        <w:rPr>
          <w:rFonts w:ascii="Arial" w:cs="Arial" w:eastAsia="Arial" w:hAnsi="Arial"/>
          <w:sz w:val="18"/>
          <w:szCs w:val="18"/>
          <w:color w:val="auto"/>
        </w:rPr>
        <w:t>We recognized income of $1.0 million from a change in fair value of derivative instruments for the six months ended June 30, 2023. The change in fair value recognized for the six months ended June 30, 2023 is related to the interest rate cap agreements entered into in August 2022 and driven by the proximity of the maturity date and changes in the forward yield curve during the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15" w:lineRule="exact"/>
        <w:rPr>
          <w:sz w:val="20"/>
          <w:szCs w:val="20"/>
          <w:color w:val="auto"/>
        </w:rPr>
      </w:pPr>
    </w:p>
    <w:p>
      <w:pPr>
        <w:ind w:right="340" w:firstLine="509"/>
        <w:spacing w:after="0" w:line="262" w:lineRule="auto"/>
        <w:rPr>
          <w:sz w:val="20"/>
          <w:szCs w:val="20"/>
          <w:color w:val="auto"/>
        </w:rPr>
      </w:pPr>
      <w:r>
        <w:rPr>
          <w:rFonts w:ascii="Arial" w:cs="Arial" w:eastAsia="Arial" w:hAnsi="Arial"/>
          <w:sz w:val="18"/>
          <w:szCs w:val="18"/>
          <w:color w:val="auto"/>
        </w:rPr>
        <w:t>We recognized expense of $19.2 million from a change in fair value of warrant liabilities for the six months ended June 30, 2023, compared to income of $23.1 million for the six months ended June 30, 2022. The change in fair value of warrant liabilities during each period was primarily due to changes in the price of the Company's common stock during each respective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15" w:lineRule="exact"/>
        <w:rPr>
          <w:sz w:val="20"/>
          <w:szCs w:val="20"/>
          <w:color w:val="auto"/>
        </w:rPr>
      </w:pPr>
    </w:p>
    <w:p>
      <w:pPr>
        <w:ind w:firstLine="509"/>
        <w:spacing w:after="0" w:line="300" w:lineRule="auto"/>
        <w:rPr>
          <w:sz w:val="20"/>
          <w:szCs w:val="20"/>
          <w:color w:val="auto"/>
        </w:rPr>
      </w:pPr>
      <w:r>
        <w:rPr>
          <w:rFonts w:ascii="Arial" w:cs="Arial" w:eastAsia="Arial" w:hAnsi="Arial"/>
          <w:sz w:val="16"/>
          <w:szCs w:val="16"/>
          <w:color w:val="auto"/>
        </w:rPr>
        <w:t>Income tax benefit was $3.1 million for the six months ended June 30, 2023, compared to an income tax provision of $9.3 million for the six months ended June 30, 2022. The income tax benefit during the six months ended June 30, 2023 was due to the tax benefits from discrete items related to share-based compensation expense, the tax benefit related to the impairment of certain intangible assets, as well as the tax benefit associated with the re-measurement of the Company's deferred tax liability for changes in state tax rates being greater than the tax expense related to pre-tax income.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5" w:lineRule="exact"/>
        <w:rPr>
          <w:sz w:val="20"/>
          <w:szCs w:val="20"/>
          <w:color w:val="auto"/>
        </w:rPr>
      </w:pPr>
    </w:p>
    <w:p>
      <w:pPr>
        <w:ind w:right="280" w:firstLine="509"/>
        <w:spacing w:after="0" w:line="300" w:lineRule="auto"/>
        <w:rPr>
          <w:sz w:val="20"/>
          <w:szCs w:val="20"/>
          <w:color w:val="auto"/>
        </w:rPr>
      </w:pPr>
      <w:r>
        <w:rPr>
          <w:rFonts w:ascii="Arial" w:cs="Arial" w:eastAsia="Arial" w:hAnsi="Arial"/>
          <w:sz w:val="16"/>
          <w:szCs w:val="16"/>
          <w:color w:val="auto"/>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and impairment of acquired technologies and stock-based compensation and related employer payroll tax, which are not indicative of our recurring core business operating results. Adjusted Gross Profit Margin is defined as Adjusted Gross Profit divided by Revenue.</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48" w:right="39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color w:val="auto"/>
        </w:rPr>
        <w:t>The following table reconciles Gross Profit to Adjusted Gross Profit for the three and six months ended June 30, 2023 and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Three Months Ended June 30,</w:t>
            </w:r>
          </w:p>
        </w:tc>
        <w:tc>
          <w:tcPr>
            <w:tcW w:w="220" w:type="dxa"/>
            <w:vAlign w:val="bottom"/>
          </w:tcPr>
          <w:p>
            <w:pPr>
              <w:spacing w:after="0"/>
              <w:rPr>
                <w:sz w:val="20"/>
                <w:szCs w:val="20"/>
                <w:color w:val="auto"/>
              </w:rPr>
            </w:pPr>
          </w:p>
        </w:tc>
        <w:tc>
          <w:tcPr>
            <w:tcW w:w="268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38"/>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 in thousands, except percentages)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152,586</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139,941</w:t>
            </w: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300,374</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277,369</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Amortization of acquired technologies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13,331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4"/>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acquired technologies</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 and related employer payroll tax</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5"/>
        </w:trPr>
        <w:tc>
          <w:tcPr>
            <w:tcW w:w="5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162,021</w:t>
            </w:r>
          </w:p>
        </w:tc>
        <w:tc>
          <w:tcPr>
            <w:tcW w:w="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148,371</w:t>
            </w:r>
          </w:p>
        </w:tc>
        <w:tc>
          <w:tcPr>
            <w:tcW w:w="3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318,609</w:t>
            </w:r>
          </w:p>
        </w:tc>
        <w:tc>
          <w:tcPr>
            <w:tcW w:w="3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293,427</w:t>
            </w: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Gross Profit Margin</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color w:val="auto"/>
                <w:highlight w:val="white"/>
              </w:rPr>
              <w:t>%</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color w:val="auto"/>
                <w:highlight w:val="white"/>
              </w:rPr>
              <w:t>%</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color w:val="auto"/>
                <w:highlight w:val="white"/>
              </w:rPr>
              <w:t>%</w:t>
            </w:r>
          </w:p>
        </w:tc>
        <w:tc>
          <w:tcPr>
            <w:tcW w:w="20" w:type="dxa"/>
            <w:vAlign w:val="bottom"/>
          </w:tcPr>
          <w:p>
            <w:pPr>
              <w:spacing w:after="0"/>
              <w:rPr>
                <w:sz w:val="18"/>
                <w:szCs w:val="18"/>
                <w:color w:val="auto"/>
              </w:rPr>
            </w:pPr>
          </w:p>
        </w:tc>
      </w:tr>
      <w:tr>
        <w:trPr>
          <w:trHeight w:val="254"/>
        </w:trPr>
        <w:tc>
          <w:tcPr>
            <w:tcW w:w="5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 Margin</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77 %</w:t>
            </w: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77 %</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76 %</w:t>
            </w: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-332105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-332105</wp:posOffset>
            </wp:positionV>
            <wp:extent cx="850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-332105</wp:posOffset>
            </wp:positionV>
            <wp:extent cx="850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-332105</wp:posOffset>
            </wp:positionV>
            <wp:extent cx="850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Operating Expenses</w:t>
      </w:r>
    </w:p>
    <w:p>
      <w:pPr>
        <w:spacing w:after="0" w:line="115"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impairment charges, stock-based compensation expense and related employer payroll tax, plaintiff litigation costs, merger and acquisition ("M&amp;A") and integration costs, lease overlap costs for the incremental expenses associated with the Company’s new corporate headquarters prior to termination of its then existing headquarters’ lease, lease abandonment charges, Business Combination transaction costs and net costs related to divestiture.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reconciles operating expenses to Adjusted Operating Expenses for the three and six months ended June 30,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Three Months Ended June 30,</w:t>
            </w:r>
          </w:p>
        </w:tc>
        <w:tc>
          <w:tcPr>
            <w:tcW w:w="240" w:type="dxa"/>
            <w:vAlign w:val="bottom"/>
          </w:tcPr>
          <w:p>
            <w:pPr>
              <w:spacing w:after="0"/>
              <w:rPr>
                <w:sz w:val="20"/>
                <w:szCs w:val="20"/>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5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225,773</w:t>
            </w:r>
          </w:p>
        </w:tc>
        <w:tc>
          <w:tcPr>
            <w:tcW w:w="3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127,424</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360,231</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252,195</w:t>
            </w:r>
          </w:p>
        </w:tc>
        <w:tc>
          <w:tcPr>
            <w:tcW w:w="140" w:type="dxa"/>
            <w:vAlign w:val="bottom"/>
            <w:shd w:val="clear" w:color="auto" w:fill="CFF0FC"/>
          </w:tcPr>
          <w:p>
            <w:pPr>
              <w:spacing w:after="0"/>
              <w:rPr>
                <w:sz w:val="20"/>
                <w:szCs w:val="20"/>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(18,022 )</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(18,066 )</w:t>
            </w:r>
          </w:p>
        </w:tc>
        <w:tc>
          <w:tcPr>
            <w:tcW w:w="2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(36,088 )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(36,146 )</w:t>
            </w: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(77,405 )</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(77,405 )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(4,906 )</w:t>
            </w: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(4,906 )</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2"/>
              </w:rPr>
              <w:t>Stock-based compensation expense and related employer payroll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tax</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(33,706 )</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(26,973 )</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(62,799 )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(50,695 )</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Plaintiff litigation costs</w:t>
            </w:r>
          </w:p>
        </w:tc>
        <w:tc>
          <w:tcPr>
            <w:tcW w:w="1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(1,537 )</w:t>
            </w: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(2,523 )</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M&amp;A and integration costs</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(348 )</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(1,756 )</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Lease overlap costs</w:t>
            </w:r>
          </w:p>
        </w:tc>
        <w:tc>
          <w:tcPr>
            <w:tcW w:w="1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(1,222 )</w:t>
            </w: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abandonment</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(1,338 )</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1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(324 )</w:t>
            </w:r>
          </w:p>
        </w:tc>
        <w:tc>
          <w:tcPr>
            <w:tcW w:w="2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(1,056 )</w:t>
            </w:r>
          </w:p>
        </w:tc>
      </w:tr>
      <w:tr>
        <w:trPr>
          <w:trHeight w:val="242"/>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costs related to divestiture</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(53 )</w:t>
            </w:r>
          </w:p>
        </w:tc>
      </w:tr>
      <w:tr>
        <w:trPr>
          <w:trHeight w:val="235"/>
        </w:trPr>
        <w:tc>
          <w:tcPr>
            <w:tcW w:w="52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Adjusted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90,197</w:t>
            </w:r>
          </w:p>
        </w:tc>
        <w:tc>
          <w:tcPr>
            <w:tcW w:w="3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81,719</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176,510</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159,929</w:t>
            </w:r>
          </w:p>
        </w:tc>
        <w:tc>
          <w:tcPr>
            <w:tcW w:w="140" w:type="dxa"/>
            <w:vAlign w:val="bottom"/>
            <w:tcBorders>
              <w:top w:val="single" w:sz="8" w:color="CFF0FC"/>
            </w:tcBorders>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-187325</wp:posOffset>
            </wp:positionV>
            <wp:extent cx="85090" cy="187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-187325</wp:posOffset>
            </wp:positionV>
            <wp:extent cx="85090" cy="1879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-187325</wp:posOffset>
            </wp:positionV>
            <wp:extent cx="85090" cy="1879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090" cy="1879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115" w:lineRule="exact"/>
        <w:rPr>
          <w:sz w:val="20"/>
          <w:szCs w:val="20"/>
          <w:color w:val="auto"/>
        </w:rPr>
      </w:pPr>
    </w:p>
    <w:p>
      <w:pPr>
        <w:ind w:right="80" w:firstLine="509"/>
        <w:spacing w:after="0" w:line="295" w:lineRule="auto"/>
        <w:rPr>
          <w:sz w:val="20"/>
          <w:szCs w:val="20"/>
          <w:color w:val="auto"/>
        </w:rPr>
      </w:pPr>
      <w:r>
        <w:rPr>
          <w:rFonts w:ascii="Arial" w:cs="Arial" w:eastAsia="Arial" w:hAnsi="Arial"/>
          <w:sz w:val="16"/>
          <w:szCs w:val="16"/>
          <w:color w:val="auto"/>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(loss) income adjusted for amortization, impairment charges, stock-based compensation expense and related employer payroll tax, plaintiff litigation costs, M&amp;A and integration costs, lease overlap costs for the incremental expenses associated with the Company’s new corporate headquarters prior to termination of its then existing headquarters’ lease, lease abandonment charges, Business Combination transaction costs and net costs related to divestiture.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38" w:name="page39"/>
    <w:bookmarkEnd w:id="38"/>
    <w:p>
      <w:pPr>
        <w:ind w:left="520"/>
        <w:spacing w:after="0"/>
        <w:rPr>
          <w:sz w:val="20"/>
          <w:szCs w:val="20"/>
          <w:color w:val="auto"/>
        </w:rPr>
      </w:pPr>
      <w:r>
        <w:rPr>
          <w:rFonts w:ascii="Arial" w:cs="Arial" w:eastAsia="Arial" w:hAnsi="Arial"/>
          <w:sz w:val="16"/>
          <w:szCs w:val="16"/>
          <w:color w:val="auto"/>
        </w:rPr>
        <w:t>The following table reconciles operating (loss) income to Adjusted Operating Income for the three and six months ended June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Three Months Ended June 30,</w:t>
            </w:r>
          </w:p>
        </w:tc>
        <w:tc>
          <w:tcPr>
            <w:tcW w:w="240" w:type="dxa"/>
            <w:vAlign w:val="bottom"/>
          </w:tcPr>
          <w:p>
            <w:pPr>
              <w:spacing w:after="0"/>
              <w:rPr>
                <w:sz w:val="20"/>
                <w:szCs w:val="20"/>
                <w:color w:val="auto"/>
              </w:rPr>
            </w:pPr>
          </w:p>
        </w:tc>
        <w:tc>
          <w:tcPr>
            <w:tcW w:w="25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Six Months Ended June 30,</w:t>
            </w:r>
          </w:p>
        </w:tc>
        <w:tc>
          <w:tcPr>
            <w:tcW w:w="140" w:type="dxa"/>
            <w:vAlign w:val="bottom"/>
          </w:tcPr>
          <w:p>
            <w:pPr>
              <w:spacing w:after="0"/>
              <w:rPr>
                <w:sz w:val="20"/>
                <w:szCs w:val="20"/>
                <w:color w:val="auto"/>
              </w:rPr>
            </w:pP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5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(73,187</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12,517</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(59,857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25,174</w:t>
            </w:r>
          </w:p>
        </w:tc>
        <w:tc>
          <w:tcPr>
            <w:tcW w:w="140" w:type="dxa"/>
            <w:vAlign w:val="bottom"/>
            <w:shd w:val="clear" w:color="auto" w:fill="CFF0FC"/>
          </w:tcPr>
          <w:p>
            <w:pPr>
              <w:spacing w:after="0"/>
              <w:rPr>
                <w:sz w:val="20"/>
                <w:szCs w:val="20"/>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36,088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36,146</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acquired technologies—Cost of revenue</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acquired technologies—Cost of revenue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77,405</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2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2"/>
              </w:rPr>
              <w:t>Stock-based compensation expense and related employer payroll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tax</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36,064</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53,308</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Plaintiff litigation costs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M&amp;A and integration costs</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Lease overlap costs</w:t>
            </w:r>
          </w:p>
        </w:tc>
        <w:tc>
          <w:tcPr>
            <w:tcW w:w="180" w:type="dxa"/>
            <w:vAlign w:val="bottom"/>
          </w:tcPr>
          <w:p>
            <w:pPr>
              <w:spacing w:after="0"/>
              <w:rPr>
                <w:sz w:val="20"/>
                <w:szCs w:val="20"/>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abandonment</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180" w:type="dxa"/>
            <w:vAlign w:val="bottom"/>
          </w:tcPr>
          <w:p>
            <w:pPr>
              <w:spacing w:after="0"/>
              <w:rPr>
                <w:sz w:val="20"/>
                <w:szCs w:val="20"/>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20"/>
                <w:szCs w:val="20"/>
                <w:color w:val="auto"/>
              </w:rPr>
            </w:pPr>
          </w:p>
        </w:tc>
      </w:tr>
      <w:tr>
        <w:trPr>
          <w:trHeight w:val="242"/>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costs related to divestiture</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(6 )</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21"/>
                <w:szCs w:val="21"/>
                <w:color w:val="auto"/>
              </w:rPr>
            </w:pPr>
          </w:p>
        </w:tc>
      </w:tr>
      <w:tr>
        <w:trPr>
          <w:trHeight w:val="235"/>
        </w:trPr>
        <w:tc>
          <w:tcPr>
            <w:tcW w:w="52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71,824</w:t>
            </w:r>
          </w:p>
        </w:tc>
        <w:tc>
          <w:tcPr>
            <w:tcW w:w="3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66,652</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142,099</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133,498</w:t>
            </w:r>
          </w:p>
        </w:tc>
        <w:tc>
          <w:tcPr>
            <w:tcW w:w="140" w:type="dxa"/>
            <w:vAlign w:val="bottom"/>
            <w:tcBorders>
              <w:top w:val="single" w:sz="8" w:color="CFF0FC"/>
            </w:tcBorders>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-187325</wp:posOffset>
            </wp:positionV>
            <wp:extent cx="85090" cy="1879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-187325</wp:posOffset>
            </wp:positionV>
            <wp:extent cx="85090" cy="1879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-187325</wp:posOffset>
            </wp:positionV>
            <wp:extent cx="85090" cy="1879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090"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090" cy="1879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090" cy="18796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believe that Adjusted EBITDA, as defined below, is useful in evaluating our operational performance distinct and apart from financing costs, certain expenses and non-operational expenses. Adjusted EBITDA is defined as net (loss) income adjusted for interest, taxes, amortization, depreciation, impairment charges, stock-based compensation expense and related employer payroll tax, change in fair value of derivative instruments, plaintiff litigation costs, change in fair value of warrant liabilities, M&amp;A and integration costs, lease overlap costs for the incremental expenses associated with the Company’s new corporate headquarters prior to termination of its then existing headquarters’ lease, lease abandonment charges, Business Combination transaction costs, net costs related to divestiture and gain on sale of cost method investment. Adjusted EBITDA Margin is defined as Adjusted EBITDA divided by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The following table reconciles net (loss) income to Adjusted EBITDA for the three and six months ended June 30, 2023 and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Three Months Ended June 30,</w:t>
            </w:r>
          </w:p>
        </w:tc>
        <w:tc>
          <w:tcPr>
            <w:tcW w:w="220" w:type="dxa"/>
            <w:vAlign w:val="bottom"/>
          </w:tcPr>
          <w:p>
            <w:pPr>
              <w:spacing w:after="0"/>
              <w:rPr>
                <w:sz w:val="20"/>
                <w:szCs w:val="20"/>
                <w:color w:val="auto"/>
              </w:rPr>
            </w:pPr>
          </w:p>
        </w:tc>
        <w:tc>
          <w:tcPr>
            <w:tcW w:w="268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(97,344</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15,564</w:t>
            </w: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(95,160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27,539</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14,014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27,846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(4,023 )</w:t>
            </w: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(7,282 )</w:t>
            </w: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20"/>
                <w:szCs w:val="20"/>
                <w:color w:val="auto"/>
              </w:rPr>
            </w:pPr>
          </w:p>
        </w:tc>
        <w:tc>
          <w:tcPr>
            <w:tcW w:w="1320" w:type="dxa"/>
            <w:vAlign w:val="bottom"/>
            <w:gridSpan w:val="2"/>
          </w:tcPr>
          <w:p>
            <w:pPr>
              <w:jc w:val="right"/>
              <w:ind w:right="162"/>
              <w:spacing w:after="0"/>
              <w:rPr>
                <w:sz w:val="20"/>
                <w:szCs w:val="20"/>
                <w:color w:val="auto"/>
              </w:rPr>
            </w:pPr>
            <w:r>
              <w:rPr>
                <w:rFonts w:ascii="Arial" w:cs="Arial" w:eastAsia="Arial" w:hAnsi="Arial"/>
                <w:sz w:val="18"/>
                <w:szCs w:val="18"/>
                <w:color w:val="auto"/>
              </w:rPr>
              <w:t>(2,281 )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(3,064 )</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Amortization of acquired technologies—Cost of revenue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13,331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Depreciation and amortization of software, equipment and</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property</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 of software, equipment and</w:t>
            </w: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6,573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4,239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13,552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8,083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property—Cost of revenue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(56,206</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65,132</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115,167</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380"/>
              <w:spacing w:after="0"/>
              <w:rPr>
                <w:sz w:val="20"/>
                <w:szCs w:val="20"/>
                <w:color w:val="auto"/>
              </w:rPr>
            </w:pPr>
            <w:r>
              <w:rPr>
                <w:rFonts w:ascii="Arial" w:cs="Arial" w:eastAsia="Arial" w:hAnsi="Arial"/>
                <w:sz w:val="18"/>
                <w:szCs w:val="18"/>
                <w:color w:val="auto"/>
                <w:w w:val="93"/>
              </w:rPr>
              <w:t>Stock-based compensation expense and related employer payroll</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36,064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28,653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67,272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acquired technologies—Cost of revenue</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Impairment of goodwill</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77,405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77,405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intangible assets</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derivative instruments</w:t>
            </w:r>
          </w:p>
        </w:tc>
        <w:tc>
          <w:tcPr>
            <w:tcW w:w="160" w:type="dxa"/>
            <w:vAlign w:val="bottom"/>
          </w:tcPr>
          <w:p>
            <w:pPr>
              <w:spacing w:after="0"/>
              <w:rPr>
                <w:sz w:val="19"/>
                <w:szCs w:val="19"/>
                <w:color w:val="auto"/>
              </w:rPr>
            </w:pPr>
          </w:p>
        </w:tc>
        <w:tc>
          <w:tcPr>
            <w:tcW w:w="1320" w:type="dxa"/>
            <w:vAlign w:val="bottom"/>
            <w:gridSpan w:val="2"/>
          </w:tcPr>
          <w:p>
            <w:pPr>
              <w:jc w:val="right"/>
              <w:ind w:right="162"/>
              <w:spacing w:after="0"/>
              <w:rPr>
                <w:sz w:val="20"/>
                <w:szCs w:val="20"/>
                <w:color w:val="auto"/>
              </w:rPr>
            </w:pPr>
            <w:r>
              <w:rPr>
                <w:rFonts w:ascii="Arial" w:cs="Arial" w:eastAsia="Arial" w:hAnsi="Arial"/>
                <w:sz w:val="18"/>
                <w:szCs w:val="18"/>
                <w:color w:val="auto"/>
              </w:rPr>
              <w:t>(3,613 )</w:t>
            </w:r>
          </w:p>
        </w:tc>
        <w:tc>
          <w:tcPr>
            <w:tcW w:w="2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(1,009 )</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Plaintiff litigation costs</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20,375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(21,004 )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19,180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(23,140 )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M&amp;A and integration costs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Lease overlap costs</w:t>
            </w:r>
          </w:p>
        </w:tc>
        <w:tc>
          <w:tcPr>
            <w:tcW w:w="160" w:type="dxa"/>
            <w:vAlign w:val="bottom"/>
          </w:tcPr>
          <w:p>
            <w:pPr>
              <w:spacing w:after="0"/>
              <w:rPr>
                <w:sz w:val="20"/>
                <w:szCs w:val="20"/>
                <w:color w:val="auto"/>
              </w:rPr>
            </w:pPr>
          </w:p>
        </w:tc>
        <w:tc>
          <w:tcPr>
            <w:tcW w:w="132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abandonment</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160" w:type="dxa"/>
            <w:vAlign w:val="bottom"/>
          </w:tcPr>
          <w:p>
            <w:pPr>
              <w:spacing w:after="0"/>
              <w:rPr>
                <w:sz w:val="20"/>
                <w:szCs w:val="20"/>
                <w:color w:val="auto"/>
              </w:rPr>
            </w:pPr>
          </w:p>
        </w:tc>
        <w:tc>
          <w:tcPr>
            <w:tcW w:w="132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3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costs related to divestiture</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ind w:left="380"/>
              <w:spacing w:after="0"/>
              <w:rPr>
                <w:sz w:val="20"/>
                <w:szCs w:val="20"/>
                <w:color w:val="auto"/>
              </w:rPr>
            </w:pPr>
            <w:r>
              <w:rPr>
                <w:rFonts w:ascii="Arial" w:cs="Arial" w:eastAsia="Arial" w:hAnsi="Arial"/>
                <w:sz w:val="18"/>
                <w:szCs w:val="18"/>
                <w:color w:val="auto"/>
              </w:rPr>
              <w:t>Gain on sale of cost method investment</w:t>
            </w:r>
          </w:p>
        </w:tc>
        <w:tc>
          <w:tcPr>
            <w:tcW w:w="160" w:type="dxa"/>
            <w:vAlign w:val="bottom"/>
          </w:tcPr>
          <w:p>
            <w:pPr>
              <w:spacing w:after="0"/>
              <w:rPr>
                <w:sz w:val="20"/>
                <w:szCs w:val="20"/>
                <w:color w:val="auto"/>
              </w:rPr>
            </w:pPr>
          </w:p>
        </w:tc>
        <w:tc>
          <w:tcPr>
            <w:tcW w:w="132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(3,578 )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80,899</w:t>
            </w:r>
          </w:p>
        </w:tc>
        <w:tc>
          <w:tcPr>
            <w:tcW w:w="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73,447</w:t>
            </w:r>
          </w:p>
        </w:tc>
        <w:tc>
          <w:tcPr>
            <w:tcW w:w="3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160,433</w:t>
            </w:r>
          </w:p>
        </w:tc>
        <w:tc>
          <w:tcPr>
            <w:tcW w:w="3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147,182</w:t>
            </w: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p>
        </w:tc>
        <w:tc>
          <w:tcPr>
            <w:tcW w:w="160" w:type="dxa"/>
            <w:vAlign w:val="bottom"/>
          </w:tcPr>
          <w:p>
            <w:pPr>
              <w:spacing w:after="0"/>
              <w:rPr>
                <w:sz w:val="18"/>
                <w:szCs w:val="18"/>
                <w:color w:val="auto"/>
              </w:rPr>
            </w:pPr>
          </w:p>
        </w:tc>
        <w:tc>
          <w:tcPr>
            <w:tcW w:w="1320" w:type="dxa"/>
            <w:vAlign w:val="bottom"/>
            <w:gridSpan w:val="2"/>
          </w:tcPr>
          <w:p>
            <w:pPr>
              <w:jc w:val="right"/>
              <w:ind w:right="82"/>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color w:val="auto"/>
                <w:highlight w:val="white"/>
              </w:rPr>
              <w:t>%</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color w:val="auto"/>
                <w:highlight w:val="white"/>
              </w:rPr>
              <w:t>%</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color w:val="auto"/>
                <w:highlight w:val="white"/>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-170815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-170815</wp:posOffset>
            </wp:positionV>
            <wp:extent cx="850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-170815</wp:posOffset>
            </wp:positionV>
            <wp:extent cx="850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-170815</wp:posOffset>
            </wp:positionV>
            <wp:extent cx="850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115" w:lineRule="exact"/>
        <w:rPr>
          <w:sz w:val="20"/>
          <w:szCs w:val="20"/>
          <w:color w:val="auto"/>
        </w:rPr>
      </w:pPr>
    </w:p>
    <w:p>
      <w:pPr>
        <w:ind w:right="60" w:firstLine="509"/>
        <w:spacing w:after="0" w:line="292" w:lineRule="auto"/>
        <w:rPr>
          <w:sz w:val="20"/>
          <w:szCs w:val="20"/>
          <w:color w:val="auto"/>
        </w:rPr>
      </w:pPr>
      <w:r>
        <w:rPr>
          <w:rFonts w:ascii="Arial" w:cs="Arial" w:eastAsia="Arial" w:hAnsi="Arial"/>
          <w:sz w:val="16"/>
          <w:szCs w:val="16"/>
          <w:color w:val="auto"/>
        </w:rPr>
        <w:t>We believe that Adjusted Net Income, as defined below, and Adjusted Earnings Per Share are useful in evaluating our operational performance distinct and apart from financing costs, certain expenses and non-operational expenses. Adjusted Net Income is defined as net (loss) income adjusted for the after-tax effects of amortization, impairment charges, stock-based compensation expense and related employer payroll tax, change in fair value of derivative instruments, plaintiff litigation costs, change in fair value of warrant liabilities, M&amp;A and integration costs, lease overlap costs for the incremental expenses associated with the Company’s new corporate headquarters prior to termination of its then existing headquarters’ lease, lease abandonment charges, Business Combination transaction costs, net costs related to divestiture and gain on sale of cost method investment.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40" w:name="page41"/>
    <w:bookmarkEnd w:id="40"/>
    <w:p>
      <w:pPr>
        <w:ind w:right="220" w:firstLine="509"/>
        <w:spacing w:after="0" w:line="275" w:lineRule="auto"/>
        <w:rPr>
          <w:sz w:val="20"/>
          <w:szCs w:val="20"/>
          <w:color w:val="auto"/>
        </w:rPr>
      </w:pPr>
      <w:r>
        <w:rPr>
          <w:rFonts w:ascii="Arial" w:cs="Arial" w:eastAsia="Arial" w:hAnsi="Arial"/>
          <w:sz w:val="18"/>
          <w:szCs w:val="18"/>
          <w:color w:val="auto"/>
        </w:rPr>
        <w:t>The following table reconciles net (loss) income to Adjusted Net Income and Adjusted Earnings per Share for the three and six months ended June 30, 2023 and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Three Months Ended June 30,</w:t>
            </w:r>
          </w:p>
        </w:tc>
        <w:tc>
          <w:tcPr>
            <w:tcW w:w="220" w:type="dxa"/>
            <w:vAlign w:val="bottom"/>
          </w:tcPr>
          <w:p>
            <w:pPr>
              <w:spacing w:after="0"/>
              <w:rPr>
                <w:sz w:val="20"/>
                <w:szCs w:val="20"/>
                <w:color w:val="auto"/>
              </w:rPr>
            </w:pPr>
          </w:p>
        </w:tc>
        <w:tc>
          <w:tcPr>
            <w:tcW w:w="27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5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(97,344</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15,564</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(95,160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27,539</w:t>
            </w:r>
          </w:p>
        </w:tc>
        <w:tc>
          <w:tcPr>
            <w:tcW w:w="140" w:type="dxa"/>
            <w:vAlign w:val="bottom"/>
            <w:shd w:val="clear" w:color="auto" w:fill="CFF0FC"/>
          </w:tcPr>
          <w:p>
            <w:pPr>
              <w:spacing w:after="0"/>
              <w:rPr>
                <w:sz w:val="20"/>
                <w:szCs w:val="20"/>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18,066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36,146</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acquired technologies—Cost of revenue</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acquired technologies—Cost of revenue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2"/>
              </w:rPr>
              <w:t>Stock-based compensation expense and related employer payroll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tax</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53,308</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derivative instruments</w:t>
            </w:r>
          </w:p>
        </w:tc>
        <w:tc>
          <w:tcPr>
            <w:tcW w:w="18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(3,613 )</w:t>
            </w:r>
          </w:p>
        </w:tc>
        <w:tc>
          <w:tcPr>
            <w:tcW w:w="2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(1,009 )</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Plaintiff litigation costs</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20,375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(21,004 )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19,180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(23,140 )</w:t>
            </w: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M&amp;A and integration costs</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Lease overlap costs</w:t>
            </w:r>
          </w:p>
        </w:tc>
        <w:tc>
          <w:tcPr>
            <w:tcW w:w="180" w:type="dxa"/>
            <w:vAlign w:val="bottom"/>
          </w:tcPr>
          <w:p>
            <w:pPr>
              <w:spacing w:after="0"/>
              <w:rPr>
                <w:sz w:val="20"/>
                <w:szCs w:val="20"/>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abandonment</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180" w:type="dxa"/>
            <w:vAlign w:val="bottom"/>
          </w:tcPr>
          <w:p>
            <w:pPr>
              <w:spacing w:after="0"/>
              <w:rPr>
                <w:sz w:val="20"/>
                <w:szCs w:val="20"/>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costs related to divestiture</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Gain on sale of cost method investment</w:t>
            </w:r>
          </w:p>
        </w:tc>
        <w:tc>
          <w:tcPr>
            <w:tcW w:w="180" w:type="dxa"/>
            <w:vAlign w:val="bottom"/>
          </w:tcPr>
          <w:p>
            <w:pPr>
              <w:spacing w:after="0"/>
              <w:rPr>
                <w:sz w:val="20"/>
                <w:szCs w:val="20"/>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(3,578 )</w:t>
            </w:r>
          </w:p>
        </w:tc>
      </w:tr>
      <w:tr>
        <w:trPr>
          <w:trHeight w:val="242"/>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Tax effect of adjustments</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(16,587 )</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(11,287 )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(30,633 )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(22,867 )</w:t>
            </w:r>
          </w:p>
        </w:tc>
      </w:tr>
      <w:tr>
        <w:trPr>
          <w:trHeight w:val="235"/>
        </w:trPr>
        <w:tc>
          <w:tcPr>
            <w:tcW w:w="52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Adjusted 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47,842</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37,408</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94,334</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86,278</w:t>
            </w:r>
          </w:p>
        </w:tc>
        <w:tc>
          <w:tcPr>
            <w:tcW w:w="140" w:type="dxa"/>
            <w:vAlign w:val="bottom"/>
            <w:tcBorders>
              <w:top w:val="single" w:sz="8" w:color="CFF0FC"/>
            </w:tcBorders>
          </w:tcPr>
          <w:p>
            <w:pPr>
              <w:spacing w:after="0"/>
              <w:rPr>
                <w:sz w:val="20"/>
                <w:szCs w:val="20"/>
                <w:color w:val="auto"/>
              </w:rPr>
            </w:pPr>
          </w:p>
        </w:tc>
      </w:tr>
      <w:tr>
        <w:trPr>
          <w:trHeight w:val="248"/>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5"/>
              </w:rPr>
              <w:t>Adjusted net income per share attributable to common stockholders:</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FF0FC"/>
          </w:tcPr>
          <w:p>
            <w:pPr>
              <w:spacing w:after="0"/>
              <w:rPr>
                <w:sz w:val="21"/>
                <w:szCs w:val="21"/>
                <w:color w:val="auto"/>
              </w:rPr>
            </w:pPr>
          </w:p>
        </w:tc>
      </w:tr>
      <w:tr>
        <w:trPr>
          <w:trHeight w:val="23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8"/>
        </w:trPr>
        <w:tc>
          <w:tcPr>
            <w:tcW w:w="5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621,235,776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605,948,628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618,740,340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604,534,589</w:t>
            </w:r>
          </w:p>
        </w:tc>
        <w:tc>
          <w:tcPr>
            <w:tcW w:w="140" w:type="dxa"/>
            <w:vAlign w:val="bottom"/>
            <w:shd w:val="clear" w:color="auto" w:fill="CFF0FC"/>
          </w:tcPr>
          <w:p>
            <w:pPr>
              <w:spacing w:after="0"/>
              <w:rPr>
                <w:sz w:val="21"/>
                <w:szCs w:val="21"/>
                <w:color w:val="auto"/>
              </w:rPr>
            </w:pPr>
          </w:p>
        </w:tc>
      </w:tr>
      <w:tr>
        <w:trPr>
          <w:trHeight w:val="230"/>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651,427,506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639,964,696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648,887,781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640,650,297</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-1075055</wp:posOffset>
            </wp:positionV>
            <wp:extent cx="85090" cy="161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-1075055</wp:posOffset>
            </wp:positionV>
            <wp:extent cx="85090" cy="161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-1075055</wp:posOffset>
            </wp:positionV>
            <wp:extent cx="85090" cy="161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090" cy="16192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-1075055</wp:posOffset>
            </wp:positionV>
            <wp:extent cx="85090" cy="161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090" cy="16192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5" w:lineRule="exact"/>
        <w:rPr>
          <w:sz w:val="20"/>
          <w:szCs w:val="20"/>
          <w:color w:val="auto"/>
        </w:rPr>
      </w:pPr>
    </w:p>
    <w:p>
      <w:pPr>
        <w:ind w:right="20" w:firstLine="509"/>
        <w:spacing w:after="0" w:line="262" w:lineRule="auto"/>
        <w:rPr>
          <w:sz w:val="20"/>
          <w:szCs w:val="20"/>
          <w:color w:val="auto"/>
        </w:rPr>
      </w:pPr>
      <w:r>
        <w:rPr>
          <w:rFonts w:ascii="Arial" w:cs="Arial" w:eastAsia="Arial" w:hAnsi="Arial"/>
          <w:sz w:val="18"/>
          <w:szCs w:val="18"/>
          <w:color w:val="auto"/>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net cash provided by operating activities to Free Cash Flow for the three and six months ended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0"/>
                <w:szCs w:val="20"/>
                <w:color w:val="auto"/>
              </w:rPr>
            </w:pPr>
          </w:p>
        </w:tc>
        <w:tc>
          <w:tcPr>
            <w:tcW w:w="26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5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69,554</w:t>
            </w:r>
          </w:p>
        </w:tc>
        <w:tc>
          <w:tcPr>
            <w:tcW w:w="3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102,632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87,685</w:t>
            </w:r>
          </w:p>
        </w:tc>
        <w:tc>
          <w:tcPr>
            <w:tcW w:w="140" w:type="dxa"/>
            <w:vAlign w:val="bottom"/>
            <w:shd w:val="clear" w:color="auto" w:fill="CFF0FC"/>
          </w:tcPr>
          <w:p>
            <w:pPr>
              <w:spacing w:after="0"/>
              <w:rPr>
                <w:sz w:val="20"/>
                <w:szCs w:val="20"/>
                <w:color w:val="auto"/>
              </w:rPr>
            </w:pP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Less: Purchases of software, equipment, and property</w:t>
            </w:r>
          </w:p>
        </w:tc>
        <w:tc>
          <w:tcPr>
            <w:tcW w:w="1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(14,560 )</w:t>
            </w: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(11,189 )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(29,084 )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(25,469 )</w:t>
            </w:r>
          </w:p>
        </w:tc>
      </w:tr>
      <w:tr>
        <w:trPr>
          <w:trHeight w:val="275"/>
        </w:trPr>
        <w:tc>
          <w:tcPr>
            <w:tcW w:w="5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54,994</w:t>
            </w:r>
          </w:p>
        </w:tc>
        <w:tc>
          <w:tcPr>
            <w:tcW w:w="3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29,631</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73,548</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62,216</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-24765</wp:posOffset>
            </wp:positionV>
            <wp:extent cx="850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-7620</wp:posOffset>
            </wp:positionV>
            <wp:extent cx="850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-24765</wp:posOffset>
            </wp:positionV>
            <wp:extent cx="850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-7620</wp:posOffset>
            </wp:positionV>
            <wp:extent cx="850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-24765</wp:posOffset>
            </wp:positionV>
            <wp:extent cx="850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-7620</wp:posOffset>
            </wp:positionV>
            <wp:extent cx="850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We have financed our operations with cash flows from operations. The Company generated $102.6 million of cash flows from operating activities during the six months ended June 30, 2023. As of June 30, 2023, the Company had cash and cash equivalents of $403.6 million, a working capital surplus of $416.3 million and an accumulated deficit totaling $803.1 million. As of June 30, 2023, the Company had $788.0 million aggregate principal outstanding on its term loan.</w:t>
      </w:r>
    </w:p>
    <w:p>
      <w:pPr>
        <w:spacing w:after="0" w:line="77" w:lineRule="exact"/>
        <w:rPr>
          <w:sz w:val="20"/>
          <w:szCs w:val="20"/>
          <w:color w:val="auto"/>
        </w:rPr>
      </w:pPr>
    </w:p>
    <w:p>
      <w:pPr>
        <w:jc w:val="both"/>
        <w:ind w:right="700" w:firstLine="509"/>
        <w:spacing w:after="0" w:line="262" w:lineRule="auto"/>
        <w:rPr>
          <w:sz w:val="20"/>
          <w:szCs w:val="20"/>
          <w:color w:val="auto"/>
        </w:rPr>
      </w:pPr>
      <w:r>
        <w:rPr>
          <w:rFonts w:ascii="Arial" w:cs="Arial" w:eastAsia="Arial" w:hAnsi="Arial"/>
          <w:sz w:val="18"/>
          <w:szCs w:val="18"/>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75" w:lineRule="exact"/>
        <w:rPr>
          <w:sz w:val="20"/>
          <w:szCs w:val="20"/>
          <w:color w:val="auto"/>
        </w:rPr>
      </w:pPr>
    </w:p>
    <w:p>
      <w:pPr>
        <w:ind w:right="160" w:firstLine="509"/>
        <w:spacing w:after="0" w:line="310" w:lineRule="auto"/>
        <w:rPr>
          <w:sz w:val="20"/>
          <w:szCs w:val="20"/>
          <w:color w:val="auto"/>
        </w:rPr>
      </w:pPr>
      <w:r>
        <w:rPr>
          <w:rFonts w:ascii="Arial" w:cs="Arial" w:eastAsia="Arial" w:hAnsi="Arial"/>
          <w:sz w:val="16"/>
          <w:szCs w:val="16"/>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Debt</w:t>
      </w:r>
    </w:p>
    <w:p>
      <w:pPr>
        <w:spacing w:after="0" w:line="115" w:lineRule="exact"/>
        <w:rPr>
          <w:sz w:val="20"/>
          <w:szCs w:val="20"/>
          <w:color w:val="auto"/>
        </w:rPr>
      </w:pPr>
    </w:p>
    <w:p>
      <w:pPr>
        <w:ind w:right="820" w:firstLine="509"/>
        <w:spacing w:after="0" w:line="305" w:lineRule="auto"/>
        <w:rPr>
          <w:sz w:val="20"/>
          <w:szCs w:val="20"/>
          <w:color w:val="auto"/>
        </w:rPr>
      </w:pPr>
      <w:r>
        <w:rPr>
          <w:rFonts w:ascii="Arial" w:cs="Arial" w:eastAsia="Arial" w:hAnsi="Arial"/>
          <w:sz w:val="17"/>
          <w:szCs w:val="17"/>
          <w:color w:val="auto"/>
        </w:rPr>
        <w:t>On September 21, 2021, CCC Intelligent Solutions Inc., an indirect wholly owned subsidiary of the Company, together with certain of the Company’s subsidiaries acting as guarantors entered into a credit agreement (as amended, the “2021 Credit Agreement”).</w:t>
      </w:r>
    </w:p>
    <w:p>
      <w:pPr>
        <w:spacing w:after="0" w:line="41"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The proceeds of the 2021 Credit Agreement and cash on hand were used to repay all outstanding borrowings under the Company's previous credit agreement.</w:t>
      </w:r>
    </w:p>
    <w:p>
      <w:pPr>
        <w:spacing w:after="0" w:line="63" w:lineRule="exact"/>
        <w:rPr>
          <w:sz w:val="20"/>
          <w:szCs w:val="20"/>
          <w:color w:val="auto"/>
        </w:rPr>
      </w:pPr>
    </w:p>
    <w:p>
      <w:pPr>
        <w:ind w:right="140" w:firstLine="509"/>
        <w:spacing w:after="0" w:line="258" w:lineRule="auto"/>
        <w:rPr>
          <w:sz w:val="20"/>
          <w:szCs w:val="20"/>
          <w:color w:val="auto"/>
        </w:rPr>
      </w:pPr>
      <w:r>
        <w:rPr>
          <w:rFonts w:ascii="Arial" w:cs="Arial" w:eastAsia="Arial" w:hAnsi="Arial"/>
          <w:sz w:val="18"/>
          <w:szCs w:val="18"/>
          <w:color w:val="auto"/>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spacing w:after="0" w:line="7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Term B Loan requires quarterly principal payments of $2.0 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 3.5 threshold and the Company was not subject to the annual excess cash flow calculation and, as such, was not required to make a principal prepayment.</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the amount outstanding on the Term B Loan was $788.0 million, of which, $8.0 million is classified as current.</w:t>
      </w:r>
    </w:p>
    <w:p>
      <w:pPr>
        <w:spacing w:after="0" w:line="115" w:lineRule="exact"/>
        <w:rPr>
          <w:sz w:val="20"/>
          <w:szCs w:val="20"/>
          <w:color w:val="auto"/>
        </w:rPr>
      </w:pPr>
    </w:p>
    <w:p>
      <w:pPr>
        <w:ind w:right="140" w:firstLine="509"/>
        <w:spacing w:after="0" w:line="305" w:lineRule="auto"/>
        <w:rPr>
          <w:sz w:val="20"/>
          <w:szCs w:val="20"/>
          <w:color w:val="auto"/>
        </w:rPr>
      </w:pPr>
      <w:r>
        <w:rPr>
          <w:rFonts w:ascii="Arial" w:cs="Arial" w:eastAsia="Arial" w:hAnsi="Arial"/>
          <w:sz w:val="17"/>
          <w:szCs w:val="17"/>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41" w:lineRule="exact"/>
        <w:rPr>
          <w:sz w:val="20"/>
          <w:szCs w:val="20"/>
          <w:color w:val="auto"/>
        </w:rPr>
      </w:pPr>
    </w:p>
    <w:p>
      <w:pPr>
        <w:ind w:right="200" w:firstLine="509"/>
        <w:spacing w:after="0" w:line="262" w:lineRule="auto"/>
        <w:rPr>
          <w:sz w:val="20"/>
          <w:szCs w:val="20"/>
          <w:color w:val="auto"/>
        </w:rPr>
      </w:pPr>
      <w:r>
        <w:rPr>
          <w:rFonts w:ascii="Arial" w:cs="Arial" w:eastAsia="Arial" w:hAnsi="Arial"/>
          <w:sz w:val="18"/>
          <w:szCs w:val="18"/>
          <w:color w:val="auto"/>
        </w:rPr>
        <w:t>On May 19, 2023, the Company entered into Amendment No. 1 to the 2021 Credit Agreement (the “Amendment Credit Agreement”) to establish SOFR as the benchmark rate for determining the applicable interest rate, replacing LIBOR. No other terms, including the amount of borrowings, required payments or maturity date, were changed as a result of the Amendment.</w:t>
      </w:r>
    </w:p>
    <w:p>
      <w:pPr>
        <w:spacing w:after="0" w:line="75"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Subsequent to the execution of the Amendment, the interest rate per annum applicable to the loans is based on a fluctuating rate of interest equal to the sum of an applicable rate and term SOFR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7"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Prior to the execution of the Amendment, the interest rate per annum applicable to the loans was based on a fluctuating rate of interest equal to the sum of an applicable rate and, at the Company’s election from time to time, either:</w:t>
      </w:r>
    </w:p>
    <w:p>
      <w:pPr>
        <w:spacing w:after="0" w:line="63" w:lineRule="exact"/>
        <w:rPr>
          <w:sz w:val="20"/>
          <w:szCs w:val="20"/>
          <w:color w:val="auto"/>
        </w:rPr>
      </w:pPr>
    </w:p>
    <w:p>
      <w:pPr>
        <w:ind w:left="1120" w:right="200" w:hanging="558"/>
        <w:spacing w:after="0" w:line="262"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spacing w:after="0" w:line="74" w:lineRule="exact"/>
        <w:rPr>
          <w:rFonts w:ascii="Arial" w:cs="Arial" w:eastAsia="Arial" w:hAnsi="Arial"/>
          <w:sz w:val="18"/>
          <w:szCs w:val="18"/>
          <w:color w:val="auto"/>
        </w:rPr>
      </w:pPr>
    </w:p>
    <w:p>
      <w:pPr>
        <w:ind w:left="1120" w:right="140" w:hanging="558"/>
        <w:spacing w:after="0" w:line="262"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5" w:lineRule="exact"/>
        <w:rPr>
          <w:sz w:val="20"/>
          <w:szCs w:val="20"/>
          <w:color w:val="auto"/>
        </w:rPr>
      </w:pPr>
    </w:p>
    <w:p>
      <w:pPr>
        <w:ind w:right="420" w:firstLine="509"/>
        <w:spacing w:after="0" w:line="275" w:lineRule="auto"/>
        <w:rPr>
          <w:sz w:val="20"/>
          <w:szCs w:val="20"/>
          <w:color w:val="auto"/>
        </w:rPr>
      </w:pPr>
      <w:r>
        <w:rPr>
          <w:rFonts w:ascii="Arial" w:cs="Arial" w:eastAsia="Arial" w:hAnsi="Arial"/>
          <w:sz w:val="18"/>
          <w:szCs w:val="18"/>
          <w:color w:val="auto"/>
        </w:rPr>
        <w:t>A quarterly commitment fee of up to 0.50% is payable on the unused portion of the 2021 Revolving Credit Facility. The 2021 Revolving Credit Facility matures on September 21, 2026.</w:t>
      </w:r>
    </w:p>
    <w:p>
      <w:pPr>
        <w:spacing w:after="0" w:line="63" w:lineRule="exact"/>
        <w:rPr>
          <w:sz w:val="20"/>
          <w:szCs w:val="20"/>
          <w:color w:val="auto"/>
        </w:rPr>
      </w:pPr>
    </w:p>
    <w:p>
      <w:pPr>
        <w:ind w:right="140" w:firstLine="509"/>
        <w:spacing w:after="0" w:line="262" w:lineRule="auto"/>
        <w:rPr>
          <w:sz w:val="20"/>
          <w:szCs w:val="20"/>
          <w:color w:val="auto"/>
        </w:rPr>
      </w:pPr>
      <w:r>
        <w:rPr>
          <w:rFonts w:ascii="Arial" w:cs="Arial" w:eastAsia="Arial" w:hAnsi="Arial"/>
          <w:sz w:val="18"/>
          <w:szCs w:val="18"/>
          <w:color w:val="auto"/>
        </w:rPr>
        <w:t>During the three months ended June 30, 2023 and 2022, the weighted-average interest rate on the outstanding borrowings under the Term B Loan was 7.4% and 3.3%, respectively. During the three months ended June 30, 2023 and 2022, the Company made interest payments of $14.6 million and $6.6 million, respectively.</w:t>
      </w:r>
    </w:p>
    <w:p>
      <w:pPr>
        <w:spacing w:after="0" w:line="75"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During the six months ended June 30, 2023 and 2022, the weighted-average interest rate on the outstanding borrowings under the Term B Loan was 7.1% and 3.2%, respectively. During the six months ended June 30, 2023 and 2022, the Company made interest payments of $28.1 million and $12.5 million, respectively.</w:t>
      </w:r>
    </w:p>
    <w:p>
      <w:pPr>
        <w:spacing w:after="0" w:line="75" w:lineRule="exact"/>
        <w:rPr>
          <w:sz w:val="20"/>
          <w:szCs w:val="20"/>
          <w:color w:val="auto"/>
        </w:rPr>
      </w:pPr>
    </w:p>
    <w:p>
      <w:pPr>
        <w:ind w:right="620" w:firstLine="509"/>
        <w:spacing w:after="0" w:line="339" w:lineRule="auto"/>
        <w:rPr>
          <w:sz w:val="20"/>
          <w:szCs w:val="20"/>
          <w:color w:val="auto"/>
        </w:rPr>
      </w:pPr>
      <w:r>
        <w:rPr>
          <w:rFonts w:ascii="Arial" w:cs="Arial" w:eastAsia="Arial" w:hAnsi="Arial"/>
          <w:sz w:val="16"/>
          <w:szCs w:val="16"/>
          <w:color w:val="auto"/>
        </w:rPr>
        <w:t>The Company has an outstanding standby letter of credit for $0.7 million which reduces the amount available to be borrowed under the 2021 Revolving Credit Facility. As of June 30, 2023, $249.3 million was available to be borrowed under the 2021 Revolving Credit Facility.</w:t>
      </w:r>
    </w:p>
    <w:p>
      <w:pPr>
        <w:spacing w:after="0" w:line="18"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terms of the 2021 Credit Agreement include a financial covenant which requires that, at the end of each fiscal quarter, if the aggregate amount of borrowings under the 2021 Revolving Credit Facility exceeds 35% of the aggregate commitments, the leverage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42" w:name="page43"/>
    <w:bookmarkEnd w:id="42"/>
    <w:p>
      <w:pPr>
        <w:ind w:right="180"/>
        <w:spacing w:after="0" w:line="305" w:lineRule="auto"/>
        <w:rPr>
          <w:sz w:val="20"/>
          <w:szCs w:val="20"/>
          <w:color w:val="auto"/>
        </w:rPr>
      </w:pPr>
      <w:r>
        <w:rPr>
          <w:rFonts w:ascii="Arial" w:cs="Arial" w:eastAsia="Arial" w:hAnsi="Arial"/>
          <w:sz w:val="17"/>
          <w:szCs w:val="17"/>
          <w:color w:val="auto"/>
        </w:rPr>
        <w:t>ratio of CCC Intelligent Solutions Inc. and certain of its subsidiaries cannot exceed 6.25 to 1.00. Borrowings under the 2021 Revolving Credit Facility did not exceed 35% of the aggregate commitments and the Company was not subject to the leverage test as of June 30, 2023.</w:t>
      </w:r>
    </w:p>
    <w:p>
      <w:pPr>
        <w:spacing w:after="0" w:line="41" w:lineRule="exact"/>
        <w:rPr>
          <w:sz w:val="20"/>
          <w:szCs w:val="20"/>
          <w:color w:val="auto"/>
        </w:rPr>
      </w:pPr>
    </w:p>
    <w:p>
      <w:pPr>
        <w:ind w:right="140" w:firstLine="509"/>
        <w:spacing w:after="0" w:line="262"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—In August 2022, the Company entered into two interest rate cap agreements to reduce its exposure to increases in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its floating rate long-term debt. The aggregate notional value of the interest rate cap agreements is $600.0 million with a cap rate of 4.0% and an expiration date of July 31, 2025.</w:t>
      </w:r>
    </w:p>
    <w:p>
      <w:pPr>
        <w:spacing w:after="0" w:line="75" w:lineRule="exact"/>
        <w:rPr>
          <w:sz w:val="20"/>
          <w:szCs w:val="20"/>
          <w:color w:val="auto"/>
        </w:rPr>
      </w:pPr>
    </w:p>
    <w:p>
      <w:pPr>
        <w:ind w:right="60" w:firstLine="509"/>
        <w:spacing w:after="0" w:line="262" w:lineRule="auto"/>
        <w:rPr>
          <w:sz w:val="20"/>
          <w:szCs w:val="20"/>
          <w:color w:val="auto"/>
        </w:rPr>
      </w:pPr>
      <w:r>
        <w:rPr>
          <w:rFonts w:ascii="Arial" w:cs="Arial" w:eastAsia="Arial" w:hAnsi="Arial"/>
          <w:sz w:val="18"/>
          <w:szCs w:val="18"/>
          <w:color w:val="auto"/>
        </w:rPr>
        <w:t>During the three months ended June 30,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cash flow data for the six months ended June 30, 2023 and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Six Months Ended June 30,</w:t>
            </w:r>
          </w:p>
        </w:tc>
      </w:tr>
      <w:tr>
        <w:trPr>
          <w:trHeight w:val="238"/>
        </w:trPr>
        <w:tc>
          <w:tcPr>
            <w:tcW w:w="726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39"/>
        </w:trPr>
        <w:tc>
          <w:tcPr>
            <w:tcW w:w="7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102,632</w:t>
            </w:r>
          </w:p>
        </w:tc>
        <w:tc>
          <w:tcPr>
            <w:tcW w:w="3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87,685</w:t>
            </w:r>
          </w:p>
        </w:tc>
        <w:tc>
          <w:tcPr>
            <w:tcW w:w="140" w:type="dxa"/>
            <w:vAlign w:val="bottom"/>
            <w:shd w:val="clear" w:color="auto" w:fill="CFF0FC"/>
          </w:tcPr>
          <w:p>
            <w:pPr>
              <w:spacing w:after="0"/>
              <w:rPr>
                <w:sz w:val="20"/>
                <w:szCs w:val="20"/>
                <w:color w:val="auto"/>
              </w:rPr>
            </w:pPr>
          </w:p>
        </w:tc>
      </w:tr>
      <w:tr>
        <w:trPr>
          <w:trHeight w:val="23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(29,084 )</w:t>
            </w:r>
          </w:p>
        </w:tc>
        <w:tc>
          <w:tcPr>
            <w:tcW w:w="38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(53,819 )</w:t>
            </w:r>
          </w:p>
        </w:tc>
      </w:tr>
      <w:tr>
        <w:trPr>
          <w:trHeight w:val="248"/>
        </w:trPr>
        <w:tc>
          <w:tcPr>
            <w:tcW w:w="7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11,511</w:t>
            </w:r>
          </w:p>
        </w:tc>
        <w:tc>
          <w:tcPr>
            <w:tcW w:w="140" w:type="dxa"/>
            <w:vAlign w:val="bottom"/>
            <w:shd w:val="clear" w:color="auto" w:fill="CFF0FC"/>
          </w:tcPr>
          <w:p>
            <w:pPr>
              <w:spacing w:after="0"/>
              <w:rPr>
                <w:sz w:val="21"/>
                <w:szCs w:val="21"/>
                <w:color w:val="auto"/>
              </w:rPr>
            </w:pPr>
          </w:p>
        </w:tc>
      </w:tr>
      <w:tr>
        <w:trPr>
          <w:trHeight w:val="23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Net effect of exchange rate change</w:t>
            </w:r>
          </w:p>
        </w:tc>
        <w:tc>
          <w:tcPr>
            <w:tcW w:w="40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(373 )</w:t>
            </w:r>
          </w:p>
        </w:tc>
        <w:tc>
          <w:tcPr>
            <w:tcW w:w="38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(281 )</w:t>
            </w:r>
          </w:p>
        </w:tc>
      </w:tr>
      <w:tr>
        <w:trPr>
          <w:trHeight w:val="275"/>
        </w:trPr>
        <w:tc>
          <w:tcPr>
            <w:tcW w:w="72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Change in cash and cash equivalents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79,789</w:t>
            </w:r>
          </w:p>
        </w:tc>
        <w:tc>
          <w:tcPr>
            <w:tcW w:w="3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45,096</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5713095</wp:posOffset>
            </wp:positionH>
            <wp:positionV relativeFrom="paragraph">
              <wp:posOffset>-24765</wp:posOffset>
            </wp:positionV>
            <wp:extent cx="850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-7620</wp:posOffset>
            </wp:positionV>
            <wp:extent cx="850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0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0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Net cash provided by operating activities was $102.6 million for the six months ended June 30, 2023. Net cash provided by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consists of net loss of $95.2 million, adjusted for $211.5 million of non-cash items, ($8.8) million for changes in working capital and ($5.0) million for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effect of changes in other operating assets and liabilities. Significant non-cash adjustments include goodwill and intangible asset impairment charges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$82.7, depreciation and amortization of $67.4 million, stock-based compensation expense of $64.7 million, a change in fair value of warrant liabilities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$19.2 million, a change in fair value of derivative instruments of ($1.0) million, non-cash lease expense of $1.2 million, deferred income tax benefits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($23.8) million. The change in net operating assets and liabilities was primarily a result of a decrease in accrued expenses of $15.0 million due to timing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cash disbursements and employee incentive plan payments, a decrease in accounts payable of $8.5 million due to timing of cash disbursements, and an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increase in non-current other assets of $5.2 million due to timing of payments for prepaid and other deferred costs, partially offset by a decrease in accounts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receivable of $2.3 million due to timing of receipts of payments from customers and an increase in deferred revenue of $4.8 million due to timing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customer receipts and revenue recognition.</w:t>
      </w:r>
    </w:p>
    <w:p>
      <w:pPr>
        <w:spacing w:after="0" w:line="101" w:lineRule="exact"/>
        <w:rPr>
          <w:sz w:val="20"/>
          <w:szCs w:val="20"/>
          <w:color w:val="auto"/>
        </w:rPr>
      </w:pPr>
    </w:p>
    <w:p>
      <w:pPr>
        <w:ind w:right="480" w:firstLine="509"/>
        <w:spacing w:after="0" w:line="275" w:lineRule="auto"/>
        <w:rPr>
          <w:sz w:val="20"/>
          <w:szCs w:val="20"/>
          <w:color w:val="auto"/>
        </w:rPr>
      </w:pPr>
      <w:r>
        <w:rPr>
          <w:rFonts w:ascii="Arial" w:cs="Arial" w:eastAsia="Arial" w:hAnsi="Arial"/>
          <w:sz w:val="18"/>
          <w:szCs w:val="18"/>
          <w:color w:val="auto"/>
        </w:rPr>
        <w:t>Net cash used in investing activities was $29.1 million for the six months ended June 30, 2023. Net cash used in investing activities was due to capitalized internally developed software projects and purchases of software, equipment, and property.</w:t>
      </w:r>
    </w:p>
    <w:p>
      <w:pPr>
        <w:spacing w:after="0" w:line="63" w:lineRule="exact"/>
        <w:rPr>
          <w:sz w:val="20"/>
          <w:szCs w:val="20"/>
          <w:color w:val="auto"/>
        </w:rPr>
      </w:pPr>
    </w:p>
    <w:p>
      <w:pPr>
        <w:ind w:right="180" w:firstLine="509"/>
        <w:spacing w:after="0" w:line="262" w:lineRule="auto"/>
        <w:rPr>
          <w:sz w:val="20"/>
          <w:szCs w:val="20"/>
          <w:color w:val="auto"/>
        </w:rPr>
      </w:pPr>
      <w:r>
        <w:rPr>
          <w:rFonts w:ascii="Arial" w:cs="Arial" w:eastAsia="Arial" w:hAnsi="Arial"/>
          <w:sz w:val="18"/>
          <w:szCs w:val="18"/>
          <w:color w:val="auto"/>
        </w:rPr>
        <w:t>Net cash provided by financing activities was $6.6 million for the six months ended June 30, 2023. Net cash provided by financing activities was primarily due to $20.8 million of proceeds from stock option exercises, partially offset by $11.5 million of tax payments related to the net share settlement of employee equity awards and $4.0 million of principal payments of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jc w:val="both"/>
        <w:ind w:right="280" w:firstLine="509"/>
        <w:spacing w:after="0" w:line="262" w:lineRule="auto"/>
        <w:rPr>
          <w:sz w:val="20"/>
          <w:szCs w:val="20"/>
          <w:color w:val="auto"/>
        </w:rPr>
      </w:pPr>
      <w:r>
        <w:rPr>
          <w:rFonts w:ascii="Arial" w:cs="Arial" w:eastAsia="Arial" w:hAnsi="Arial"/>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9"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83" w:lineRule="exact"/>
        <w:rPr>
          <w:sz w:val="20"/>
          <w:szCs w:val="20"/>
          <w:color w:val="auto"/>
        </w:rPr>
      </w:pPr>
    </w:p>
    <w:p>
      <w:pPr>
        <w:jc w:val="both"/>
        <w:ind w:right="220" w:firstLine="509"/>
        <w:spacing w:after="0" w:line="262" w:lineRule="auto"/>
        <w:rPr>
          <w:sz w:val="20"/>
          <w:szCs w:val="20"/>
          <w:color w:val="auto"/>
        </w:rPr>
      </w:pPr>
      <w:r>
        <w:rPr>
          <w:rFonts w:ascii="Arial" w:cs="Arial" w:eastAsia="Arial" w:hAnsi="Arial"/>
          <w:sz w:val="18"/>
          <w:szCs w:val="18"/>
          <w:color w:val="auto"/>
        </w:rPr>
        <w:t>Except as described below, there have been no material changes to our critical accounting estimates as compared to the critical accounting policies and estimates disclosed in our audited consolidated financial statements and notes thereto for the year ended December 31, 2022, included in our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43" w:name="page44"/>
    <w:bookmarkEnd w:id="43"/>
    <w:p>
      <w:pPr>
        <w:ind w:right="60" w:firstLine="509"/>
        <w:spacing w:after="0" w:line="262" w:lineRule="auto"/>
        <w:rPr>
          <w:sz w:val="20"/>
          <w:szCs w:val="20"/>
          <w:color w:val="auto"/>
        </w:rPr>
      </w:pPr>
      <w:r>
        <w:rPr>
          <w:rFonts w:ascii="Arial" w:cs="Arial" w:eastAsia="Arial" w:hAnsi="Arial"/>
          <w:sz w:val="18"/>
          <w:szCs w:val="18"/>
          <w:color w:val="auto"/>
        </w:rPr>
        <w:t>We perform an annual assessment for impairment of goodwill and indefinite-lived intangible assets as of November 30 each fiscal year, or whenever events occur or circumstances indicate that it is more likely than not that the fair value of a reporting unit or indefinite-lived intangible asset is below its carrying value.</w:t>
      </w:r>
    </w:p>
    <w:p>
      <w:pPr>
        <w:spacing w:after="0" w:line="7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two reporting units, Domestic and China, for purposes of analyzing goodwill. As a result of adverse macroeconomic impacts due to changes in market conditions and increases in interest rates, which contributed to downward revisions to future projected earnings and cash flows, we performed a quantitative goodwill test of our China reporting as of May 31, 2023. As a result of our quantitative impairment test, we determined the fair value of our China reporting was less than its carrying value and we recorded a goodwill impairment charge of $77.4 million during the three months ended June 30, 2023.</w:t>
      </w:r>
    </w:p>
    <w:p>
      <w:pPr>
        <w:spacing w:after="0" w:line="83" w:lineRule="exact"/>
        <w:rPr>
          <w:sz w:val="20"/>
          <w:szCs w:val="20"/>
          <w:color w:val="auto"/>
        </w:rPr>
      </w:pPr>
    </w:p>
    <w:p>
      <w:pPr>
        <w:ind w:right="40" w:firstLine="509"/>
        <w:spacing w:after="0" w:line="300" w:lineRule="auto"/>
        <w:rPr>
          <w:sz w:val="20"/>
          <w:szCs w:val="20"/>
          <w:color w:val="auto"/>
        </w:rPr>
      </w:pPr>
      <w:r>
        <w:rPr>
          <w:rFonts w:ascii="Arial" w:cs="Arial" w:eastAsia="Arial" w:hAnsi="Arial"/>
          <w:sz w:val="16"/>
          <w:szCs w:val="16"/>
          <w:color w:val="auto"/>
        </w:rPr>
        <w:t>We used a quantitative approach to measure the fair value of our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impairment charge related to goodwill recorded during the three and six months ended June 30, 2022.</w:t>
      </w:r>
    </w:p>
    <w:p>
      <w:pPr>
        <w:spacing w:after="0" w:line="11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Intangible assets with finite lives and software, equipment and property are amortized or depreciated over their estimated useful life on a straight-line basis. We monitor conditions related to these assets to determine whether events and circumstances warrant a revision to the remaining amortization or depreciation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44" w:lineRule="exact"/>
        <w:rPr>
          <w:sz w:val="20"/>
          <w:szCs w:val="20"/>
          <w:color w:val="auto"/>
        </w:rPr>
      </w:pPr>
    </w:p>
    <w:p>
      <w:pPr>
        <w:ind w:right="160" w:firstLine="509"/>
        <w:spacing w:after="0" w:line="284" w:lineRule="auto"/>
        <w:rPr>
          <w:sz w:val="20"/>
          <w:szCs w:val="20"/>
          <w:color w:val="auto"/>
        </w:rPr>
      </w:pPr>
      <w:r>
        <w:rPr>
          <w:rFonts w:ascii="Arial" w:cs="Arial" w:eastAsia="Arial" w:hAnsi="Arial"/>
          <w:sz w:val="17"/>
          <w:szCs w:val="17"/>
          <w:color w:val="auto"/>
        </w:rPr>
        <w:t>During the three months ended June 30, 2023, the Company recorded an impairment charge to its China reporting unit's customer relationships and acquired technologies intangible assets. The Company's forecasted revenue and expense cash flow projections indicated the carrying amounts of the intangible assets were not recoverable and therefore the Company recorded an impairment charge of $5.3 million.</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impairment charge related to intangible assets recorded during the three and six months ended June 30,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There have been no material changes in our market risk compared to the disclosures in Part II, Item 7A of our Annual Report on Form 10-K for the year ended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29"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June 30,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right="440" w:firstLine="509"/>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2023 identified in management’s evaluation pursuant to in Rules 13a-15(d) and 15d-15(d) of the Exchange Act that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7"/>
          <w:szCs w:val="17"/>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risk factors relating to our business, please refer to the section entitled “Risk Factors” in our Annual Report on Form 10-K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Any of these factors could result in a significant or material adverse effect on the results of our operations or financial condition.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 factors not presently known to us or that we currently deem immaterial may also impair our business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color w:val="auto"/>
        </w:rPr>
        <w:t>During the three months ended June 30, 2023, Mary Jo Prigge, the Executive Vice President, Chief Service Delivery Officer of the Company, adopted a Rule 10b5-1 trading arrangement intended to satisfy the affirmative defense of Rule 10b5–1(c). The 10b-5-1 trading arrangement was adopted by Ms. Prigge on June 20, 2023 and provides for the sale of up to 52,245 shares of the Common Stock of the Company in the period commencing on September 19, 2023 and ending on the earlier of December 29, 2023 or the execution of all trades contemplated by the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2"/>
                <w:szCs w:val="22"/>
                <w:color w:val="auto"/>
              </w:rPr>
            </w:pPr>
          </w:p>
        </w:tc>
        <w:tc>
          <w:tcPr>
            <w:tcW w:w="100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2"/>
                <w:szCs w:val="22"/>
                <w:color w:val="auto"/>
              </w:rPr>
            </w:pPr>
          </w:p>
        </w:tc>
      </w:tr>
      <w:tr>
        <w:trPr>
          <w:trHeight w:val="188"/>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tcBorders>
            <w:shd w:val="clear" w:color="auto" w:fill="CCEEFF"/>
          </w:tcPr>
          <w:p>
            <w:pPr>
              <w:spacing w:after="0"/>
              <w:rPr>
                <w:sz w:val="16"/>
                <w:szCs w:val="16"/>
                <w:color w:val="auto"/>
              </w:rPr>
            </w:pPr>
          </w:p>
        </w:tc>
        <w:tc>
          <w:tcPr>
            <w:tcW w:w="94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0"/>
              </w:rPr>
              <w:t>Amendment No. 1 to the Credit Agreement, dated as of May 19, 2023, by and between CCC Intelligent Solutions Inc. and Bank of</w:t>
            </w:r>
          </w:p>
        </w:tc>
        <w:tc>
          <w:tcPr>
            <w:tcW w:w="660" w:type="dxa"/>
            <w:vAlign w:val="bottom"/>
            <w:tcBorders>
              <w:bottom w:val="single" w:sz="8" w:color="CCEEFF"/>
              <w:right w:val="single" w:sz="8" w:color="CCEEFF"/>
            </w:tcBorders>
            <w:gridSpan w:val="4"/>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FF"/>
            </w:tcBorders>
            <w:gridSpan w:val="3"/>
            <w:shd w:val="clear" w:color="auto" w:fill="CCEEFF"/>
          </w:tcPr>
          <w:p>
            <w:pPr>
              <w:spacing w:after="0" w:line="195" w:lineRule="exact"/>
              <w:rPr>
                <w:sz w:val="20"/>
                <w:szCs w:val="20"/>
                <w:color w:val="auto"/>
              </w:rPr>
            </w:pPr>
            <w:r>
              <w:rPr>
                <w:rFonts w:ascii="Arial" w:cs="Arial" w:eastAsia="Arial" w:hAnsi="Arial"/>
                <w:sz w:val="18"/>
                <w:szCs w:val="18"/>
                <w:color w:val="0000FF"/>
                <w:w w:val="92"/>
              </w:rPr>
              <w:t>America, N.A., as Administrative Agent.</w:t>
            </w:r>
          </w:p>
        </w:tc>
        <w:tc>
          <w:tcPr>
            <w:tcW w:w="714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940" w:type="dxa"/>
            <w:vAlign w:val="bottom"/>
          </w:tcPr>
          <w:p>
            <w:pPr>
              <w:ind w:left="20"/>
              <w:spacing w:after="0" w:line="175"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9600" w:type="dxa"/>
            <w:vAlign w:val="bottom"/>
            <w:tcBorders>
              <w:bottom w:val="single" w:sz="8" w:color="0000FF"/>
            </w:tcBorders>
            <w:gridSpan w:val="7"/>
          </w:tcPr>
          <w:p>
            <w:pPr>
              <w:spacing w:after="0" w:line="175" w:lineRule="exact"/>
              <w:rPr>
                <w:sz w:val="20"/>
                <w:szCs w:val="20"/>
                <w:color w:val="auto"/>
              </w:rPr>
            </w:pPr>
            <w:r>
              <w:rPr>
                <w:rFonts w:ascii="Arial" w:cs="Arial" w:eastAsia="Arial" w:hAnsi="Arial"/>
                <w:sz w:val="18"/>
                <w:szCs w:val="18"/>
                <w:color w:val="0000FF"/>
                <w:w w:val="91"/>
              </w:rPr>
              <w:t>Certification of Chief Executive Officer (Principal Executive Officer) Pursuant to Rules 13a-14(a) and 15d-14(a) under the Securities</w:t>
            </w:r>
          </w:p>
        </w:tc>
        <w:tc>
          <w:tcPr>
            <w:tcW w:w="4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60" w:type="dxa"/>
            <w:vAlign w:val="bottom"/>
            <w:gridSpan w:val="10"/>
          </w:tcPr>
          <w:p>
            <w:pPr>
              <w:spacing w:after="0" w:line="195"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1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40" w:type="dxa"/>
            <w:vAlign w:val="bottom"/>
            <w:tcBorders>
              <w:bottom w:val="single" w:sz="8" w:color="CCEEFF"/>
            </w:tcBorders>
            <w:shd w:val="clear" w:color="auto" w:fill="CCEEFF"/>
          </w:tcPr>
          <w:p>
            <w:pPr>
              <w:spacing w:after="0"/>
              <w:rPr>
                <w:sz w:val="16"/>
                <w:szCs w:val="16"/>
                <w:color w:val="auto"/>
              </w:rPr>
            </w:pPr>
          </w:p>
        </w:tc>
        <w:tc>
          <w:tcPr>
            <w:tcW w:w="992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1"/>
              </w:rPr>
              <w:t>Certification of Chief Financial Officer (Principal Financial and Accounting Officer) Pursuant to Rules 13a-14(a) and 15d-14(a) under the</w:t>
            </w:r>
          </w:p>
        </w:tc>
        <w:tc>
          <w:tcPr>
            <w:tcW w:w="14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60" w:type="dxa"/>
            <w:vAlign w:val="bottom"/>
            <w:tcBorders>
              <w:right w:val="single" w:sz="8" w:color="CCEEFF"/>
            </w:tcBorders>
            <w:gridSpan w:val="10"/>
            <w:shd w:val="clear" w:color="auto" w:fill="CCEEFF"/>
          </w:tcPr>
          <w:p>
            <w:pPr>
              <w:spacing w:after="0" w:line="195" w:lineRule="exact"/>
              <w:rPr>
                <w:sz w:val="20"/>
                <w:szCs w:val="20"/>
                <w:color w:val="auto"/>
              </w:rPr>
            </w:pPr>
            <w:r>
              <w:rPr>
                <w:rFonts w:ascii="Arial" w:cs="Arial" w:eastAsia="Arial" w:hAnsi="Arial"/>
                <w:sz w:val="18"/>
                <w:szCs w:val="18"/>
                <w:color w:val="0000FF"/>
              </w:rPr>
              <w:t>Securities Exchange Act of 1934, as Adopted Pursuant to Section 302 of the Sarbanes-Oxley Act of 2002.</w:t>
            </w:r>
          </w:p>
        </w:tc>
        <w:tc>
          <w:tcPr>
            <w:tcW w:w="100" w:type="dxa"/>
            <w:vAlign w:val="bottom"/>
          </w:tcPr>
          <w:p>
            <w:pPr>
              <w:spacing w:after="0"/>
              <w:rPr>
                <w:sz w:val="16"/>
                <w:szCs w:val="16"/>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9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940" w:type="dxa"/>
            <w:vAlign w:val="bottom"/>
          </w:tcPr>
          <w:p>
            <w:pPr>
              <w:ind w:left="20"/>
              <w:spacing w:after="0" w:line="175"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9940" w:type="dxa"/>
            <w:vAlign w:val="bottom"/>
            <w:tcBorders>
              <w:bottom w:val="single" w:sz="8" w:color="0000FF"/>
            </w:tcBorders>
            <w:gridSpan w:val="9"/>
          </w:tcPr>
          <w:p>
            <w:pPr>
              <w:spacing w:after="0" w:line="175" w:lineRule="exact"/>
              <w:rPr>
                <w:sz w:val="20"/>
                <w:szCs w:val="20"/>
                <w:color w:val="auto"/>
              </w:rPr>
            </w:pPr>
            <w:r>
              <w:rPr>
                <w:rFonts w:ascii="Arial" w:cs="Arial" w:eastAsia="Arial" w:hAnsi="Arial"/>
                <w:sz w:val="18"/>
                <w:szCs w:val="18"/>
                <w:color w:val="0000FF"/>
                <w:w w:val="91"/>
              </w:rPr>
              <w:t>Certification of Chief Executive Officer (Principal Executive Officer) Pursuant to 18 U.S.C. Section 1350, as Adopted Pursuant to Section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60" w:type="dxa"/>
            <w:vAlign w:val="bottom"/>
            <w:gridSpan w:val="10"/>
          </w:tcPr>
          <w:p>
            <w:pPr>
              <w:spacing w:after="0" w:line="195" w:lineRule="exact"/>
              <w:rPr>
                <w:sz w:val="20"/>
                <w:szCs w:val="20"/>
                <w:color w:val="auto"/>
              </w:rPr>
            </w:pPr>
            <w:r>
              <w:rPr>
                <w:rFonts w:ascii="Arial" w:cs="Arial" w:eastAsia="Arial" w:hAnsi="Arial"/>
                <w:sz w:val="18"/>
                <w:szCs w:val="18"/>
                <w:color w:val="0000FF"/>
              </w:rPr>
              <w:t>906 of the Sarbanes-Oxley Act of 2002.</w:t>
            </w:r>
          </w:p>
        </w:tc>
        <w:tc>
          <w:tcPr>
            <w:tcW w:w="1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140" w:type="dxa"/>
            <w:vAlign w:val="bottom"/>
            <w:tcBorders>
              <w:bottom w:val="single" w:sz="8" w:color="CCEEFF"/>
            </w:tcBorders>
            <w:shd w:val="clear" w:color="auto" w:fill="CCEEFF"/>
          </w:tcPr>
          <w:p>
            <w:pPr>
              <w:spacing w:after="0"/>
              <w:rPr>
                <w:sz w:val="16"/>
                <w:szCs w:val="16"/>
                <w:color w:val="auto"/>
              </w:rPr>
            </w:pPr>
          </w:p>
        </w:tc>
        <w:tc>
          <w:tcPr>
            <w:tcW w:w="10060" w:type="dxa"/>
            <w:vAlign w:val="bottom"/>
            <w:tcBorders>
              <w:bottom w:val="single" w:sz="8" w:color="0000FF"/>
              <w:right w:val="single" w:sz="8" w:color="CCEE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100" w:type="dxa"/>
            <w:vAlign w:val="bottom"/>
          </w:tcPr>
          <w:p>
            <w:pPr>
              <w:spacing w:after="0"/>
              <w:rPr>
                <w:sz w:val="16"/>
                <w:szCs w:val="16"/>
                <w:color w:val="auto"/>
              </w:rPr>
            </w:pPr>
          </w:p>
        </w:tc>
      </w:tr>
      <w:tr>
        <w:trPr>
          <w:trHeight w:val="215"/>
        </w:trPr>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shd w:val="clear" w:color="auto" w:fill="CCEEFF"/>
          </w:tcPr>
          <w:p>
            <w:pPr>
              <w:spacing w:after="0" w:line="195" w:lineRule="exact"/>
              <w:rPr>
                <w:sz w:val="20"/>
                <w:szCs w:val="20"/>
                <w:color w:val="auto"/>
              </w:rPr>
            </w:pPr>
            <w:r>
              <w:rPr>
                <w:rFonts w:ascii="Arial" w:cs="Arial" w:eastAsia="Arial" w:hAnsi="Arial"/>
                <w:sz w:val="18"/>
                <w:szCs w:val="18"/>
                <w:color w:val="0000FF"/>
                <w:w w:val="89"/>
              </w:rPr>
              <w:t>of 2002.</w:t>
            </w:r>
          </w:p>
        </w:tc>
        <w:tc>
          <w:tcPr>
            <w:tcW w:w="946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100" w:type="dxa"/>
            <w:vAlign w:val="bottom"/>
          </w:tcPr>
          <w:p>
            <w:pPr>
              <w:spacing w:after="0"/>
              <w:rPr>
                <w:sz w:val="19"/>
                <w:szCs w:val="19"/>
                <w:color w:val="auto"/>
              </w:rPr>
            </w:pPr>
          </w:p>
        </w:tc>
      </w:tr>
      <w:tr>
        <w:trPr>
          <w:trHeight w:val="215"/>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shd w:val="clear" w:color="auto" w:fill="CCEEFF"/>
          </w:tcPr>
          <w:p>
            <w:pPr>
              <w:spacing w:after="0"/>
              <w:rPr>
                <w:sz w:val="18"/>
                <w:szCs w:val="18"/>
                <w:color w:val="auto"/>
              </w:rPr>
            </w:pPr>
          </w:p>
        </w:tc>
        <w:tc>
          <w:tcPr>
            <w:tcW w:w="1006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18"/>
                <w:szCs w:val="18"/>
                <w:color w:val="auto"/>
              </w:rPr>
            </w:pPr>
          </w:p>
        </w:tc>
      </w:tr>
      <w:tr>
        <w:trPr>
          <w:trHeight w:val="228"/>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9"/>
                <w:szCs w:val="19"/>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0" w:type="dxa"/>
            <w:vAlign w:val="bottom"/>
          </w:tcPr>
          <w:p>
            <w:pPr>
              <w:spacing w:after="0"/>
              <w:rPr>
                <w:sz w:val="19"/>
                <w:szCs w:val="19"/>
                <w:color w:val="auto"/>
              </w:rPr>
            </w:pPr>
          </w:p>
        </w:tc>
      </w:tr>
      <w:tr>
        <w:trPr>
          <w:trHeight w:val="215"/>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shd w:val="clear" w:color="auto" w:fill="CCEEFF"/>
          </w:tcPr>
          <w:p>
            <w:pPr>
              <w:spacing w:after="0"/>
              <w:rPr>
                <w:sz w:val="18"/>
                <w:szCs w:val="18"/>
                <w:color w:val="auto"/>
              </w:rPr>
            </w:pPr>
          </w:p>
        </w:tc>
        <w:tc>
          <w:tcPr>
            <w:tcW w:w="1006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0" w:type="dxa"/>
            <w:vAlign w:val="bottom"/>
          </w:tcPr>
          <w:p>
            <w:pPr>
              <w:spacing w:after="0"/>
              <w:rPr>
                <w:sz w:val="18"/>
                <w:szCs w:val="18"/>
                <w:color w:val="auto"/>
              </w:rPr>
            </w:pPr>
          </w:p>
        </w:tc>
      </w:tr>
      <w:tr>
        <w:trPr>
          <w:trHeight w:val="228"/>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 w:type="dxa"/>
            <w:vAlign w:val="bottom"/>
          </w:tcPr>
          <w:p>
            <w:pPr>
              <w:spacing w:after="0"/>
              <w:rPr>
                <w:sz w:val="19"/>
                <w:szCs w:val="19"/>
                <w:color w:val="auto"/>
              </w:rPr>
            </w:pPr>
          </w:p>
        </w:tc>
      </w:tr>
      <w:tr>
        <w:trPr>
          <w:trHeight w:val="215"/>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shd w:val="clear" w:color="auto" w:fill="CCEEFF"/>
          </w:tcPr>
          <w:p>
            <w:pPr>
              <w:spacing w:after="0"/>
              <w:rPr>
                <w:sz w:val="18"/>
                <w:szCs w:val="18"/>
                <w:color w:val="auto"/>
              </w:rPr>
            </w:pPr>
          </w:p>
        </w:tc>
        <w:tc>
          <w:tcPr>
            <w:tcW w:w="1006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0" w:type="dxa"/>
            <w:vAlign w:val="bottom"/>
          </w:tcPr>
          <w:p>
            <w:pPr>
              <w:spacing w:after="0"/>
              <w:rPr>
                <w:sz w:val="18"/>
                <w:szCs w:val="18"/>
                <w:color w:val="auto"/>
              </w:rPr>
            </w:pPr>
          </w:p>
        </w:tc>
      </w:tr>
      <w:tr>
        <w:trPr>
          <w:trHeight w:val="430"/>
        </w:trPr>
        <w:tc>
          <w:tcPr>
            <w:tcW w:w="940" w:type="dxa"/>
            <w:vAlign w:val="bottom"/>
          </w:tcPr>
          <w:p>
            <w:pPr>
              <w:spacing w:after="0"/>
              <w:rPr>
                <w:sz w:val="24"/>
                <w:szCs w:val="24"/>
                <w:color w:val="auto"/>
              </w:rPr>
            </w:pPr>
          </w:p>
        </w:tc>
        <w:tc>
          <w:tcPr>
            <w:tcW w:w="6960" w:type="dxa"/>
            <w:vAlign w:val="bottom"/>
            <w:gridSpan w:val="5"/>
          </w:tcPr>
          <w:p>
            <w:pPr>
              <w:jc w:val="right"/>
              <w:ind w:right="2180"/>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215"/>
        </w:trPr>
        <w:tc>
          <w:tcPr>
            <w:tcW w:w="700" w:type="dxa"/>
            <w:vAlign w:val="bottom"/>
          </w:tcPr>
          <w:p>
            <w:pPr>
              <w:jc w:val="right"/>
              <w:ind w:right="250"/>
              <w:spacing w:after="0"/>
              <w:rPr>
                <w:sz w:val="20"/>
                <w:szCs w:val="20"/>
                <w:color w:val="auto"/>
              </w:rPr>
            </w:pPr>
            <w:r>
              <w:rPr>
                <w:rFonts w:ascii="Arial" w:cs="Arial" w:eastAsia="Arial" w:hAnsi="Arial"/>
                <w:sz w:val="18"/>
                <w:szCs w:val="18"/>
                <w:color w:val="auto"/>
                <w:w w:val="91"/>
              </w:rPr>
              <w:t>104*</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Cover Page Interactive Data File - The cover page interactive data file does not appear in the Interactive Data File because its XBRL tags</w:t>
            </w:r>
          </w:p>
        </w:tc>
      </w:tr>
      <w:tr>
        <w:trPr>
          <w:trHeight w:val="230"/>
        </w:trPr>
        <w:tc>
          <w:tcPr>
            <w:tcW w:w="700" w:type="dxa"/>
            <w:vAlign w:val="bottom"/>
          </w:tcPr>
          <w:p>
            <w:pPr>
              <w:spacing w:after="0"/>
              <w:rPr>
                <w:sz w:val="19"/>
                <w:szCs w:val="19"/>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are embedded within the Inline XBRL document</w:t>
            </w:r>
          </w:p>
        </w:tc>
      </w:tr>
    </w:tbl>
    <w:p>
      <w:pPr>
        <w:spacing w:after="0"/>
        <w:rPr>
          <w:sz w:val="20"/>
          <w:szCs w:val="20"/>
          <w:color w:val="auto"/>
        </w:rPr>
      </w:pPr>
      <w:r>
        <w:rPr>
          <w:rFonts w:ascii="Arial" w:cs="Arial" w:eastAsia="Arial" w:hAnsi="Arial"/>
          <w:sz w:val="18"/>
          <w:szCs w:val="18"/>
          <w:color w:val="auto"/>
        </w:rPr>
        <w:t>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320" w:top="367" w:right="6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w:t>
      </w:r>
    </w:p>
    <w:p>
      <w:pPr>
        <w:spacing w:after="0" w:line="227" w:lineRule="exact"/>
        <w:rPr>
          <w:sz w:val="20"/>
          <w:szCs w:val="20"/>
          <w:color w:val="auto"/>
        </w:rPr>
      </w:pPr>
    </w:p>
    <w:p>
      <w:pPr>
        <w:ind w:right="500" w:firstLine="509"/>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20"/>
              <w:spacing w:after="0"/>
              <w:rPr>
                <w:sz w:val="20"/>
                <w:szCs w:val="20"/>
                <w:color w:val="auto"/>
              </w:rPr>
            </w:pPr>
            <w:r>
              <w:rPr>
                <w:rFonts w:ascii="Arial" w:cs="Arial" w:eastAsia="Arial" w:hAnsi="Arial"/>
                <w:sz w:val="18"/>
                <w:szCs w:val="18"/>
                <w:color w:val="auto"/>
              </w:rPr>
              <w:t>Dated: August 1, 2023</w:t>
            </w:r>
          </w:p>
        </w:tc>
        <w:tc>
          <w:tcPr>
            <w:tcW w:w="7560" w:type="dxa"/>
            <w:vAlign w:val="bottom"/>
            <w:gridSpan w:val="2"/>
          </w:tcPr>
          <w:p>
            <w:pPr>
              <w:ind w:left="1940"/>
              <w:spacing w:after="0"/>
              <w:rPr>
                <w:sz w:val="20"/>
                <w:szCs w:val="20"/>
                <w:color w:val="auto"/>
              </w:rPr>
            </w:pPr>
            <w:r>
              <w:rPr>
                <w:rFonts w:ascii="Arial" w:cs="Arial" w:eastAsia="Arial" w:hAnsi="Arial"/>
                <w:sz w:val="18"/>
                <w:szCs w:val="18"/>
                <w:b w:val="1"/>
                <w:bCs w:val="1"/>
                <w:color w:val="auto"/>
              </w:rPr>
              <w:t>CCC INTELLIGENT SOLUTIONS HOLDINGS INC.</w:t>
            </w:r>
          </w:p>
        </w:tc>
        <w:tc>
          <w:tcPr>
            <w:tcW w:w="100" w:type="dxa"/>
            <w:vAlign w:val="bottom"/>
          </w:tcPr>
          <w:p>
            <w:pPr>
              <w:spacing w:after="0"/>
              <w:rPr>
                <w:sz w:val="20"/>
                <w:szCs w:val="20"/>
                <w:color w:val="auto"/>
              </w:rPr>
            </w:pPr>
          </w:p>
        </w:tc>
      </w:tr>
      <w:tr>
        <w:trPr>
          <w:trHeight w:val="463"/>
        </w:trPr>
        <w:tc>
          <w:tcPr>
            <w:tcW w:w="358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Githesh Ramamurthy</w:t>
            </w:r>
          </w:p>
        </w:tc>
        <w:tc>
          <w:tcPr>
            <w:tcW w:w="100" w:type="dxa"/>
            <w:vAlign w:val="bottom"/>
          </w:tcPr>
          <w:p>
            <w:pPr>
              <w:spacing w:after="0"/>
              <w:rPr>
                <w:sz w:val="24"/>
                <w:szCs w:val="24"/>
                <w:color w:val="auto"/>
              </w:rPr>
            </w:pPr>
          </w:p>
        </w:tc>
      </w:tr>
      <w:tr>
        <w:trPr>
          <w:trHeight w:val="214"/>
        </w:trPr>
        <w:tc>
          <w:tcPr>
            <w:tcW w:w="3580" w:type="dxa"/>
            <w:vAlign w:val="bottom"/>
          </w:tcPr>
          <w:p>
            <w:pPr>
              <w:spacing w:after="0"/>
              <w:rPr>
                <w:sz w:val="18"/>
                <w:szCs w:val="18"/>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Githesh Ramamurthy</w:t>
            </w:r>
          </w:p>
        </w:tc>
        <w:tc>
          <w:tcPr>
            <w:tcW w:w="100" w:type="dxa"/>
            <w:vAlign w:val="bottom"/>
          </w:tcPr>
          <w:p>
            <w:pPr>
              <w:spacing w:after="0"/>
              <w:rPr>
                <w:sz w:val="18"/>
                <w:szCs w:val="18"/>
                <w:color w:val="auto"/>
              </w:rPr>
            </w:pPr>
          </w:p>
        </w:tc>
      </w:tr>
      <w:tr>
        <w:trPr>
          <w:trHeight w:val="215"/>
        </w:trPr>
        <w:tc>
          <w:tcPr>
            <w:tcW w:w="3580" w:type="dxa"/>
            <w:vAlign w:val="bottom"/>
          </w:tcPr>
          <w:p>
            <w:pPr>
              <w:spacing w:after="0"/>
              <w:rPr>
                <w:sz w:val="18"/>
                <w:szCs w:val="18"/>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w w:val="98"/>
              </w:rPr>
              <w:t>Chief Executive Officer and Chairman of the Board of Directors</w:t>
            </w:r>
          </w:p>
        </w:tc>
        <w:tc>
          <w:tcPr>
            <w:tcW w:w="100" w:type="dxa"/>
            <w:vAlign w:val="bottom"/>
          </w:tcPr>
          <w:p>
            <w:pPr>
              <w:spacing w:after="0"/>
              <w:rPr>
                <w:sz w:val="18"/>
                <w:szCs w:val="18"/>
                <w:color w:val="auto"/>
              </w:rPr>
            </w:pPr>
          </w:p>
        </w:tc>
      </w:tr>
      <w:tr>
        <w:trPr>
          <w:trHeight w:val="230"/>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r>
      <w:tr>
        <w:trPr>
          <w:trHeight w:val="443"/>
        </w:trPr>
        <w:tc>
          <w:tcPr>
            <w:tcW w:w="3580" w:type="dxa"/>
            <w:vAlign w:val="bottom"/>
          </w:tcPr>
          <w:p>
            <w:pPr>
              <w:ind w:left="20"/>
              <w:spacing w:after="0"/>
              <w:rPr>
                <w:sz w:val="20"/>
                <w:szCs w:val="20"/>
                <w:color w:val="auto"/>
              </w:rPr>
            </w:pPr>
            <w:r>
              <w:rPr>
                <w:rFonts w:ascii="Arial" w:cs="Arial" w:eastAsia="Arial" w:hAnsi="Arial"/>
                <w:sz w:val="18"/>
                <w:szCs w:val="18"/>
                <w:color w:val="auto"/>
              </w:rPr>
              <w:t>Dated: August 1, 2023</w:t>
            </w:r>
          </w:p>
        </w:tc>
        <w:tc>
          <w:tcPr>
            <w:tcW w:w="26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3"/>
        </w:trPr>
        <w:tc>
          <w:tcPr>
            <w:tcW w:w="358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Herb</w:t>
            </w:r>
          </w:p>
        </w:tc>
        <w:tc>
          <w:tcPr>
            <w:tcW w:w="100" w:type="dxa"/>
            <w:vAlign w:val="bottom"/>
          </w:tcPr>
          <w:p>
            <w:pPr>
              <w:spacing w:after="0"/>
              <w:rPr>
                <w:sz w:val="24"/>
                <w:szCs w:val="24"/>
                <w:color w:val="auto"/>
              </w:rPr>
            </w:pPr>
          </w:p>
        </w:tc>
      </w:tr>
      <w:tr>
        <w:trPr>
          <w:trHeight w:val="214"/>
        </w:trPr>
        <w:tc>
          <w:tcPr>
            <w:tcW w:w="3580" w:type="dxa"/>
            <w:vAlign w:val="bottom"/>
          </w:tcPr>
          <w:p>
            <w:pPr>
              <w:spacing w:after="0"/>
              <w:rPr>
                <w:sz w:val="18"/>
                <w:szCs w:val="18"/>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Brian Herb</w:t>
            </w:r>
          </w:p>
        </w:tc>
        <w:tc>
          <w:tcPr>
            <w:tcW w:w="100" w:type="dxa"/>
            <w:vAlign w:val="bottom"/>
          </w:tcPr>
          <w:p>
            <w:pPr>
              <w:spacing w:after="0"/>
              <w:rPr>
                <w:sz w:val="18"/>
                <w:szCs w:val="18"/>
                <w:color w:val="auto"/>
              </w:rPr>
            </w:pPr>
          </w:p>
        </w:tc>
      </w:tr>
      <w:tr>
        <w:trPr>
          <w:trHeight w:val="215"/>
        </w:trPr>
        <w:tc>
          <w:tcPr>
            <w:tcW w:w="3580" w:type="dxa"/>
            <w:vAlign w:val="bottom"/>
          </w:tcPr>
          <w:p>
            <w:pPr>
              <w:spacing w:after="0"/>
              <w:rPr>
                <w:sz w:val="18"/>
                <w:szCs w:val="18"/>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Chief Financial and Administrative</w:t>
            </w:r>
          </w:p>
        </w:tc>
        <w:tc>
          <w:tcPr>
            <w:tcW w:w="100" w:type="dxa"/>
            <w:vAlign w:val="bottom"/>
          </w:tcPr>
          <w:p>
            <w:pPr>
              <w:spacing w:after="0"/>
              <w:rPr>
                <w:sz w:val="18"/>
                <w:szCs w:val="18"/>
                <w:color w:val="auto"/>
              </w:rPr>
            </w:pPr>
          </w:p>
        </w:tc>
      </w:tr>
      <w:tr>
        <w:trPr>
          <w:trHeight w:val="215"/>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18"/>
                <w:szCs w:val="18"/>
                <w:color w:val="auto"/>
              </w:rPr>
            </w:pPr>
          </w:p>
        </w:tc>
      </w:tr>
      <w:tr>
        <w:trPr>
          <w:trHeight w:val="230"/>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19"/>
                <w:szCs w:val="19"/>
                <w:color w:val="auto"/>
              </w:rPr>
            </w:pPr>
          </w:p>
        </w:tc>
      </w:tr>
      <w:tr>
        <w:trPr>
          <w:trHeight w:val="645"/>
        </w:trPr>
        <w:tc>
          <w:tcPr>
            <w:tcW w:w="358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47</w:t>
            </w: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358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21"/>
          <w:szCs w:val="21"/>
          <w:b w:val="1"/>
          <w:bCs w:val="1"/>
          <w:color w:val="auto"/>
        </w:rPr>
        <w:t>Exhibit 10.1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1 TO CREDIT AGREEMENT</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THIS AMENDMENT NO. 1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May 19, 2023, is entered into by and between CCC INTELLIGENT SOLUTIONS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WHEREAS, the Borrower, Cypress Intermediate Holdings II, Inc.,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the Lenders and Issuing Banks from time to time party thereto, and the Administrative Agent, have entered into that certain Credit Agreement dated as of September 21, 2021 (as amended,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and</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of the Credit Agreement, the Administrative Agent and the Borrower may amend the Credit Agreement to replace the LIBO Rate with Term SOFR from the Amendment No. 1 Effective Date (as defined below) and make other Successor Rate Conforming Changes to the Credit Agreement as set forth in this Amendment.</w:t>
      </w:r>
    </w:p>
    <w:p>
      <w:pPr>
        <w:spacing w:after="0" w:line="18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NOW, THEREFORE, in accordance with the terms of the Credit Agreement, this Amendment is entered into by the Administrative Agent and the Borrower:</w:t>
      </w:r>
    </w:p>
    <w:p>
      <w:pPr>
        <w:spacing w:after="0" w:line="177" w:lineRule="exact"/>
        <w:rPr>
          <w:sz w:val="20"/>
          <w:szCs w:val="20"/>
          <w:color w:val="auto"/>
        </w:rPr>
      </w:pPr>
    </w:p>
    <w:p>
      <w:pPr>
        <w:ind w:firstLine="756"/>
        <w:spacing w:after="0" w:line="258" w:lineRule="auto"/>
        <w:tabs>
          <w:tab w:leader="none" w:pos="1183"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 or the Amended Credit Agreement, as applicable.</w:t>
      </w:r>
    </w:p>
    <w:p>
      <w:pPr>
        <w:spacing w:after="0" w:line="177" w:lineRule="exact"/>
        <w:rPr>
          <w:rFonts w:ascii="Arial" w:cs="Arial" w:eastAsia="Arial" w:hAnsi="Arial"/>
          <w:sz w:val="20"/>
          <w:szCs w:val="20"/>
          <w:color w:val="auto"/>
        </w:rPr>
      </w:pPr>
    </w:p>
    <w:p>
      <w:pPr>
        <w:ind w:left="1180" w:hanging="424"/>
        <w:spacing w:after="0"/>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Subject to the occurrence of the Amendment No. 1 Effective Date:</w:t>
      </w:r>
    </w:p>
    <w:p>
      <w:pPr>
        <w:spacing w:after="0" w:line="213" w:lineRule="exact"/>
        <w:rPr>
          <w:rFonts w:ascii="Arial" w:cs="Arial" w:eastAsia="Arial" w:hAnsi="Arial"/>
          <w:sz w:val="20"/>
          <w:szCs w:val="20"/>
          <w:color w:val="auto"/>
        </w:rPr>
      </w:pPr>
    </w:p>
    <w:p>
      <w:pPr>
        <w:jc w:val="both"/>
        <w:ind w:left="760" w:firstLine="745"/>
        <w:spacing w:after="0" w:line="245" w:lineRule="auto"/>
        <w:tabs>
          <w:tab w:leader="none" w:pos="20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 xml:space="preserve">Each of the parties hereto agrees that, effective on the Amendment No. 1 Effective Date, the Credit Agreement shall be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89" w:lineRule="exact"/>
        <w:rPr>
          <w:rFonts w:ascii="Arial" w:cs="Arial" w:eastAsia="Arial" w:hAnsi="Arial"/>
          <w:sz w:val="20"/>
          <w:szCs w:val="20"/>
          <w:color w:val="auto"/>
        </w:rPr>
      </w:pPr>
    </w:p>
    <w:p>
      <w:pPr>
        <w:jc w:val="both"/>
        <w:ind w:left="760" w:firstLine="745"/>
        <w:spacing w:after="0" w:line="245" w:lineRule="auto"/>
        <w:tabs>
          <w:tab w:leader="none" w:pos="20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 xml:space="preserve">The exhibits to the Credit Agreement are, effective as of the Amendment No. 1 Effective Date, hereby amended to amend and restate Exhibit B, the Form of Borrowing Request, in the form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(for the avoidance of doubt, all other exhibits to the Credit Agreement will remain in full force and effect in the form attached to the Credit Agreement on the Closing Date).</w:t>
      </w:r>
    </w:p>
    <w:p>
      <w:pPr>
        <w:spacing w:after="0" w:line="189" w:lineRule="exact"/>
        <w:rPr>
          <w:rFonts w:ascii="Arial" w:cs="Arial" w:eastAsia="Arial" w:hAnsi="Arial"/>
          <w:sz w:val="20"/>
          <w:szCs w:val="20"/>
          <w:color w:val="auto"/>
        </w:rPr>
      </w:pPr>
    </w:p>
    <w:p>
      <w:pPr>
        <w:jc w:val="both"/>
        <w:ind w:left="760" w:firstLine="745"/>
        <w:spacing w:after="0"/>
        <w:tabs>
          <w:tab w:leader="none" w:pos="20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Notwithstanding anything herein, in the Credit Agreement or any other Loan Document to the contrary, the Loans outstanding on the Amendment No. 1 Effective Date immediately prior to giving effect to this Amendment (the “</w:t>
      </w:r>
      <w:r>
        <w:rPr>
          <w:rFonts w:ascii="Arial" w:cs="Arial" w:eastAsia="Arial" w:hAnsi="Arial"/>
          <w:sz w:val="20"/>
          <w:szCs w:val="20"/>
          <w:u w:val="single" w:color="auto"/>
          <w:color w:val="auto"/>
        </w:rPr>
        <w:t>Existing Loans</w:t>
      </w:r>
      <w:r>
        <w:rPr>
          <w:rFonts w:ascii="Arial" w:cs="Arial" w:eastAsia="Arial" w:hAnsi="Arial"/>
          <w:sz w:val="20"/>
          <w:szCs w:val="20"/>
          <w:color w:val="auto"/>
        </w:rPr>
        <w:t>”) shall bear interest at the Applicable Rate plus the LIBO Rate (in each case as such term is used in this clause, as defined in the Credit Agreement immediately prior to giving effect this Amendment) for the applicable Interest Period in effect immediately prior to giving effect to this Amendment on such LIBO Rate Loans (the applicable Interest Period for such Existing Loans, each an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Interest Period</w:t>
      </w:r>
      <w:r>
        <w:rPr>
          <w:rFonts w:ascii="Arial" w:cs="Arial" w:eastAsia="Arial" w:hAnsi="Arial"/>
          <w:sz w:val="20"/>
          <w:szCs w:val="20"/>
          <w:color w:val="auto"/>
        </w:rPr>
        <w:t>”) until such time as the applicable Existing Interest Period has expired. Immediately after the applicable Existing Interest Period has expired, the applicable Existing Loans will no longer accrue interest based on the LIBO Rate and shall be automatically converted to SOFR Loans with an Interest Period of one (1) month. For the avoidance of doubt, new LIBO Rate Loans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330200</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both"/>
        <w:ind w:left="760"/>
        <w:spacing w:after="0" w:line="267" w:lineRule="auto"/>
        <w:rPr>
          <w:sz w:val="20"/>
          <w:szCs w:val="20"/>
          <w:color w:val="auto"/>
        </w:rPr>
      </w:pPr>
      <w:r>
        <w:rPr>
          <w:rFonts w:ascii="Arial" w:cs="Arial" w:eastAsia="Arial" w:hAnsi="Arial"/>
          <w:sz w:val="19"/>
          <w:szCs w:val="19"/>
          <w:color w:val="auto"/>
        </w:rPr>
        <w:t>available under the Credit Agreement (as amended by this Amendment) as of the Amendment No. 1 Effective Date. For the avoidance of doubt, all accrued and unpaid interest prior to the Amendment No. 1 Effective Date in respect of the LIBO Rate Loans shall be paid on the upcoming Interest Payment Date in accordance with Section 2.13 of the Credit Agreement.</w:t>
      </w:r>
    </w:p>
    <w:p>
      <w:pPr>
        <w:spacing w:after="0" w:line="171" w:lineRule="exact"/>
        <w:rPr>
          <w:sz w:val="20"/>
          <w:szCs w:val="20"/>
          <w:color w:val="auto"/>
        </w:rPr>
      </w:pPr>
    </w:p>
    <w:p>
      <w:pPr>
        <w:ind w:firstLine="756"/>
        <w:spacing w:after="0" w:line="258" w:lineRule="auto"/>
        <w:tabs>
          <w:tab w:leader="none" w:pos="118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Conflict with Loan Documents</w:t>
      </w:r>
      <w:r>
        <w:rPr>
          <w:rFonts w:ascii="Arial" w:cs="Arial" w:eastAsia="Arial" w:hAnsi="Arial"/>
          <w:sz w:val="20"/>
          <w:szCs w:val="20"/>
          <w:color w:val="auto"/>
        </w:rPr>
        <w:t>. In the event of any conflict between the terms of this Amendment and the terms of the Credit Agreement or the other Loan Documents, the terms hereof shall control.</w:t>
      </w:r>
    </w:p>
    <w:p>
      <w:pPr>
        <w:spacing w:after="0" w:line="177" w:lineRule="exact"/>
        <w:rPr>
          <w:rFonts w:ascii="Arial" w:cs="Arial" w:eastAsia="Arial" w:hAnsi="Arial"/>
          <w:sz w:val="20"/>
          <w:szCs w:val="20"/>
          <w:color w:val="auto"/>
        </w:rPr>
      </w:pPr>
    </w:p>
    <w:p>
      <w:pPr>
        <w:ind w:right="160" w:firstLine="756"/>
        <w:spacing w:after="0" w:line="258" w:lineRule="auto"/>
        <w:tabs>
          <w:tab w:leader="none" w:pos="118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on the first date on which the following conditions are satisfied (such date being referred to as the “</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w:t>
      </w:r>
    </w:p>
    <w:p>
      <w:pPr>
        <w:spacing w:after="0" w:line="177" w:lineRule="exact"/>
        <w:rPr>
          <w:sz w:val="20"/>
          <w:szCs w:val="20"/>
          <w:color w:val="auto"/>
        </w:rPr>
      </w:pPr>
    </w:p>
    <w:p>
      <w:pPr>
        <w:jc w:val="both"/>
        <w:ind w:firstLine="756"/>
        <w:spacing w:after="0" w:line="289"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the Borrower either (x) a counterpart of this Amendment signed on behalf of such party or (y) written evidence reasonably satisfactory to the Administrative Agent (which may include telecopy or electronic transmission of a signed signature page of this Amendment) that such party has signed a counterpart of this Amendment;</w:t>
      </w:r>
    </w:p>
    <w:p>
      <w:pPr>
        <w:spacing w:after="0" w:line="152" w:lineRule="exact"/>
        <w:rPr>
          <w:rFonts w:ascii="Arial" w:cs="Arial" w:eastAsia="Arial" w:hAnsi="Arial"/>
          <w:sz w:val="18"/>
          <w:szCs w:val="18"/>
          <w:color w:val="auto"/>
        </w:rPr>
      </w:pPr>
    </w:p>
    <w:p>
      <w:pPr>
        <w:jc w:val="both"/>
        <w:ind w:firstLine="756"/>
        <w:spacing w:after="0" w:line="243" w:lineRule="auto"/>
        <w:tabs>
          <w:tab w:leader="none" w:pos="1197"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Administrative Agent shall not have received a written objection to the SOFR Adjustment, prior to 5:00 p.m. (New York City time) on the fifth (5th) Business Day after the Administrative Agent shall have posted this Amendment to all Lenders and the Borrower of the circumstances described in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of the Credit Agreement, that such Required Lenders object to the SOFR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Required Lenders shall not be entitled to object to any SOFR-Based Rate contained in the Amendment; and</w:t>
      </w:r>
    </w:p>
    <w:p>
      <w:pPr>
        <w:spacing w:after="0" w:line="192" w:lineRule="exact"/>
        <w:rPr>
          <w:rFonts w:ascii="Arial" w:cs="Arial" w:eastAsia="Arial" w:hAnsi="Arial"/>
          <w:sz w:val="20"/>
          <w:szCs w:val="20"/>
          <w:color w:val="auto"/>
        </w:rPr>
      </w:pPr>
    </w:p>
    <w:p>
      <w:pPr>
        <w:jc w:val="both"/>
        <w:ind w:firstLine="756"/>
        <w:spacing w:after="0" w:line="248" w:lineRule="auto"/>
        <w:tabs>
          <w:tab w:leader="none" w:pos="1186"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payment for all reasonable and documented and invoiced out-of-pocket costs and expenses required to be paid or reimbursed under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of the Amended Credit Agreement on or prior to the Amendment No. 1 Effective Date.</w:t>
      </w:r>
    </w:p>
    <w:p>
      <w:pPr>
        <w:spacing w:after="0" w:line="187" w:lineRule="exact"/>
        <w:rPr>
          <w:sz w:val="20"/>
          <w:szCs w:val="20"/>
          <w:color w:val="auto"/>
        </w:rPr>
      </w:pPr>
    </w:p>
    <w:p>
      <w:pPr>
        <w:ind w:left="1180" w:hanging="424"/>
        <w:spacing w:after="0"/>
        <w:tabs>
          <w:tab w:leader="none" w:pos="118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760" w:firstLine="745"/>
        <w:spacing w:after="0" w:line="314" w:lineRule="auto"/>
        <w:tabs>
          <w:tab w:leader="none" w:pos="20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Amendment is a Loan Document executed pursuant to the Credit Agreement and shall (unless otherwise expressly indicated herein) be construed, administered and applied in accordance with the terms and provisions thereof.</w:t>
      </w:r>
    </w:p>
    <w:p>
      <w:pPr>
        <w:spacing w:after="0" w:line="130" w:lineRule="exact"/>
        <w:rPr>
          <w:rFonts w:ascii="Arial" w:cs="Arial" w:eastAsia="Arial" w:hAnsi="Arial"/>
          <w:sz w:val="18"/>
          <w:szCs w:val="18"/>
          <w:color w:val="auto"/>
        </w:rPr>
      </w:pPr>
    </w:p>
    <w:p>
      <w:pPr>
        <w:jc w:val="both"/>
        <w:ind w:left="760" w:firstLine="745"/>
        <w:spacing w:after="0" w:line="273" w:lineRule="auto"/>
        <w:tabs>
          <w:tab w:leader="none" w:pos="20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165" w:lineRule="exact"/>
        <w:rPr>
          <w:rFonts w:ascii="Arial" w:cs="Arial" w:eastAsia="Arial" w:hAnsi="Arial"/>
          <w:sz w:val="18"/>
          <w:szCs w:val="18"/>
          <w:color w:val="auto"/>
        </w:rPr>
      </w:pPr>
    </w:p>
    <w:p>
      <w:pPr>
        <w:jc w:val="both"/>
        <w:ind w:left="760" w:firstLine="745"/>
        <w:spacing w:after="0" w:line="262" w:lineRule="auto"/>
        <w:tabs>
          <w:tab w:leader="none" w:pos="2048" w:val="left"/>
        </w:tabs>
        <w:numPr>
          <w:ilvl w:val="1"/>
          <w:numId w:val="37"/>
        </w:numPr>
        <w:rPr>
          <w:rFonts w:ascii="Arial" w:cs="Arial" w:eastAsia="Arial" w:hAnsi="Arial"/>
          <w:sz w:val="19"/>
          <w:szCs w:val="19"/>
          <w:color w:val="auto"/>
        </w:rPr>
      </w:pPr>
      <w:r>
        <w:rPr>
          <w:rFonts w:ascii="Arial" w:cs="Arial" w:eastAsia="Arial" w:hAnsi="Arial"/>
          <w:sz w:val="19"/>
          <w:szCs w:val="19"/>
          <w:color w:val="auto"/>
        </w:rPr>
        <w:t>Any provision of this Amendment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71583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0" w:name="page51"/>
    <w:bookmarkEnd w:id="50"/>
    <w:p>
      <w:pPr>
        <w:ind w:left="-360" w:firstLine="745"/>
        <w:spacing w:after="0" w:line="258" w:lineRule="auto"/>
        <w:tabs>
          <w:tab w:leader="none" w:pos="928"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terms of the Credit Agreement with respect to governing law, submission to jurisdiction, waiver of venue and waiver of jury trial are 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77"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55245</wp:posOffset>
            </wp:positionV>
            <wp:extent cx="71583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51" w:name="page52"/>
    <w:bookmarkEnd w:id="51"/>
    <w:p>
      <w:pPr>
        <w:ind w:firstLine="1498"/>
        <w:spacing w:after="0" w:line="258" w:lineRule="auto"/>
        <w:rPr>
          <w:sz w:val="20"/>
          <w:szCs w:val="20"/>
          <w:color w:val="auto"/>
        </w:rPr>
      </w:pPr>
      <w:r>
        <w:rPr>
          <w:rFonts w:ascii="Arial" w:cs="Arial" w:eastAsia="Arial" w:hAnsi="Arial"/>
          <w:sz w:val="20"/>
          <w:szCs w:val="20"/>
          <w:color w:val="auto"/>
        </w:rPr>
        <w:t>IN WITNESS WHEREOF, the parties hereto have caused this Amendment to be executed and delivered by their respective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76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CCC INTELLIGENT SOLUTIONS INC.</w:t>
      </w:r>
    </w:p>
    <w:p>
      <w:pPr>
        <w:spacing w:after="0" w:line="32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-15240</wp:posOffset>
            </wp:positionV>
            <wp:extent cx="187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Brian Herb</w:t>
      </w:r>
    </w:p>
    <w:p>
      <w:pPr>
        <w:ind w:left="37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2960" w:type="dxa"/>
            <w:vAlign w:val="bottom"/>
            <w:gridSpan w:val="3"/>
          </w:tcPr>
          <w:p>
            <w:pPr>
              <w:ind w:left="260"/>
              <w:spacing w:after="0"/>
              <w:rPr>
                <w:sz w:val="20"/>
                <w:szCs w:val="20"/>
                <w:color w:val="auto"/>
              </w:rPr>
            </w:pPr>
            <w:r>
              <w:rPr>
                <w:rFonts w:ascii="Arial" w:cs="Arial" w:eastAsia="Arial" w:hAnsi="Arial"/>
                <w:sz w:val="20"/>
                <w:szCs w:val="20"/>
                <w:color w:val="auto"/>
              </w:rPr>
              <w:t>BANK OF AMERICA, N.A.,</w:t>
            </w:r>
          </w:p>
        </w:tc>
      </w:tr>
      <w:tr>
        <w:trPr>
          <w:trHeight w:val="253"/>
        </w:trPr>
        <w:tc>
          <w:tcPr>
            <w:tcW w:w="23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960" w:type="dxa"/>
            <w:vAlign w:val="bottom"/>
            <w:gridSpan w:val="3"/>
          </w:tcPr>
          <w:p>
            <w:pPr>
              <w:ind w:left="1060"/>
              <w:spacing w:after="0"/>
              <w:rPr>
                <w:sz w:val="20"/>
                <w:szCs w:val="20"/>
                <w:color w:val="auto"/>
              </w:rPr>
            </w:pPr>
            <w:r>
              <w:rPr>
                <w:rFonts w:ascii="Arial" w:cs="Arial" w:eastAsia="Arial" w:hAnsi="Arial"/>
                <w:sz w:val="20"/>
                <w:szCs w:val="20"/>
                <w:color w:val="auto"/>
                <w:w w:val="89"/>
              </w:rPr>
              <w:t>as Administrative Agent</w:t>
            </w:r>
          </w:p>
        </w:tc>
      </w:tr>
      <w:tr>
        <w:trPr>
          <w:trHeight w:val="506"/>
        </w:trPr>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3"/>
          </w:tcPr>
          <w:p>
            <w:pPr>
              <w:ind w:left="1060"/>
              <w:spacing w:after="0"/>
              <w:rPr>
                <w:sz w:val="20"/>
                <w:szCs w:val="20"/>
                <w:color w:val="auto"/>
              </w:rPr>
            </w:pPr>
            <w:r>
              <w:rPr>
                <w:rFonts w:ascii="Arial" w:cs="Arial" w:eastAsia="Arial" w:hAnsi="Arial"/>
                <w:sz w:val="20"/>
                <w:szCs w:val="20"/>
                <w:color w:val="auto"/>
              </w:rPr>
              <w:t>By: /s/ Angela Larkin</w:t>
            </w:r>
          </w:p>
        </w:tc>
      </w:tr>
      <w:tr>
        <w:trPr>
          <w:trHeight w:val="20"/>
        </w:trPr>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3"/>
          </w:tcPr>
          <w:p>
            <w:pPr>
              <w:ind w:left="1060"/>
              <w:spacing w:after="0"/>
              <w:rPr>
                <w:sz w:val="20"/>
                <w:szCs w:val="20"/>
                <w:color w:val="auto"/>
              </w:rPr>
            </w:pPr>
            <w:r>
              <w:rPr>
                <w:rFonts w:ascii="Arial" w:cs="Arial" w:eastAsia="Arial" w:hAnsi="Arial"/>
                <w:sz w:val="20"/>
                <w:szCs w:val="20"/>
                <w:color w:val="auto"/>
              </w:rPr>
              <w:t>Name: Angela Larkin</w:t>
            </w:r>
          </w:p>
        </w:tc>
      </w:tr>
      <w:tr>
        <w:trPr>
          <w:trHeight w:val="250"/>
        </w:trPr>
        <w:tc>
          <w:tcPr>
            <w:tcW w:w="2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3"/>
          </w:tcPr>
          <w:p>
            <w:pPr>
              <w:ind w:left="106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1"/>
          <w:szCs w:val="21"/>
          <w:u w:val="single" w:color="auto"/>
          <w:color w:val="auto"/>
        </w:rPr>
        <w:t>EXHIBIT A</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Amended Credit Agreement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717550</wp:posOffset>
            </wp:positionV>
            <wp:extent cx="71583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Published Deal CUSIP: 12511BAA0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Published Revolver CUSIP: 12511BAB8</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Published Term Loan CUSIP: 12511BAC6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414655</wp:posOffset>
            </wp:positionV>
            <wp:extent cx="71329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431800</wp:posOffset>
            </wp:positionV>
            <wp:extent cx="71329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CREDIT AGREEMENT</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xml:space="preserve">Dated as of September 21, </w:t>
      </w:r>
      <w:r>
        <w:rPr>
          <w:rFonts w:ascii="Arial" w:cs="Arial" w:eastAsia="Arial" w:hAnsi="Arial"/>
          <w:sz w:val="18"/>
          <w:szCs w:val="18"/>
          <w:color w:val="FF0000"/>
          <w:strike w:val="1"/>
        </w:rPr>
        <w:t>2021</w:t>
      </w:r>
      <w:r>
        <w:rPr>
          <w:rFonts w:ascii="Arial" w:cs="Arial" w:eastAsia="Arial" w:hAnsi="Arial"/>
          <w:sz w:val="18"/>
          <w:szCs w:val="18"/>
          <w:color w:val="0000FF"/>
        </w:rPr>
        <w:t>2021</w:t>
      </w:r>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0000FF"/>
        </w:rPr>
        <w:t>as amended by Amendment No. 1, dated as of May 19,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38" w:lineRule="exact"/>
        <w:rPr>
          <w:sz w:val="20"/>
          <w:szCs w:val="20"/>
          <w:color w:val="auto"/>
        </w:rPr>
      </w:pPr>
    </w:p>
    <w:p>
      <w:pPr>
        <w:ind w:left="4680" w:right="4100" w:hanging="939"/>
        <w:spacing w:after="0" w:line="275" w:lineRule="auto"/>
        <w:tabs>
          <w:tab w:leader="none" w:pos="41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INTELLIGENT SOLUTIONS INC., as the Borrower,</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CYPRESS INTERMEDIATE HOLDINGS II, INC.,</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Holdings,</w:t>
      </w:r>
    </w:p>
    <w:p>
      <w:pPr>
        <w:spacing w:after="0" w:line="20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Lenders and Issuing Banks,</w:t>
      </w:r>
    </w:p>
    <w:p>
      <w:pPr>
        <w:spacing w:after="0" w:line="20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Administrative Agent and Swingline Lender,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JPMORGAN CHASE BANK, N.A.,</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GOLDMAN SACHS BANK USA,</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CITIBANK, N.A.,</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BARCLAYS BANK PLC,</w:t>
      </w:r>
    </w:p>
    <w:p>
      <w:pPr>
        <w:spacing w:after="0" w:line="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CREDIT SUISSE LOAN FUNDING LLC,</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JEFFERIES FINANCE LLC, and</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MORGAN STANLEY SENIOR FUNDING, INC.</w:t>
      </w:r>
    </w:p>
    <w:p>
      <w:pPr>
        <w:spacing w:after="0" w:line="31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372745</wp:posOffset>
            </wp:positionV>
            <wp:extent cx="71329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389890</wp:posOffset>
            </wp:positionV>
            <wp:extent cx="71329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965835</wp:posOffset>
            </wp:positionV>
            <wp:extent cx="71583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9"/>
        </w:trPr>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gridSpan w:val="14"/>
          </w:tcPr>
          <w:p>
            <w:pPr>
              <w:jc w:val="center"/>
              <w:ind w:right="4560"/>
              <w:spacing w:after="0"/>
              <w:rPr>
                <w:sz w:val="20"/>
                <w:szCs w:val="20"/>
                <w:color w:val="auto"/>
              </w:rPr>
            </w:pPr>
            <w:r>
              <w:rPr>
                <w:rFonts w:ascii="Arial" w:cs="Arial" w:eastAsia="Arial" w:hAnsi="Arial"/>
                <w:sz w:val="18"/>
                <w:szCs w:val="18"/>
                <w:b w:val="1"/>
                <w:bCs w:val="1"/>
                <w:color w:val="auto"/>
                <w:w w:val="98"/>
              </w:rPr>
              <w:t>TABLE OF CONTENTS</w:t>
            </w:r>
          </w:p>
        </w:tc>
      </w:tr>
      <w:tr>
        <w:trPr>
          <w:trHeight w:val="189"/>
        </w:trPr>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20" w:type="dxa"/>
            <w:vAlign w:val="bottom"/>
            <w:gridSpan w:val="2"/>
          </w:tcPr>
          <w:p>
            <w:pPr>
              <w:ind w:left="4280"/>
              <w:spacing w:after="0" w:line="189" w:lineRule="exact"/>
              <w:rPr>
                <w:sz w:val="20"/>
                <w:szCs w:val="20"/>
                <w:color w:val="auto"/>
              </w:rPr>
            </w:pPr>
            <w:r>
              <w:rPr>
                <w:rFonts w:ascii="Arial" w:cs="Arial" w:eastAsia="Arial" w:hAnsi="Arial"/>
                <w:sz w:val="18"/>
                <w:szCs w:val="18"/>
                <w:color w:val="auto"/>
                <w:w w:val="76"/>
              </w:rPr>
              <w:t>Page</w:t>
            </w:r>
          </w:p>
        </w:tc>
      </w:tr>
      <w:tr>
        <w:trPr>
          <w:trHeight w:val="558"/>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tcPr>
          <w:p>
            <w:pPr>
              <w:jc w:val="center"/>
              <w:ind w:right="4670"/>
              <w:spacing w:after="0"/>
              <w:rPr>
                <w:sz w:val="20"/>
                <w:szCs w:val="20"/>
                <w:color w:val="auto"/>
              </w:rPr>
            </w:pPr>
            <w:r>
              <w:rPr>
                <w:rFonts w:ascii="Arial" w:cs="Arial" w:eastAsia="Arial" w:hAnsi="Arial"/>
                <w:sz w:val="18"/>
                <w:szCs w:val="18"/>
                <w:color w:val="auto"/>
                <w:w w:val="96"/>
              </w:rPr>
              <w:t>ARTICLE 1</w:t>
            </w:r>
          </w:p>
        </w:tc>
        <w:tc>
          <w:tcPr>
            <w:tcW w:w="340" w:type="dxa"/>
            <w:vAlign w:val="bottom"/>
            <w:tcBorders>
              <w:top w:val="single" w:sz="8" w:color="auto"/>
            </w:tcBorders>
          </w:tcPr>
          <w:p>
            <w:pPr>
              <w:spacing w:after="0"/>
              <w:rPr>
                <w:sz w:val="24"/>
                <w:szCs w:val="24"/>
                <w:color w:val="auto"/>
              </w:rPr>
            </w:pPr>
          </w:p>
        </w:tc>
      </w:tr>
      <w:tr>
        <w:trPr>
          <w:trHeight w:val="430"/>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11"/>
          </w:tcPr>
          <w:p>
            <w:pPr>
              <w:jc w:val="center"/>
              <w:ind w:right="5000"/>
              <w:spacing w:after="0"/>
              <w:rPr>
                <w:sz w:val="20"/>
                <w:szCs w:val="20"/>
                <w:color w:val="auto"/>
              </w:rPr>
            </w:pPr>
            <w:r>
              <w:rPr>
                <w:rFonts w:ascii="Arial" w:cs="Arial" w:eastAsia="Arial" w:hAnsi="Arial"/>
                <w:sz w:val="18"/>
                <w:szCs w:val="18"/>
                <w:color w:val="auto"/>
                <w:w w:val="98"/>
              </w:rPr>
              <w:t>DEFINITIONS</w:t>
            </w:r>
          </w:p>
        </w:tc>
      </w:tr>
      <w:tr>
        <w:trPr>
          <w:trHeight w:val="415"/>
        </w:trPr>
        <w:tc>
          <w:tcPr>
            <w:tcW w:w="940" w:type="dxa"/>
            <w:vAlign w:val="bottom"/>
          </w:tcPr>
          <w:p>
            <w:pPr>
              <w:spacing w:after="0"/>
              <w:rPr>
                <w:sz w:val="20"/>
                <w:szCs w:val="20"/>
                <w:color w:val="auto"/>
              </w:rPr>
            </w:pPr>
            <w:r>
              <w:rPr>
                <w:rFonts w:ascii="Arial" w:cs="Arial" w:eastAsia="Arial" w:hAnsi="Arial"/>
                <w:sz w:val="18"/>
                <w:szCs w:val="18"/>
                <w:color w:val="auto"/>
                <w:w w:val="87"/>
              </w:rPr>
              <w:t>Section 1.01.</w:t>
            </w:r>
          </w:p>
        </w:tc>
        <w:tc>
          <w:tcPr>
            <w:tcW w:w="40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8"/>
                <w:szCs w:val="18"/>
                <w:color w:val="auto"/>
                <w:w w:val="88"/>
              </w:rPr>
              <w:t>Defined Terms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9"/>
        </w:trPr>
        <w:tc>
          <w:tcPr>
            <w:tcW w:w="940" w:type="dxa"/>
            <w:vAlign w:val="bottom"/>
          </w:tcPr>
          <w:p>
            <w:pPr>
              <w:spacing w:after="0" w:line="189" w:lineRule="exact"/>
              <w:rPr>
                <w:sz w:val="20"/>
                <w:szCs w:val="20"/>
                <w:color w:val="auto"/>
              </w:rPr>
            </w:pPr>
            <w:r>
              <w:rPr>
                <w:rFonts w:ascii="Arial" w:cs="Arial" w:eastAsia="Arial" w:hAnsi="Arial"/>
                <w:sz w:val="18"/>
                <w:szCs w:val="18"/>
                <w:color w:val="auto"/>
                <w:w w:val="87"/>
              </w:rPr>
              <w:t>Section 1.02.</w:t>
            </w:r>
          </w:p>
        </w:tc>
        <w:tc>
          <w:tcPr>
            <w:tcW w:w="400" w:type="dxa"/>
            <w:vAlign w:val="bottom"/>
          </w:tcPr>
          <w:p>
            <w:pPr>
              <w:spacing w:after="0"/>
              <w:rPr>
                <w:sz w:val="16"/>
                <w:szCs w:val="16"/>
                <w:color w:val="auto"/>
              </w:rPr>
            </w:pPr>
          </w:p>
        </w:tc>
        <w:tc>
          <w:tcPr>
            <w:tcW w:w="2860" w:type="dxa"/>
            <w:vAlign w:val="bottom"/>
            <w:gridSpan w:val="28"/>
          </w:tcPr>
          <w:p>
            <w:pPr>
              <w:spacing w:after="0" w:line="189" w:lineRule="exact"/>
              <w:rPr>
                <w:sz w:val="20"/>
                <w:szCs w:val="20"/>
                <w:color w:val="auto"/>
              </w:rPr>
            </w:pPr>
            <w:r>
              <w:rPr>
                <w:rFonts w:ascii="Arial" w:cs="Arial" w:eastAsia="Arial" w:hAnsi="Arial"/>
                <w:sz w:val="18"/>
                <w:szCs w:val="18"/>
                <w:color w:val="auto"/>
                <w:w w:val="91"/>
              </w:rPr>
              <w:t>Classification of Loans and Borrowings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1.03.</w:t>
            </w:r>
          </w:p>
        </w:tc>
        <w:tc>
          <w:tcPr>
            <w:tcW w:w="400" w:type="dxa"/>
            <w:vAlign w:val="bottom"/>
          </w:tcPr>
          <w:p>
            <w:pPr>
              <w:spacing w:after="0"/>
              <w:rPr>
                <w:sz w:val="16"/>
                <w:szCs w:val="16"/>
                <w:color w:val="auto"/>
              </w:rPr>
            </w:pPr>
          </w:p>
        </w:tc>
        <w:tc>
          <w:tcPr>
            <w:tcW w:w="1420" w:type="dxa"/>
            <w:vAlign w:val="bottom"/>
            <w:gridSpan w:val="10"/>
          </w:tcPr>
          <w:p>
            <w:pPr>
              <w:spacing w:after="0" w:line="195" w:lineRule="exact"/>
              <w:rPr>
                <w:sz w:val="20"/>
                <w:szCs w:val="20"/>
                <w:color w:val="auto"/>
              </w:rPr>
            </w:pPr>
            <w:r>
              <w:rPr>
                <w:rFonts w:ascii="Arial" w:cs="Arial" w:eastAsia="Arial" w:hAnsi="Arial"/>
                <w:sz w:val="18"/>
                <w:szCs w:val="18"/>
                <w:color w:val="auto"/>
              </w:rPr>
              <w:t>Terms Generally</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79"/>
              </w:rPr>
              <w:t>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1.04.</w:t>
            </w:r>
          </w:p>
        </w:tc>
        <w:tc>
          <w:tcPr>
            <w:tcW w:w="400" w:type="dxa"/>
            <w:vAlign w:val="bottom"/>
          </w:tcPr>
          <w:p>
            <w:pPr>
              <w:spacing w:after="0"/>
              <w:rPr>
                <w:sz w:val="16"/>
                <w:szCs w:val="16"/>
                <w:color w:val="auto"/>
              </w:rPr>
            </w:pPr>
          </w:p>
        </w:tc>
        <w:tc>
          <w:tcPr>
            <w:tcW w:w="2140" w:type="dxa"/>
            <w:vAlign w:val="bottom"/>
            <w:gridSpan w:val="19"/>
          </w:tcPr>
          <w:p>
            <w:pPr>
              <w:spacing w:after="0" w:line="195" w:lineRule="exact"/>
              <w:rPr>
                <w:sz w:val="20"/>
                <w:szCs w:val="20"/>
                <w:color w:val="auto"/>
              </w:rPr>
            </w:pPr>
            <w:r>
              <w:rPr>
                <w:rFonts w:ascii="Arial" w:cs="Arial" w:eastAsia="Arial" w:hAnsi="Arial"/>
                <w:sz w:val="18"/>
                <w:szCs w:val="18"/>
                <w:color w:val="auto"/>
              </w:rPr>
              <w:t>Accounting Terms; GAAP</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61</w:t>
            </w:r>
          </w:p>
        </w:tc>
        <w:tc>
          <w:tcPr>
            <w:tcW w:w="18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79"/>
              </w:rPr>
              <w:t>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1.05.</w:t>
            </w:r>
          </w:p>
        </w:tc>
        <w:tc>
          <w:tcPr>
            <w:tcW w:w="400" w:type="dxa"/>
            <w:vAlign w:val="bottom"/>
          </w:tcPr>
          <w:p>
            <w:pPr>
              <w:spacing w:after="0"/>
              <w:rPr>
                <w:sz w:val="16"/>
                <w:szCs w:val="16"/>
                <w:color w:val="auto"/>
              </w:rPr>
            </w:pPr>
          </w:p>
        </w:tc>
        <w:tc>
          <w:tcPr>
            <w:tcW w:w="2140" w:type="dxa"/>
            <w:vAlign w:val="bottom"/>
            <w:gridSpan w:val="19"/>
          </w:tcPr>
          <w:p>
            <w:pPr>
              <w:spacing w:after="0" w:line="195" w:lineRule="exact"/>
              <w:rPr>
                <w:sz w:val="20"/>
                <w:szCs w:val="20"/>
                <w:color w:val="auto"/>
              </w:rPr>
            </w:pPr>
            <w:r>
              <w:rPr>
                <w:rFonts w:ascii="Arial" w:cs="Arial" w:eastAsia="Arial" w:hAnsi="Arial"/>
                <w:sz w:val="18"/>
                <w:szCs w:val="18"/>
                <w:color w:val="auto"/>
                <w:w w:val="94"/>
              </w:rPr>
              <w:t>Effectuation of Transactions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62</w:t>
            </w:r>
          </w:p>
        </w:tc>
        <w:tc>
          <w:tcPr>
            <w:tcW w:w="18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79"/>
              </w:rPr>
              <w:t>59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1.06.</w:t>
            </w:r>
          </w:p>
        </w:tc>
        <w:tc>
          <w:tcPr>
            <w:tcW w:w="400" w:type="dxa"/>
            <w:vAlign w:val="bottom"/>
          </w:tcPr>
          <w:p>
            <w:pPr>
              <w:spacing w:after="0"/>
              <w:rPr>
                <w:sz w:val="16"/>
                <w:szCs w:val="16"/>
                <w:color w:val="auto"/>
              </w:rPr>
            </w:pPr>
          </w:p>
        </w:tc>
        <w:tc>
          <w:tcPr>
            <w:tcW w:w="2860" w:type="dxa"/>
            <w:vAlign w:val="bottom"/>
            <w:gridSpan w:val="28"/>
          </w:tcPr>
          <w:p>
            <w:pPr>
              <w:spacing w:after="0" w:line="195" w:lineRule="exact"/>
              <w:rPr>
                <w:sz w:val="20"/>
                <w:szCs w:val="20"/>
                <w:color w:val="auto"/>
              </w:rPr>
            </w:pPr>
            <w:r>
              <w:rPr>
                <w:rFonts w:ascii="Arial" w:cs="Arial" w:eastAsia="Arial" w:hAnsi="Arial"/>
                <w:sz w:val="18"/>
                <w:szCs w:val="18"/>
                <w:color w:val="auto"/>
              </w:rPr>
              <w:t>Timing of Payment of Performance</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62</w:t>
            </w:r>
          </w:p>
        </w:tc>
        <w:tc>
          <w:tcPr>
            <w:tcW w:w="18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79"/>
              </w:rPr>
              <w:t>59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1.07.</w:t>
            </w:r>
          </w:p>
        </w:tc>
        <w:tc>
          <w:tcPr>
            <w:tcW w:w="400" w:type="dxa"/>
            <w:vAlign w:val="bottom"/>
          </w:tcPr>
          <w:p>
            <w:pPr>
              <w:spacing w:after="0"/>
              <w:rPr>
                <w:sz w:val="16"/>
                <w:szCs w:val="16"/>
                <w:color w:val="auto"/>
              </w:rPr>
            </w:pPr>
          </w:p>
        </w:tc>
        <w:tc>
          <w:tcPr>
            <w:tcW w:w="1060" w:type="dxa"/>
            <w:vAlign w:val="bottom"/>
            <w:gridSpan w:val="6"/>
          </w:tcPr>
          <w:p>
            <w:pPr>
              <w:spacing w:after="0" w:line="195" w:lineRule="exact"/>
              <w:rPr>
                <w:sz w:val="20"/>
                <w:szCs w:val="20"/>
                <w:color w:val="auto"/>
              </w:rPr>
            </w:pPr>
            <w:r>
              <w:rPr>
                <w:rFonts w:ascii="Arial" w:cs="Arial" w:eastAsia="Arial" w:hAnsi="Arial"/>
                <w:sz w:val="18"/>
                <w:szCs w:val="18"/>
                <w:color w:val="auto"/>
                <w:w w:val="98"/>
              </w:rPr>
              <w:t>Times of Day</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1.08.</w:t>
            </w:r>
          </w:p>
        </w:tc>
        <w:tc>
          <w:tcPr>
            <w:tcW w:w="400" w:type="dxa"/>
            <w:vAlign w:val="bottom"/>
          </w:tcPr>
          <w:p>
            <w:pPr>
              <w:spacing w:after="0"/>
              <w:rPr>
                <w:sz w:val="16"/>
                <w:szCs w:val="16"/>
                <w:color w:val="auto"/>
              </w:rPr>
            </w:pPr>
          </w:p>
        </w:tc>
        <w:tc>
          <w:tcPr>
            <w:tcW w:w="2500" w:type="dxa"/>
            <w:vAlign w:val="bottom"/>
            <w:gridSpan w:val="24"/>
          </w:tcPr>
          <w:p>
            <w:pPr>
              <w:spacing w:after="0" w:line="195" w:lineRule="exact"/>
              <w:rPr>
                <w:sz w:val="20"/>
                <w:szCs w:val="20"/>
                <w:color w:val="auto"/>
              </w:rPr>
            </w:pPr>
            <w:r>
              <w:rPr>
                <w:rFonts w:ascii="Arial" w:cs="Arial" w:eastAsia="Arial" w:hAnsi="Arial"/>
                <w:sz w:val="18"/>
                <w:szCs w:val="18"/>
                <w:color w:val="auto"/>
                <w:w w:val="97"/>
              </w:rPr>
              <w:t>Currency Equivalents Generally</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1.09.</w:t>
            </w:r>
          </w:p>
        </w:tc>
        <w:tc>
          <w:tcPr>
            <w:tcW w:w="400" w:type="dxa"/>
            <w:vAlign w:val="bottom"/>
          </w:tcPr>
          <w:p>
            <w:pPr>
              <w:spacing w:after="0"/>
              <w:rPr>
                <w:sz w:val="16"/>
                <w:szCs w:val="16"/>
                <w:color w:val="auto"/>
              </w:rPr>
            </w:pPr>
          </w:p>
        </w:tc>
        <w:tc>
          <w:tcPr>
            <w:tcW w:w="1520" w:type="dxa"/>
            <w:vAlign w:val="bottom"/>
            <w:gridSpan w:val="11"/>
          </w:tcPr>
          <w:p>
            <w:pPr>
              <w:spacing w:after="0" w:line="195" w:lineRule="exact"/>
              <w:rPr>
                <w:sz w:val="20"/>
                <w:szCs w:val="20"/>
                <w:color w:val="auto"/>
              </w:rPr>
            </w:pPr>
            <w:r>
              <w:rPr>
                <w:rFonts w:ascii="Arial" w:cs="Arial" w:eastAsia="Arial" w:hAnsi="Arial"/>
                <w:sz w:val="18"/>
                <w:szCs w:val="18"/>
                <w:color w:val="auto"/>
                <w:w w:val="88"/>
              </w:rPr>
              <w:t>Cashless Rollovers 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3</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1.10.</w:t>
            </w:r>
          </w:p>
        </w:tc>
        <w:tc>
          <w:tcPr>
            <w:tcW w:w="400" w:type="dxa"/>
            <w:vAlign w:val="bottom"/>
          </w:tcPr>
          <w:p>
            <w:pPr>
              <w:spacing w:after="0"/>
              <w:rPr>
                <w:sz w:val="16"/>
                <w:szCs w:val="16"/>
                <w:color w:val="auto"/>
              </w:rPr>
            </w:pPr>
          </w:p>
        </w:tc>
        <w:tc>
          <w:tcPr>
            <w:tcW w:w="2500" w:type="dxa"/>
            <w:vAlign w:val="bottom"/>
            <w:gridSpan w:val="24"/>
          </w:tcPr>
          <w:p>
            <w:pPr>
              <w:spacing w:after="0" w:line="195" w:lineRule="exact"/>
              <w:rPr>
                <w:sz w:val="20"/>
                <w:szCs w:val="20"/>
                <w:color w:val="auto"/>
              </w:rPr>
            </w:pPr>
            <w:r>
              <w:rPr>
                <w:rFonts w:ascii="Arial" w:cs="Arial" w:eastAsia="Arial" w:hAnsi="Arial"/>
                <w:sz w:val="18"/>
                <w:szCs w:val="18"/>
                <w:color w:val="auto"/>
              </w:rPr>
              <w:t>Certain Calculations and Tests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4</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1.11.</w:t>
            </w:r>
          </w:p>
        </w:tc>
        <w:tc>
          <w:tcPr>
            <w:tcW w:w="400" w:type="dxa"/>
            <w:vAlign w:val="bottom"/>
          </w:tcPr>
          <w:p>
            <w:pPr>
              <w:spacing w:after="0"/>
              <w:rPr>
                <w:sz w:val="16"/>
                <w:szCs w:val="16"/>
                <w:color w:val="auto"/>
              </w:rPr>
            </w:pPr>
          </w:p>
        </w:tc>
        <w:tc>
          <w:tcPr>
            <w:tcW w:w="800" w:type="dxa"/>
            <w:vAlign w:val="bottom"/>
            <w:gridSpan w:val="2"/>
          </w:tcPr>
          <w:p>
            <w:pPr>
              <w:spacing w:after="0" w:line="195" w:lineRule="exact"/>
              <w:rPr>
                <w:sz w:val="20"/>
                <w:szCs w:val="20"/>
                <w:color w:val="auto"/>
              </w:rPr>
            </w:pPr>
            <w:r>
              <w:rPr>
                <w:rFonts w:ascii="Arial" w:cs="Arial" w:eastAsia="Arial" w:hAnsi="Arial"/>
                <w:sz w:val="18"/>
                <w:szCs w:val="18"/>
                <w:color w:val="auto"/>
                <w:w w:val="89"/>
              </w:rPr>
              <w:t>Divisions 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5</w:t>
            </w:r>
          </w:p>
        </w:tc>
        <w:tc>
          <w:tcPr>
            <w:tcW w:w="20" w:type="dxa"/>
            <w:vAlign w:val="bottom"/>
          </w:tcPr>
          <w:p>
            <w:pPr>
              <w:spacing w:after="0"/>
              <w:rPr>
                <w:sz w:val="16"/>
                <w:szCs w:val="16"/>
                <w:color w:val="auto"/>
              </w:rPr>
            </w:pP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1.12.</w:t>
            </w:r>
          </w:p>
        </w:tc>
        <w:tc>
          <w:tcPr>
            <w:tcW w:w="400" w:type="dxa"/>
            <w:vAlign w:val="bottom"/>
          </w:tcPr>
          <w:p>
            <w:pPr>
              <w:spacing w:after="0"/>
              <w:rPr>
                <w:sz w:val="16"/>
                <w:szCs w:val="16"/>
                <w:color w:val="auto"/>
              </w:rPr>
            </w:pPr>
          </w:p>
        </w:tc>
        <w:tc>
          <w:tcPr>
            <w:tcW w:w="2860" w:type="dxa"/>
            <w:vAlign w:val="bottom"/>
            <w:gridSpan w:val="28"/>
          </w:tcPr>
          <w:p>
            <w:pPr>
              <w:spacing w:after="0" w:line="195" w:lineRule="exact"/>
              <w:rPr>
                <w:sz w:val="20"/>
                <w:szCs w:val="20"/>
                <w:color w:val="auto"/>
              </w:rPr>
            </w:pPr>
            <w:r>
              <w:rPr>
                <w:rFonts w:ascii="Arial" w:cs="Arial" w:eastAsia="Arial" w:hAnsi="Arial"/>
                <w:sz w:val="18"/>
                <w:szCs w:val="18"/>
                <w:color w:val="auto"/>
                <w:w w:val="95"/>
              </w:rPr>
              <w:t>Effect of Benchmark Transition Event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0000FF"/>
                <w:w w:val="87"/>
              </w:rPr>
              <w:t>Section 1.13.</w:t>
            </w:r>
          </w:p>
        </w:tc>
        <w:tc>
          <w:tcPr>
            <w:tcW w:w="400" w:type="dxa"/>
            <w:vAlign w:val="bottom"/>
          </w:tcPr>
          <w:p>
            <w:pPr>
              <w:spacing w:after="0"/>
              <w:rPr>
                <w:sz w:val="16"/>
                <w:szCs w:val="16"/>
                <w:color w:val="auto"/>
              </w:rPr>
            </w:pPr>
          </w:p>
        </w:tc>
        <w:tc>
          <w:tcPr>
            <w:tcW w:w="1060" w:type="dxa"/>
            <w:vAlign w:val="bottom"/>
            <w:gridSpan w:val="6"/>
          </w:tcPr>
          <w:p>
            <w:pPr>
              <w:spacing w:after="0" w:line="195" w:lineRule="exact"/>
              <w:rPr>
                <w:sz w:val="20"/>
                <w:szCs w:val="20"/>
                <w:color w:val="auto"/>
              </w:rPr>
            </w:pPr>
            <w:r>
              <w:rPr>
                <w:rFonts w:ascii="Arial" w:cs="Arial" w:eastAsia="Arial" w:hAnsi="Arial"/>
                <w:sz w:val="18"/>
                <w:szCs w:val="18"/>
                <w:color w:val="0000FF"/>
                <w:w w:val="92"/>
              </w:rPr>
              <w:t>Interest Rates</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0000FF"/>
                <w:w w:val="79"/>
              </w:rPr>
              <w:t>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451"/>
        </w:trPr>
        <w:tc>
          <w:tcPr>
            <w:tcW w:w="9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10"/>
          </w:tcPr>
          <w:p>
            <w:pPr>
              <w:jc w:val="center"/>
              <w:ind w:right="5100"/>
              <w:spacing w:after="0"/>
              <w:rPr>
                <w:sz w:val="20"/>
                <w:szCs w:val="20"/>
                <w:color w:val="auto"/>
              </w:rPr>
            </w:pPr>
            <w:r>
              <w:rPr>
                <w:rFonts w:ascii="Arial" w:cs="Arial" w:eastAsia="Arial" w:hAnsi="Arial"/>
                <w:sz w:val="18"/>
                <w:szCs w:val="18"/>
                <w:color w:val="auto"/>
                <w:w w:val="96"/>
              </w:rPr>
              <w:t>ARTICLE 2</w:t>
            </w:r>
          </w:p>
        </w:tc>
      </w:tr>
      <w:tr>
        <w:trPr>
          <w:trHeight w:val="430"/>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11"/>
          </w:tcPr>
          <w:p>
            <w:pPr>
              <w:jc w:val="center"/>
              <w:ind w:right="4980"/>
              <w:spacing w:after="0"/>
              <w:rPr>
                <w:sz w:val="20"/>
                <w:szCs w:val="20"/>
                <w:color w:val="auto"/>
              </w:rPr>
            </w:pPr>
            <w:r>
              <w:rPr>
                <w:rFonts w:ascii="Arial" w:cs="Arial" w:eastAsia="Arial" w:hAnsi="Arial"/>
                <w:sz w:val="18"/>
                <w:szCs w:val="18"/>
                <w:color w:val="auto"/>
                <w:w w:val="94"/>
              </w:rPr>
              <w:t>THE CREDITS</w:t>
            </w:r>
          </w:p>
        </w:tc>
      </w:tr>
      <w:tr>
        <w:trPr>
          <w:trHeight w:val="389"/>
        </w:trPr>
        <w:tc>
          <w:tcPr>
            <w:tcW w:w="940" w:type="dxa"/>
            <w:vAlign w:val="bottom"/>
          </w:tcPr>
          <w:p>
            <w:pPr>
              <w:spacing w:after="0"/>
              <w:rPr>
                <w:sz w:val="20"/>
                <w:szCs w:val="20"/>
                <w:color w:val="auto"/>
              </w:rPr>
            </w:pPr>
            <w:r>
              <w:rPr>
                <w:rFonts w:ascii="Arial" w:cs="Arial" w:eastAsia="Arial" w:hAnsi="Arial"/>
                <w:sz w:val="18"/>
                <w:szCs w:val="18"/>
                <w:color w:val="auto"/>
                <w:w w:val="87"/>
              </w:rPr>
              <w:t>Section 2.01.</w:t>
            </w:r>
          </w:p>
        </w:tc>
        <w:tc>
          <w:tcPr>
            <w:tcW w:w="400" w:type="dxa"/>
            <w:vAlign w:val="bottom"/>
          </w:tcPr>
          <w:p>
            <w:pPr>
              <w:spacing w:after="0"/>
              <w:rPr>
                <w:sz w:val="24"/>
                <w:szCs w:val="24"/>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auto"/>
                <w:w w:val="90"/>
              </w:rPr>
              <w:t>Commitments 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7</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2.02.</w:t>
            </w:r>
          </w:p>
        </w:tc>
        <w:tc>
          <w:tcPr>
            <w:tcW w:w="400" w:type="dxa"/>
            <w:vAlign w:val="bottom"/>
          </w:tcPr>
          <w:p>
            <w:pPr>
              <w:spacing w:after="0"/>
              <w:rPr>
                <w:sz w:val="16"/>
                <w:szCs w:val="16"/>
                <w:color w:val="auto"/>
              </w:rPr>
            </w:pPr>
          </w:p>
        </w:tc>
        <w:tc>
          <w:tcPr>
            <w:tcW w:w="1780" w:type="dxa"/>
            <w:vAlign w:val="bottom"/>
            <w:gridSpan w:val="14"/>
          </w:tcPr>
          <w:p>
            <w:pPr>
              <w:spacing w:after="0" w:line="195" w:lineRule="exact"/>
              <w:rPr>
                <w:sz w:val="20"/>
                <w:szCs w:val="20"/>
                <w:color w:val="auto"/>
              </w:rPr>
            </w:pPr>
            <w:r>
              <w:rPr>
                <w:rFonts w:ascii="Arial" w:cs="Arial" w:eastAsia="Arial" w:hAnsi="Arial"/>
                <w:sz w:val="18"/>
                <w:szCs w:val="18"/>
                <w:color w:val="auto"/>
                <w:w w:val="98"/>
              </w:rPr>
              <w:t>Loans and Borrowings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7</w:t>
            </w:r>
          </w:p>
        </w:tc>
        <w:tc>
          <w:tcPr>
            <w:tcW w:w="1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2.03.</w:t>
            </w:r>
          </w:p>
        </w:tc>
        <w:tc>
          <w:tcPr>
            <w:tcW w:w="400" w:type="dxa"/>
            <w:vAlign w:val="bottom"/>
          </w:tcPr>
          <w:p>
            <w:pPr>
              <w:spacing w:after="0"/>
              <w:rPr>
                <w:sz w:val="16"/>
                <w:szCs w:val="16"/>
                <w:color w:val="auto"/>
              </w:rPr>
            </w:pPr>
          </w:p>
        </w:tc>
        <w:tc>
          <w:tcPr>
            <w:tcW w:w="1780" w:type="dxa"/>
            <w:vAlign w:val="bottom"/>
            <w:gridSpan w:val="14"/>
          </w:tcPr>
          <w:p>
            <w:pPr>
              <w:spacing w:after="0" w:line="195" w:lineRule="exact"/>
              <w:rPr>
                <w:sz w:val="20"/>
                <w:szCs w:val="20"/>
                <w:color w:val="auto"/>
              </w:rPr>
            </w:pPr>
            <w:r>
              <w:rPr>
                <w:rFonts w:ascii="Arial" w:cs="Arial" w:eastAsia="Arial" w:hAnsi="Arial"/>
                <w:sz w:val="18"/>
                <w:szCs w:val="18"/>
                <w:color w:val="auto"/>
                <w:w w:val="89"/>
              </w:rPr>
              <w:t>Requests for Borrowings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8</w:t>
            </w:r>
          </w:p>
        </w:tc>
        <w:tc>
          <w:tcPr>
            <w:tcW w:w="1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9"/>
              </w:rPr>
              <w:t>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2.04.</w:t>
            </w:r>
          </w:p>
        </w:tc>
        <w:tc>
          <w:tcPr>
            <w:tcW w:w="400" w:type="dxa"/>
            <w:vAlign w:val="bottom"/>
          </w:tcPr>
          <w:p>
            <w:pPr>
              <w:spacing w:after="0"/>
              <w:rPr>
                <w:sz w:val="16"/>
                <w:szCs w:val="16"/>
                <w:color w:val="auto"/>
              </w:rPr>
            </w:pPr>
          </w:p>
        </w:tc>
        <w:tc>
          <w:tcPr>
            <w:tcW w:w="1420" w:type="dxa"/>
            <w:vAlign w:val="bottom"/>
            <w:gridSpan w:val="10"/>
          </w:tcPr>
          <w:p>
            <w:pPr>
              <w:spacing w:after="0" w:line="195" w:lineRule="exact"/>
              <w:rPr>
                <w:sz w:val="20"/>
                <w:szCs w:val="20"/>
                <w:color w:val="auto"/>
              </w:rPr>
            </w:pPr>
            <w:r>
              <w:rPr>
                <w:rFonts w:ascii="Arial" w:cs="Arial" w:eastAsia="Arial" w:hAnsi="Arial"/>
                <w:sz w:val="18"/>
                <w:szCs w:val="18"/>
                <w:color w:val="auto"/>
              </w:rPr>
              <w:t>Swingline Loans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6</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8</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2.05.</w:t>
            </w:r>
          </w:p>
        </w:tc>
        <w:tc>
          <w:tcPr>
            <w:tcW w:w="400" w:type="dxa"/>
            <w:vAlign w:val="bottom"/>
          </w:tcPr>
          <w:p>
            <w:pPr>
              <w:spacing w:after="0"/>
              <w:rPr>
                <w:sz w:val="16"/>
                <w:szCs w:val="16"/>
                <w:color w:val="auto"/>
              </w:rPr>
            </w:pPr>
          </w:p>
        </w:tc>
        <w:tc>
          <w:tcPr>
            <w:tcW w:w="1420" w:type="dxa"/>
            <w:vAlign w:val="bottom"/>
            <w:gridSpan w:val="10"/>
          </w:tcPr>
          <w:p>
            <w:pPr>
              <w:spacing w:after="0" w:line="195" w:lineRule="exact"/>
              <w:rPr>
                <w:sz w:val="20"/>
                <w:szCs w:val="20"/>
                <w:color w:val="auto"/>
              </w:rPr>
            </w:pPr>
            <w:r>
              <w:rPr>
                <w:rFonts w:ascii="Arial" w:cs="Arial" w:eastAsia="Arial" w:hAnsi="Arial"/>
                <w:sz w:val="18"/>
                <w:szCs w:val="18"/>
                <w:color w:val="auto"/>
              </w:rPr>
              <w:t>Letters of Credit</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0000FF"/>
                <w:w w:val="79"/>
              </w:rPr>
              <w:t>6</w:t>
            </w:r>
            <w:r>
              <w:rPr>
                <w:rFonts w:ascii="Arial" w:cs="Arial" w:eastAsia="Arial" w:hAnsi="Arial"/>
                <w:sz w:val="18"/>
                <w:szCs w:val="18"/>
                <w:color w:val="000000"/>
                <w:w w:val="79"/>
              </w:rPr>
              <w:t>7</w:t>
            </w:r>
          </w:p>
        </w:tc>
        <w:tc>
          <w:tcPr>
            <w:tcW w:w="100" w:type="dxa"/>
            <w:vAlign w:val="bottom"/>
          </w:tcPr>
          <w:p>
            <w:pPr>
              <w:spacing w:after="0" w:line="195" w:lineRule="exact"/>
              <w:rPr>
                <w:sz w:val="20"/>
                <w:szCs w:val="20"/>
                <w:color w:val="auto"/>
              </w:rPr>
            </w:pPr>
            <w:r>
              <w:rPr>
                <w:rFonts w:ascii="Arial" w:cs="Arial" w:eastAsia="Arial" w:hAnsi="Arial"/>
                <w:sz w:val="18"/>
                <w:szCs w:val="18"/>
                <w:color w:val="FF0000"/>
                <w:strike w:val="1"/>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2.06.</w:t>
            </w:r>
          </w:p>
        </w:tc>
        <w:tc>
          <w:tcPr>
            <w:tcW w:w="400" w:type="dxa"/>
            <w:vAlign w:val="bottom"/>
          </w:tcPr>
          <w:p>
            <w:pPr>
              <w:spacing w:after="0"/>
              <w:rPr>
                <w:sz w:val="16"/>
                <w:szCs w:val="16"/>
                <w:color w:val="auto"/>
              </w:rPr>
            </w:pPr>
          </w:p>
        </w:tc>
        <w:tc>
          <w:tcPr>
            <w:tcW w:w="1060" w:type="dxa"/>
            <w:vAlign w:val="bottom"/>
            <w:gridSpan w:val="6"/>
          </w:tcPr>
          <w:p>
            <w:pPr>
              <w:spacing w:after="0" w:line="195" w:lineRule="exact"/>
              <w:rPr>
                <w:sz w:val="20"/>
                <w:szCs w:val="20"/>
                <w:color w:val="auto"/>
              </w:rPr>
            </w:pPr>
            <w:r>
              <w:rPr>
                <w:rFonts w:ascii="Arial" w:cs="Arial" w:eastAsia="Arial" w:hAnsi="Arial"/>
                <w:sz w:val="18"/>
                <w:szCs w:val="18"/>
                <w:color w:val="auto"/>
              </w:rPr>
              <w:t>[Reserved]</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4</w:t>
            </w: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2.07.</w:t>
            </w:r>
          </w:p>
        </w:tc>
        <w:tc>
          <w:tcPr>
            <w:tcW w:w="400" w:type="dxa"/>
            <w:vAlign w:val="bottom"/>
          </w:tcPr>
          <w:p>
            <w:pPr>
              <w:spacing w:after="0"/>
              <w:rPr>
                <w:sz w:val="16"/>
                <w:szCs w:val="16"/>
                <w:color w:val="auto"/>
              </w:rPr>
            </w:pPr>
          </w:p>
        </w:tc>
        <w:tc>
          <w:tcPr>
            <w:tcW w:w="1780" w:type="dxa"/>
            <w:vAlign w:val="bottom"/>
            <w:gridSpan w:val="14"/>
          </w:tcPr>
          <w:p>
            <w:pPr>
              <w:spacing w:after="0" w:line="195" w:lineRule="exact"/>
              <w:rPr>
                <w:sz w:val="20"/>
                <w:szCs w:val="20"/>
                <w:color w:val="auto"/>
              </w:rPr>
            </w:pPr>
            <w:r>
              <w:rPr>
                <w:rFonts w:ascii="Arial" w:cs="Arial" w:eastAsia="Arial" w:hAnsi="Arial"/>
                <w:sz w:val="18"/>
                <w:szCs w:val="18"/>
                <w:color w:val="auto"/>
                <w:w w:val="97"/>
              </w:rPr>
              <w:t>Funding of Borrowings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5</w:t>
            </w:r>
          </w:p>
        </w:tc>
        <w:tc>
          <w:tcPr>
            <w:tcW w:w="1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2.08.</w:t>
            </w:r>
          </w:p>
        </w:tc>
        <w:tc>
          <w:tcPr>
            <w:tcW w:w="400" w:type="dxa"/>
            <w:vAlign w:val="bottom"/>
          </w:tcPr>
          <w:p>
            <w:pPr>
              <w:spacing w:after="0"/>
              <w:rPr>
                <w:sz w:val="16"/>
                <w:szCs w:val="16"/>
                <w:color w:val="auto"/>
              </w:rPr>
            </w:pPr>
          </w:p>
        </w:tc>
        <w:tc>
          <w:tcPr>
            <w:tcW w:w="1780" w:type="dxa"/>
            <w:vAlign w:val="bottom"/>
            <w:gridSpan w:val="14"/>
          </w:tcPr>
          <w:p>
            <w:pPr>
              <w:spacing w:after="0" w:line="195" w:lineRule="exact"/>
              <w:rPr>
                <w:sz w:val="20"/>
                <w:szCs w:val="20"/>
                <w:color w:val="auto"/>
              </w:rPr>
            </w:pPr>
            <w:r>
              <w:rPr>
                <w:rFonts w:ascii="Arial" w:cs="Arial" w:eastAsia="Arial" w:hAnsi="Arial"/>
                <w:sz w:val="18"/>
                <w:szCs w:val="18"/>
                <w:color w:val="auto"/>
                <w:w w:val="93"/>
              </w:rPr>
              <w:t>Type; Interest Elections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5</w:t>
            </w:r>
          </w:p>
        </w:tc>
        <w:tc>
          <w:tcPr>
            <w:tcW w:w="1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2.09.</w:t>
            </w:r>
          </w:p>
        </w:tc>
        <w:tc>
          <w:tcPr>
            <w:tcW w:w="400" w:type="dxa"/>
            <w:vAlign w:val="bottom"/>
          </w:tcPr>
          <w:p>
            <w:pPr>
              <w:spacing w:after="0"/>
              <w:rPr>
                <w:sz w:val="16"/>
                <w:szCs w:val="16"/>
                <w:color w:val="auto"/>
              </w:rPr>
            </w:pPr>
          </w:p>
        </w:tc>
        <w:tc>
          <w:tcPr>
            <w:tcW w:w="3580" w:type="dxa"/>
            <w:vAlign w:val="bottom"/>
            <w:gridSpan w:val="34"/>
          </w:tcPr>
          <w:p>
            <w:pPr>
              <w:spacing w:after="0" w:line="195" w:lineRule="exact"/>
              <w:rPr>
                <w:sz w:val="20"/>
                <w:szCs w:val="20"/>
                <w:color w:val="auto"/>
              </w:rPr>
            </w:pPr>
            <w:r>
              <w:rPr>
                <w:rFonts w:ascii="Arial" w:cs="Arial" w:eastAsia="Arial" w:hAnsi="Arial"/>
                <w:sz w:val="18"/>
                <w:szCs w:val="18"/>
                <w:color w:val="auto"/>
              </w:rPr>
              <w:t>Termination and Reduction of Commitments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7</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6</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2.10.</w:t>
            </w:r>
          </w:p>
        </w:tc>
        <w:tc>
          <w:tcPr>
            <w:tcW w:w="400" w:type="dxa"/>
            <w:vAlign w:val="bottom"/>
          </w:tcPr>
          <w:p>
            <w:pPr>
              <w:spacing w:after="0"/>
              <w:rPr>
                <w:sz w:val="16"/>
                <w:szCs w:val="16"/>
                <w:color w:val="auto"/>
              </w:rPr>
            </w:pPr>
          </w:p>
        </w:tc>
        <w:tc>
          <w:tcPr>
            <w:tcW w:w="2940" w:type="dxa"/>
            <w:vAlign w:val="bottom"/>
            <w:gridSpan w:val="29"/>
          </w:tcPr>
          <w:p>
            <w:pPr>
              <w:spacing w:after="0" w:line="195" w:lineRule="exact"/>
              <w:rPr>
                <w:sz w:val="20"/>
                <w:szCs w:val="20"/>
                <w:color w:val="auto"/>
              </w:rPr>
            </w:pPr>
            <w:r>
              <w:rPr>
                <w:rFonts w:ascii="Arial" w:cs="Arial" w:eastAsia="Arial" w:hAnsi="Arial"/>
                <w:sz w:val="18"/>
                <w:szCs w:val="18"/>
                <w:color w:val="auto"/>
                <w:w w:val="88"/>
              </w:rPr>
              <w:t>Repayment of Loans; Evidence of Debt 7</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540" w:type="dxa"/>
            <w:vAlign w:val="bottom"/>
            <w:gridSpan w:val="4"/>
          </w:tcPr>
          <w:p>
            <w:pPr>
              <w:spacing w:after="0" w:line="195" w:lineRule="exact"/>
              <w:rPr>
                <w:sz w:val="20"/>
                <w:szCs w:val="20"/>
                <w:color w:val="auto"/>
              </w:rPr>
            </w:pPr>
            <w:r>
              <w:rPr>
                <w:rFonts w:ascii="Arial" w:cs="Arial" w:eastAsia="Arial" w:hAnsi="Arial"/>
                <w:sz w:val="18"/>
                <w:szCs w:val="18"/>
                <w:color w:val="0000FF"/>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2.11.</w:t>
            </w:r>
          </w:p>
        </w:tc>
        <w:tc>
          <w:tcPr>
            <w:tcW w:w="400" w:type="dxa"/>
            <w:vAlign w:val="bottom"/>
          </w:tcPr>
          <w:p>
            <w:pPr>
              <w:spacing w:after="0"/>
              <w:rPr>
                <w:sz w:val="16"/>
                <w:szCs w:val="16"/>
                <w:color w:val="auto"/>
              </w:rPr>
            </w:pPr>
          </w:p>
        </w:tc>
        <w:tc>
          <w:tcPr>
            <w:tcW w:w="1780" w:type="dxa"/>
            <w:vAlign w:val="bottom"/>
            <w:gridSpan w:val="14"/>
          </w:tcPr>
          <w:p>
            <w:pPr>
              <w:spacing w:after="0" w:line="195" w:lineRule="exact"/>
              <w:rPr>
                <w:sz w:val="20"/>
                <w:szCs w:val="20"/>
                <w:color w:val="auto"/>
              </w:rPr>
            </w:pPr>
            <w:r>
              <w:rPr>
                <w:rFonts w:ascii="Arial" w:cs="Arial" w:eastAsia="Arial" w:hAnsi="Arial"/>
                <w:sz w:val="18"/>
                <w:szCs w:val="18"/>
                <w:color w:val="auto"/>
              </w:rPr>
              <w:t>Prepayment of Loans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8</w:t>
            </w:r>
          </w:p>
        </w:tc>
        <w:tc>
          <w:tcPr>
            <w:tcW w:w="12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2.12.</w:t>
            </w:r>
          </w:p>
        </w:tc>
        <w:tc>
          <w:tcPr>
            <w:tcW w:w="40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Fees</w:t>
            </w: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82</w:t>
            </w:r>
          </w:p>
        </w:tc>
        <w:tc>
          <w:tcPr>
            <w:tcW w:w="18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79"/>
              </w:rPr>
              <w:t>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2.13.</w:t>
            </w:r>
          </w:p>
        </w:tc>
        <w:tc>
          <w:tcPr>
            <w:tcW w:w="40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8</w:t>
            </w:r>
          </w:p>
        </w:tc>
        <w:tc>
          <w:tcPr>
            <w:tcW w:w="10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3</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2.14.</w:t>
            </w:r>
          </w:p>
        </w:tc>
        <w:tc>
          <w:tcPr>
            <w:tcW w:w="400" w:type="dxa"/>
            <w:vAlign w:val="bottom"/>
          </w:tcPr>
          <w:p>
            <w:pPr>
              <w:spacing w:after="0"/>
              <w:rPr>
                <w:sz w:val="16"/>
                <w:szCs w:val="16"/>
                <w:color w:val="auto"/>
              </w:rPr>
            </w:pPr>
          </w:p>
        </w:tc>
        <w:tc>
          <w:tcPr>
            <w:tcW w:w="2140" w:type="dxa"/>
            <w:vAlign w:val="bottom"/>
            <w:gridSpan w:val="19"/>
          </w:tcPr>
          <w:p>
            <w:pPr>
              <w:spacing w:after="0" w:line="195" w:lineRule="exact"/>
              <w:rPr>
                <w:sz w:val="20"/>
                <w:szCs w:val="20"/>
                <w:color w:val="auto"/>
              </w:rPr>
            </w:pPr>
            <w:r>
              <w:rPr>
                <w:rFonts w:ascii="Arial" w:cs="Arial" w:eastAsia="Arial" w:hAnsi="Arial"/>
                <w:sz w:val="18"/>
                <w:szCs w:val="18"/>
                <w:color w:val="auto"/>
              </w:rPr>
              <w:t>Alternate Rate of Interest</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4</w:t>
            </w:r>
          </w:p>
        </w:tc>
        <w:tc>
          <w:tcPr>
            <w:tcW w:w="1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9"/>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2.15.</w:t>
            </w:r>
          </w:p>
        </w:tc>
        <w:tc>
          <w:tcPr>
            <w:tcW w:w="400" w:type="dxa"/>
            <w:vAlign w:val="bottom"/>
          </w:tcPr>
          <w:p>
            <w:pPr>
              <w:spacing w:after="0"/>
              <w:rPr>
                <w:sz w:val="16"/>
                <w:szCs w:val="16"/>
                <w:color w:val="auto"/>
              </w:rPr>
            </w:pPr>
          </w:p>
        </w:tc>
        <w:tc>
          <w:tcPr>
            <w:tcW w:w="1420" w:type="dxa"/>
            <w:vAlign w:val="bottom"/>
            <w:gridSpan w:val="10"/>
          </w:tcPr>
          <w:p>
            <w:pPr>
              <w:spacing w:after="0" w:line="195" w:lineRule="exact"/>
              <w:rPr>
                <w:sz w:val="20"/>
                <w:szCs w:val="20"/>
                <w:color w:val="auto"/>
              </w:rPr>
            </w:pPr>
            <w:r>
              <w:rPr>
                <w:rFonts w:ascii="Arial" w:cs="Arial" w:eastAsia="Arial" w:hAnsi="Arial"/>
                <w:sz w:val="18"/>
                <w:szCs w:val="18"/>
                <w:color w:val="auto"/>
              </w:rPr>
              <w:t>Increased Costs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5</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2.16.</w:t>
            </w:r>
          </w:p>
        </w:tc>
        <w:tc>
          <w:tcPr>
            <w:tcW w:w="400" w:type="dxa"/>
            <w:vAlign w:val="bottom"/>
          </w:tcPr>
          <w:p>
            <w:pPr>
              <w:spacing w:after="0"/>
              <w:rPr>
                <w:sz w:val="16"/>
                <w:szCs w:val="16"/>
                <w:color w:val="auto"/>
              </w:rPr>
            </w:pPr>
          </w:p>
        </w:tc>
        <w:tc>
          <w:tcPr>
            <w:tcW w:w="2140" w:type="dxa"/>
            <w:vAlign w:val="bottom"/>
            <w:gridSpan w:val="19"/>
          </w:tcPr>
          <w:p>
            <w:pPr>
              <w:spacing w:after="0" w:line="195" w:lineRule="exact"/>
              <w:rPr>
                <w:sz w:val="20"/>
                <w:szCs w:val="20"/>
                <w:color w:val="auto"/>
              </w:rPr>
            </w:pPr>
            <w:r>
              <w:rPr>
                <w:rFonts w:ascii="Arial" w:cs="Arial" w:eastAsia="Arial" w:hAnsi="Arial"/>
                <w:sz w:val="18"/>
                <w:szCs w:val="18"/>
                <w:color w:val="auto"/>
              </w:rPr>
              <w:t>Break Funding Payments</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6</w:t>
            </w:r>
          </w:p>
        </w:tc>
        <w:tc>
          <w:tcPr>
            <w:tcW w:w="1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9"/>
              </w:rPr>
              <w:t>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2.17.</w:t>
            </w:r>
          </w:p>
        </w:tc>
        <w:tc>
          <w:tcPr>
            <w:tcW w:w="40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8</w:t>
            </w:r>
          </w:p>
        </w:tc>
        <w:tc>
          <w:tcPr>
            <w:tcW w:w="10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6</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2.18.</w:t>
            </w:r>
          </w:p>
        </w:tc>
        <w:tc>
          <w:tcPr>
            <w:tcW w:w="400" w:type="dxa"/>
            <w:vAlign w:val="bottom"/>
          </w:tcPr>
          <w:p>
            <w:pPr>
              <w:spacing w:after="0"/>
              <w:rPr>
                <w:sz w:val="16"/>
                <w:szCs w:val="16"/>
                <w:color w:val="auto"/>
              </w:rPr>
            </w:pPr>
          </w:p>
        </w:tc>
        <w:tc>
          <w:tcPr>
            <w:tcW w:w="5100" w:type="dxa"/>
            <w:vAlign w:val="bottom"/>
            <w:gridSpan w:val="42"/>
          </w:tcPr>
          <w:p>
            <w:pPr>
              <w:spacing w:after="0" w:line="195" w:lineRule="exact"/>
              <w:rPr>
                <w:sz w:val="20"/>
                <w:szCs w:val="20"/>
                <w:color w:val="auto"/>
              </w:rPr>
            </w:pPr>
            <w:r>
              <w:rPr>
                <w:rFonts w:ascii="Arial" w:cs="Arial" w:eastAsia="Arial" w:hAnsi="Arial"/>
                <w:sz w:val="18"/>
                <w:szCs w:val="18"/>
                <w:color w:val="auto"/>
                <w:w w:val="91"/>
              </w:rPr>
              <w:t>Payments Generally; Allocation of Proceeds; Sharing of Payments   8</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9</w:t>
            </w: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7</w:t>
            </w:r>
          </w:p>
        </w:tc>
        <w:tc>
          <w:tcPr>
            <w:tcW w:w="4620" w:type="dxa"/>
            <w:vAlign w:val="bottom"/>
            <w:gridSpan w:val="2"/>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2.19.</w:t>
            </w:r>
          </w:p>
        </w:tc>
        <w:tc>
          <w:tcPr>
            <w:tcW w:w="400" w:type="dxa"/>
            <w:vAlign w:val="bottom"/>
          </w:tcPr>
          <w:p>
            <w:pPr>
              <w:spacing w:after="0"/>
              <w:rPr>
                <w:sz w:val="16"/>
                <w:szCs w:val="16"/>
                <w:color w:val="auto"/>
              </w:rPr>
            </w:pPr>
          </w:p>
        </w:tc>
        <w:tc>
          <w:tcPr>
            <w:tcW w:w="3580" w:type="dxa"/>
            <w:vAlign w:val="bottom"/>
            <w:gridSpan w:val="34"/>
          </w:tcPr>
          <w:p>
            <w:pPr>
              <w:spacing w:after="0" w:line="195" w:lineRule="exact"/>
              <w:rPr>
                <w:sz w:val="20"/>
                <w:szCs w:val="20"/>
                <w:color w:val="auto"/>
              </w:rPr>
            </w:pPr>
            <w:r>
              <w:rPr>
                <w:rFonts w:ascii="Arial" w:cs="Arial" w:eastAsia="Arial" w:hAnsi="Arial"/>
                <w:sz w:val="18"/>
                <w:szCs w:val="18"/>
                <w:color w:val="auto"/>
                <w:w w:val="94"/>
              </w:rPr>
              <w:t>Mitigation Obligations; Replacement of Lenders</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91</w:t>
            </w:r>
          </w:p>
        </w:tc>
        <w:tc>
          <w:tcPr>
            <w:tcW w:w="18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79"/>
              </w:rPr>
              <w:t>88</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2.20.</w:t>
            </w:r>
          </w:p>
        </w:tc>
        <w:tc>
          <w:tcPr>
            <w:tcW w:w="400" w:type="dxa"/>
            <w:vAlign w:val="bottom"/>
          </w:tcPr>
          <w:p>
            <w:pPr>
              <w:spacing w:after="0"/>
              <w:rPr>
                <w:sz w:val="16"/>
                <w:szCs w:val="16"/>
                <w:color w:val="auto"/>
              </w:rPr>
            </w:pPr>
          </w:p>
        </w:tc>
        <w:tc>
          <w:tcPr>
            <w:tcW w:w="900" w:type="dxa"/>
            <w:vAlign w:val="bottom"/>
            <w:gridSpan w:val="4"/>
          </w:tcPr>
          <w:p>
            <w:pPr>
              <w:spacing w:after="0" w:line="195" w:lineRule="exact"/>
              <w:rPr>
                <w:sz w:val="20"/>
                <w:szCs w:val="20"/>
                <w:color w:val="auto"/>
              </w:rPr>
            </w:pPr>
            <w:r>
              <w:rPr>
                <w:rFonts w:ascii="Arial" w:cs="Arial" w:eastAsia="Arial" w:hAnsi="Arial"/>
                <w:sz w:val="18"/>
                <w:szCs w:val="18"/>
                <w:color w:val="auto"/>
                <w:w w:val="97"/>
              </w:rPr>
              <w:t xml:space="preserve">Illegality </w:t>
            </w:r>
            <w:r>
              <w:rPr>
                <w:rFonts w:ascii="Arial" w:cs="Arial" w:eastAsia="Arial" w:hAnsi="Arial"/>
                <w:sz w:val="18"/>
                <w:szCs w:val="18"/>
                <w:color w:val="0000FF"/>
                <w:w w:val="97"/>
              </w:rPr>
              <w:t>8</w:t>
            </w:r>
            <w:r>
              <w:rPr>
                <w:rFonts w:ascii="Arial" w:cs="Arial" w:eastAsia="Arial" w:hAnsi="Arial"/>
                <w:sz w:val="18"/>
                <w:szCs w:val="18"/>
                <w:color w:val="auto"/>
                <w:w w:val="97"/>
              </w:rPr>
              <w:t>9</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2.21.</w:t>
            </w:r>
          </w:p>
        </w:tc>
        <w:tc>
          <w:tcPr>
            <w:tcW w:w="400" w:type="dxa"/>
            <w:vAlign w:val="bottom"/>
          </w:tcPr>
          <w:p>
            <w:pPr>
              <w:spacing w:after="0"/>
              <w:rPr>
                <w:sz w:val="16"/>
                <w:szCs w:val="16"/>
                <w:color w:val="auto"/>
              </w:rPr>
            </w:pPr>
          </w:p>
        </w:tc>
        <w:tc>
          <w:tcPr>
            <w:tcW w:w="1520" w:type="dxa"/>
            <w:vAlign w:val="bottom"/>
            <w:gridSpan w:val="11"/>
          </w:tcPr>
          <w:p>
            <w:pPr>
              <w:spacing w:after="0" w:line="195" w:lineRule="exact"/>
              <w:rPr>
                <w:sz w:val="20"/>
                <w:szCs w:val="20"/>
                <w:color w:val="auto"/>
              </w:rPr>
            </w:pPr>
            <w:r>
              <w:rPr>
                <w:rFonts w:ascii="Arial" w:cs="Arial" w:eastAsia="Arial" w:hAnsi="Arial"/>
                <w:sz w:val="18"/>
                <w:szCs w:val="18"/>
                <w:color w:val="auto"/>
                <w:w w:val="90"/>
              </w:rPr>
              <w:t>Defaulting Lenders 9</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3</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2.22.</w:t>
            </w:r>
          </w:p>
        </w:tc>
        <w:tc>
          <w:tcPr>
            <w:tcW w:w="400" w:type="dxa"/>
            <w:vAlign w:val="bottom"/>
          </w:tcPr>
          <w:p>
            <w:pPr>
              <w:spacing w:after="0"/>
              <w:rPr>
                <w:sz w:val="16"/>
                <w:szCs w:val="16"/>
                <w:color w:val="auto"/>
              </w:rPr>
            </w:pPr>
          </w:p>
        </w:tc>
        <w:tc>
          <w:tcPr>
            <w:tcW w:w="2500" w:type="dxa"/>
            <w:vAlign w:val="bottom"/>
            <w:gridSpan w:val="24"/>
          </w:tcPr>
          <w:p>
            <w:pPr>
              <w:spacing w:after="0" w:line="195" w:lineRule="exact"/>
              <w:rPr>
                <w:sz w:val="20"/>
                <w:szCs w:val="20"/>
                <w:color w:val="auto"/>
              </w:rPr>
            </w:pPr>
            <w:r>
              <w:rPr>
                <w:rFonts w:ascii="Arial" w:cs="Arial" w:eastAsia="Arial" w:hAnsi="Arial"/>
                <w:sz w:val="18"/>
                <w:szCs w:val="18"/>
                <w:color w:val="auto"/>
              </w:rPr>
              <w:t>Incremental Credit Extensions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9</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5</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2.23.</w:t>
            </w:r>
          </w:p>
        </w:tc>
        <w:tc>
          <w:tcPr>
            <w:tcW w:w="400" w:type="dxa"/>
            <w:vAlign w:val="bottom"/>
          </w:tcPr>
          <w:p>
            <w:pPr>
              <w:spacing w:after="0"/>
              <w:rPr>
                <w:sz w:val="16"/>
                <w:szCs w:val="16"/>
                <w:color w:val="auto"/>
              </w:rPr>
            </w:pPr>
          </w:p>
        </w:tc>
        <w:tc>
          <w:tcPr>
            <w:tcW w:w="4380" w:type="dxa"/>
            <w:vAlign w:val="bottom"/>
            <w:gridSpan w:val="39"/>
          </w:tcPr>
          <w:p>
            <w:pPr>
              <w:spacing w:after="0" w:line="195" w:lineRule="exact"/>
              <w:rPr>
                <w:sz w:val="20"/>
                <w:szCs w:val="20"/>
                <w:color w:val="auto"/>
              </w:rPr>
            </w:pPr>
            <w:r>
              <w:rPr>
                <w:rFonts w:ascii="Arial" w:cs="Arial" w:eastAsia="Arial" w:hAnsi="Arial"/>
                <w:sz w:val="18"/>
                <w:szCs w:val="18"/>
                <w:color w:val="auto"/>
                <w:w w:val="92"/>
              </w:rPr>
              <w:t>Extensions of Loans and Revolving Credit Commitments  9</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9</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c>
          <w:tcPr>
            <w:tcW w:w="5340" w:type="dxa"/>
            <w:vAlign w:val="bottom"/>
            <w:gridSpan w:val="5"/>
          </w:tcPr>
          <w:p>
            <w:pPr>
              <w:spacing w:after="0"/>
              <w:rPr>
                <w:sz w:val="16"/>
                <w:szCs w:val="16"/>
                <w:color w:val="auto"/>
              </w:rPr>
            </w:pPr>
          </w:p>
        </w:tc>
      </w:tr>
      <w:tr>
        <w:trPr>
          <w:trHeight w:val="451"/>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10"/>
          </w:tcPr>
          <w:p>
            <w:pPr>
              <w:jc w:val="center"/>
              <w:ind w:right="5100"/>
              <w:spacing w:after="0"/>
              <w:rPr>
                <w:sz w:val="20"/>
                <w:szCs w:val="20"/>
                <w:color w:val="auto"/>
              </w:rPr>
            </w:pPr>
            <w:r>
              <w:rPr>
                <w:rFonts w:ascii="Arial" w:cs="Arial" w:eastAsia="Arial" w:hAnsi="Arial"/>
                <w:sz w:val="18"/>
                <w:szCs w:val="18"/>
                <w:color w:val="auto"/>
                <w:w w:val="96"/>
              </w:rPr>
              <w:t>ARTICLE 3</w:t>
            </w:r>
          </w:p>
        </w:tc>
      </w:tr>
      <w:tr>
        <w:trPr>
          <w:trHeight w:val="430"/>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gridSpan w:val="21"/>
          </w:tcPr>
          <w:p>
            <w:pPr>
              <w:ind w:left="60"/>
              <w:spacing w:after="0"/>
              <w:rPr>
                <w:sz w:val="20"/>
                <w:szCs w:val="20"/>
                <w:color w:val="auto"/>
              </w:rPr>
            </w:pPr>
            <w:r>
              <w:rPr>
                <w:rFonts w:ascii="Arial" w:cs="Arial" w:eastAsia="Arial" w:hAnsi="Arial"/>
                <w:sz w:val="18"/>
                <w:szCs w:val="18"/>
                <w:color w:val="auto"/>
              </w:rPr>
              <w:t>REPRESENTATIONS AND WARRANTIES</w:t>
            </w:r>
          </w:p>
        </w:tc>
      </w:tr>
      <w:tr>
        <w:trPr>
          <w:trHeight w:val="389"/>
        </w:trPr>
        <w:tc>
          <w:tcPr>
            <w:tcW w:w="940" w:type="dxa"/>
            <w:vAlign w:val="bottom"/>
          </w:tcPr>
          <w:p>
            <w:pPr>
              <w:spacing w:after="0"/>
              <w:rPr>
                <w:sz w:val="20"/>
                <w:szCs w:val="20"/>
                <w:color w:val="auto"/>
              </w:rPr>
            </w:pPr>
            <w:r>
              <w:rPr>
                <w:rFonts w:ascii="Arial" w:cs="Arial" w:eastAsia="Arial" w:hAnsi="Arial"/>
                <w:sz w:val="18"/>
                <w:szCs w:val="18"/>
                <w:color w:val="auto"/>
                <w:w w:val="87"/>
              </w:rPr>
              <w:t>Section 3.01.</w:t>
            </w:r>
          </w:p>
        </w:tc>
        <w:tc>
          <w:tcPr>
            <w:tcW w:w="400" w:type="dxa"/>
            <w:vAlign w:val="bottom"/>
          </w:tcPr>
          <w:p>
            <w:pPr>
              <w:spacing w:after="0"/>
              <w:rPr>
                <w:sz w:val="24"/>
                <w:szCs w:val="24"/>
                <w:color w:val="auto"/>
              </w:rPr>
            </w:pPr>
          </w:p>
        </w:tc>
        <w:tc>
          <w:tcPr>
            <w:tcW w:w="1780" w:type="dxa"/>
            <w:vAlign w:val="bottom"/>
            <w:gridSpan w:val="14"/>
          </w:tcPr>
          <w:p>
            <w:pPr>
              <w:spacing w:after="0"/>
              <w:rPr>
                <w:sz w:val="20"/>
                <w:szCs w:val="20"/>
                <w:color w:val="auto"/>
              </w:rPr>
            </w:pPr>
            <w:r>
              <w:rPr>
                <w:rFonts w:ascii="Arial" w:cs="Arial" w:eastAsia="Arial" w:hAnsi="Arial"/>
                <w:sz w:val="18"/>
                <w:szCs w:val="18"/>
                <w:color w:val="auto"/>
              </w:rPr>
              <w:t>Organization; Powers</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w w:val="86"/>
              </w:rPr>
              <w:t>102</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w w:val="87"/>
              </w:rPr>
              <w:t>Section 3.02.</w:t>
            </w:r>
          </w:p>
        </w:tc>
        <w:tc>
          <w:tcPr>
            <w:tcW w:w="400" w:type="dxa"/>
            <w:vAlign w:val="bottom"/>
          </w:tcPr>
          <w:p>
            <w:pPr>
              <w:spacing w:after="0"/>
              <w:rPr>
                <w:sz w:val="16"/>
                <w:szCs w:val="16"/>
                <w:color w:val="auto"/>
              </w:rPr>
            </w:pPr>
          </w:p>
        </w:tc>
        <w:tc>
          <w:tcPr>
            <w:tcW w:w="2140" w:type="dxa"/>
            <w:vAlign w:val="bottom"/>
            <w:gridSpan w:val="19"/>
          </w:tcPr>
          <w:p>
            <w:pPr>
              <w:spacing w:after="0" w:line="195" w:lineRule="exact"/>
              <w:rPr>
                <w:sz w:val="20"/>
                <w:szCs w:val="20"/>
                <w:color w:val="auto"/>
              </w:rPr>
            </w:pPr>
            <w:r>
              <w:rPr>
                <w:rFonts w:ascii="Arial" w:cs="Arial" w:eastAsia="Arial" w:hAnsi="Arial"/>
                <w:sz w:val="18"/>
                <w:szCs w:val="18"/>
                <w:color w:val="auto"/>
                <w:w w:val="95"/>
              </w:rPr>
              <w:t>Authorization; Enforceability</w:t>
            </w:r>
          </w:p>
        </w:tc>
        <w:tc>
          <w:tcPr>
            <w:tcW w:w="280" w:type="dxa"/>
            <w:vAlign w:val="bottom"/>
            <w:gridSpan w:val="3"/>
          </w:tcPr>
          <w:p>
            <w:pPr>
              <w:spacing w:after="0" w:line="195" w:lineRule="exact"/>
              <w:rPr>
                <w:sz w:val="20"/>
                <w:szCs w:val="20"/>
                <w:color w:val="auto"/>
              </w:rPr>
            </w:pPr>
            <w:r>
              <w:rPr>
                <w:rFonts w:ascii="Arial" w:cs="Arial" w:eastAsia="Arial" w:hAnsi="Arial"/>
                <w:sz w:val="18"/>
                <w:szCs w:val="18"/>
                <w:color w:val="FF0000"/>
                <w:strike w:val="1"/>
                <w:w w:val="86"/>
              </w:rPr>
              <w:t>102</w:t>
            </w:r>
          </w:p>
        </w:tc>
        <w:tc>
          <w:tcPr>
            <w:tcW w:w="440" w:type="dxa"/>
            <w:vAlign w:val="bottom"/>
            <w:gridSpan w:val="6"/>
          </w:tcPr>
          <w:p>
            <w:pPr>
              <w:jc w:val="right"/>
              <w:ind w:right="260"/>
              <w:spacing w:after="0" w:line="195" w:lineRule="exact"/>
              <w:rPr>
                <w:sz w:val="20"/>
                <w:szCs w:val="20"/>
                <w:color w:val="auto"/>
              </w:rPr>
            </w:pPr>
            <w:r>
              <w:rPr>
                <w:rFonts w:ascii="Arial" w:cs="Arial" w:eastAsia="Arial" w:hAnsi="Arial"/>
                <w:sz w:val="18"/>
                <w:szCs w:val="18"/>
                <w:color w:val="0000FF"/>
                <w:w w:val="79"/>
              </w:rPr>
              <w:t>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50"/>
        </w:trPr>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6" w:name="page57"/>
    <w:bookmarkEnd w:id="56"/>
    <w:p>
      <w:pPr>
        <w:ind w:left="10900"/>
        <w:spacing w:after="0"/>
        <w:rPr>
          <w:sz w:val="20"/>
          <w:szCs w:val="20"/>
          <w:color w:val="auto"/>
        </w:rPr>
      </w:pPr>
      <w:r>
        <w:rPr>
          <w:rFonts w:ascii="Arial" w:cs="Arial" w:eastAsia="Arial" w:hAnsi="Arial"/>
          <w:sz w:val="13"/>
          <w:szCs w:val="13"/>
          <w:u w:val="single" w:color="auto"/>
          <w:color w:val="auto"/>
        </w:rPr>
        <w:t>Page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Section 3.03.</w:t>
            </w:r>
          </w:p>
        </w:tc>
        <w:tc>
          <w:tcPr>
            <w:tcW w:w="3060" w:type="dxa"/>
            <w:vAlign w:val="bottom"/>
            <w:gridSpan w:val="33"/>
          </w:tcPr>
          <w:p>
            <w:pPr>
              <w:ind w:left="200"/>
              <w:spacing w:after="0"/>
              <w:rPr>
                <w:sz w:val="20"/>
                <w:szCs w:val="20"/>
                <w:color w:val="auto"/>
              </w:rPr>
            </w:pPr>
            <w:r>
              <w:rPr>
                <w:rFonts w:ascii="Arial" w:cs="Arial" w:eastAsia="Arial" w:hAnsi="Arial"/>
                <w:sz w:val="18"/>
                <w:szCs w:val="18"/>
                <w:color w:val="auto"/>
                <w:w w:val="93"/>
              </w:rPr>
              <w:t>Governmental Approvals; No Conflicts</w:t>
            </w:r>
          </w:p>
        </w:tc>
        <w:tc>
          <w:tcPr>
            <w:tcW w:w="26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102</w:t>
            </w:r>
          </w:p>
        </w:tc>
        <w:tc>
          <w:tcPr>
            <w:tcW w:w="280" w:type="dxa"/>
            <w:vAlign w:val="bottom"/>
            <w:gridSpan w:val="3"/>
          </w:tcPr>
          <w:p>
            <w:pPr>
              <w:spacing w:after="0"/>
              <w:rPr>
                <w:sz w:val="20"/>
                <w:szCs w:val="20"/>
                <w:color w:val="auto"/>
              </w:rPr>
            </w:pPr>
            <w:r>
              <w:rPr>
                <w:rFonts w:ascii="Arial" w:cs="Arial" w:eastAsia="Arial" w:hAnsi="Arial"/>
                <w:sz w:val="18"/>
                <w:szCs w:val="18"/>
                <w:color w:val="0000FF"/>
              </w:rPr>
              <w:t>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3.04.</w:t>
            </w:r>
          </w:p>
        </w:tc>
        <w:tc>
          <w:tcPr>
            <w:tcW w:w="3960" w:type="dxa"/>
            <w:vAlign w:val="bottom"/>
            <w:gridSpan w:val="42"/>
          </w:tcPr>
          <w:p>
            <w:pPr>
              <w:ind w:left="200"/>
              <w:spacing w:after="0" w:line="195" w:lineRule="exact"/>
              <w:rPr>
                <w:sz w:val="20"/>
                <w:szCs w:val="20"/>
                <w:color w:val="auto"/>
              </w:rPr>
            </w:pPr>
            <w:r>
              <w:rPr>
                <w:rFonts w:ascii="Arial" w:cs="Arial" w:eastAsia="Arial" w:hAnsi="Arial"/>
                <w:sz w:val="18"/>
                <w:szCs w:val="18"/>
                <w:color w:val="auto"/>
                <w:w w:val="92"/>
              </w:rPr>
              <w:t>Financial Condition; No Material Adverse Effect 10</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3.05.</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rPr>
              <w:t>Properties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10</w:t>
            </w:r>
          </w:p>
        </w:tc>
        <w:tc>
          <w:tcPr>
            <w:tcW w:w="12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3</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3.06.</w:t>
            </w:r>
          </w:p>
        </w:tc>
        <w:tc>
          <w:tcPr>
            <w:tcW w:w="3060" w:type="dxa"/>
            <w:vAlign w:val="bottom"/>
            <w:gridSpan w:val="33"/>
          </w:tcPr>
          <w:p>
            <w:pPr>
              <w:ind w:left="200"/>
              <w:spacing w:after="0" w:line="195" w:lineRule="exact"/>
              <w:rPr>
                <w:sz w:val="20"/>
                <w:szCs w:val="20"/>
                <w:color w:val="auto"/>
              </w:rPr>
            </w:pPr>
            <w:r>
              <w:rPr>
                <w:rFonts w:ascii="Arial" w:cs="Arial" w:eastAsia="Arial" w:hAnsi="Arial"/>
                <w:sz w:val="18"/>
                <w:szCs w:val="18"/>
                <w:color w:val="auto"/>
                <w:w w:val="97"/>
              </w:rPr>
              <w:t>Litigation and Environmental Matters</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10</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3</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3.07.</w:t>
            </w:r>
          </w:p>
        </w:tc>
        <w:tc>
          <w:tcPr>
            <w:tcW w:w="1980" w:type="dxa"/>
            <w:vAlign w:val="bottom"/>
            <w:gridSpan w:val="18"/>
          </w:tcPr>
          <w:p>
            <w:pPr>
              <w:ind w:left="200"/>
              <w:spacing w:after="0" w:line="195" w:lineRule="exact"/>
              <w:rPr>
                <w:sz w:val="20"/>
                <w:szCs w:val="20"/>
                <w:color w:val="auto"/>
              </w:rPr>
            </w:pPr>
            <w:r>
              <w:rPr>
                <w:rFonts w:ascii="Arial" w:cs="Arial" w:eastAsia="Arial" w:hAnsi="Arial"/>
                <w:sz w:val="18"/>
                <w:szCs w:val="18"/>
                <w:color w:val="auto"/>
                <w:w w:val="98"/>
              </w:rPr>
              <w:t>Compliance with Laws</w:t>
            </w:r>
          </w:p>
        </w:tc>
        <w:tc>
          <w:tcPr>
            <w:tcW w:w="1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3</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3.08.</w:t>
            </w:r>
          </w:p>
        </w:tc>
        <w:tc>
          <w:tcPr>
            <w:tcW w:w="2340" w:type="dxa"/>
            <w:vAlign w:val="bottom"/>
            <w:gridSpan w:val="24"/>
          </w:tcPr>
          <w:p>
            <w:pPr>
              <w:ind w:left="200"/>
              <w:spacing w:after="0" w:line="195" w:lineRule="exact"/>
              <w:rPr>
                <w:sz w:val="20"/>
                <w:szCs w:val="20"/>
                <w:color w:val="auto"/>
              </w:rPr>
            </w:pPr>
            <w:r>
              <w:rPr>
                <w:rFonts w:ascii="Arial" w:cs="Arial" w:eastAsia="Arial" w:hAnsi="Arial"/>
                <w:sz w:val="18"/>
                <w:szCs w:val="18"/>
                <w:color w:val="auto"/>
                <w:w w:val="93"/>
              </w:rPr>
              <w:t>Investment Company Status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3</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3.09.</w:t>
            </w:r>
          </w:p>
        </w:tc>
        <w:tc>
          <w:tcPr>
            <w:tcW w:w="900" w:type="dxa"/>
            <w:vAlign w:val="bottom"/>
          </w:tcPr>
          <w:p>
            <w:pPr>
              <w:ind w:left="200"/>
              <w:spacing w:after="0" w:line="195" w:lineRule="exact"/>
              <w:rPr>
                <w:sz w:val="20"/>
                <w:szCs w:val="20"/>
                <w:color w:val="auto"/>
              </w:rPr>
            </w:pPr>
            <w:r>
              <w:rPr>
                <w:rFonts w:ascii="Arial" w:cs="Arial" w:eastAsia="Arial" w:hAnsi="Arial"/>
                <w:sz w:val="18"/>
                <w:szCs w:val="18"/>
                <w:color w:val="auto"/>
              </w:rPr>
              <w:t>Taxes</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3</w:t>
            </w:r>
          </w:p>
        </w:tc>
        <w:tc>
          <w:tcPr>
            <w:tcW w:w="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3.10.</w:t>
            </w:r>
          </w:p>
        </w:tc>
        <w:tc>
          <w:tcPr>
            <w:tcW w:w="900" w:type="dxa"/>
            <w:vAlign w:val="bottom"/>
          </w:tcPr>
          <w:p>
            <w:pPr>
              <w:ind w:left="200"/>
              <w:spacing w:after="0" w:line="195" w:lineRule="exact"/>
              <w:rPr>
                <w:sz w:val="20"/>
                <w:szCs w:val="20"/>
                <w:color w:val="auto"/>
              </w:rPr>
            </w:pPr>
            <w:r>
              <w:rPr>
                <w:rFonts w:ascii="Arial" w:cs="Arial" w:eastAsia="Arial" w:hAnsi="Arial"/>
                <w:sz w:val="18"/>
                <w:szCs w:val="18"/>
                <w:color w:val="auto"/>
              </w:rPr>
              <w:t>ERISA</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4</w:t>
            </w:r>
          </w:p>
        </w:tc>
        <w:tc>
          <w:tcPr>
            <w:tcW w:w="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3.11.</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rPr>
              <w:t>Disclosure</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10</w:t>
            </w:r>
          </w:p>
        </w:tc>
        <w:tc>
          <w:tcPr>
            <w:tcW w:w="12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4</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3.12.</w:t>
            </w:r>
          </w:p>
        </w:tc>
        <w:tc>
          <w:tcPr>
            <w:tcW w:w="1080" w:type="dxa"/>
            <w:vAlign w:val="bottom"/>
            <w:gridSpan w:val="3"/>
          </w:tcPr>
          <w:p>
            <w:pPr>
              <w:ind w:left="200"/>
              <w:spacing w:after="0" w:line="195" w:lineRule="exact"/>
              <w:rPr>
                <w:sz w:val="20"/>
                <w:szCs w:val="20"/>
                <w:color w:val="auto"/>
              </w:rPr>
            </w:pPr>
            <w:r>
              <w:rPr>
                <w:rFonts w:ascii="Arial" w:cs="Arial" w:eastAsia="Arial" w:hAnsi="Arial"/>
                <w:sz w:val="18"/>
                <w:szCs w:val="18"/>
                <w:color w:val="auto"/>
                <w:w w:val="87"/>
              </w:rPr>
              <w:t>Solvency 10</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4</w:t>
            </w:r>
          </w:p>
        </w:tc>
        <w:tc>
          <w:tcPr>
            <w:tcW w:w="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3.13.</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rPr>
              <w:t>Subsidiaries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10</w:t>
            </w:r>
          </w:p>
        </w:tc>
        <w:tc>
          <w:tcPr>
            <w:tcW w:w="12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4</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3.14.</w:t>
            </w:r>
          </w:p>
        </w:tc>
        <w:tc>
          <w:tcPr>
            <w:tcW w:w="2520" w:type="dxa"/>
            <w:vAlign w:val="bottom"/>
            <w:gridSpan w:val="26"/>
          </w:tcPr>
          <w:p>
            <w:pPr>
              <w:ind w:left="200"/>
              <w:spacing w:after="0" w:line="195" w:lineRule="exact"/>
              <w:rPr>
                <w:sz w:val="20"/>
                <w:szCs w:val="20"/>
                <w:color w:val="auto"/>
              </w:rPr>
            </w:pPr>
            <w:r>
              <w:rPr>
                <w:rFonts w:ascii="Arial" w:cs="Arial" w:eastAsia="Arial" w:hAnsi="Arial"/>
                <w:sz w:val="18"/>
                <w:szCs w:val="18"/>
                <w:color w:val="auto"/>
                <w:w w:val="90"/>
              </w:rPr>
              <w:t>Security Interest in Collateral 10</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4</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0000FF"/>
                <w:w w:val="71"/>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3.15.</w:t>
            </w:r>
          </w:p>
        </w:tc>
        <w:tc>
          <w:tcPr>
            <w:tcW w:w="1620" w:type="dxa"/>
            <w:vAlign w:val="bottom"/>
            <w:gridSpan w:val="12"/>
          </w:tcPr>
          <w:p>
            <w:pPr>
              <w:ind w:left="200"/>
              <w:spacing w:after="0" w:line="195" w:lineRule="exact"/>
              <w:rPr>
                <w:sz w:val="20"/>
                <w:szCs w:val="20"/>
                <w:color w:val="auto"/>
              </w:rPr>
            </w:pPr>
            <w:r>
              <w:rPr>
                <w:rFonts w:ascii="Arial" w:cs="Arial" w:eastAsia="Arial" w:hAnsi="Arial"/>
                <w:sz w:val="18"/>
                <w:szCs w:val="18"/>
                <w:color w:val="auto"/>
              </w:rPr>
              <w:t>Labor Disputes</w:t>
            </w:r>
          </w:p>
        </w:tc>
        <w:tc>
          <w:tcPr>
            <w:tcW w:w="180" w:type="dxa"/>
            <w:vAlign w:val="bottom"/>
            <w:gridSpan w:val="3"/>
          </w:tcPr>
          <w:p>
            <w:pPr>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20" w:type="dxa"/>
            <w:vAlign w:val="bottom"/>
            <w:tcBorders>
              <w:bottom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3.16.</w:t>
            </w:r>
          </w:p>
        </w:tc>
        <w:tc>
          <w:tcPr>
            <w:tcW w:w="2340" w:type="dxa"/>
            <w:vAlign w:val="bottom"/>
            <w:gridSpan w:val="24"/>
          </w:tcPr>
          <w:p>
            <w:pPr>
              <w:ind w:left="200"/>
              <w:spacing w:after="0" w:line="195" w:lineRule="exact"/>
              <w:rPr>
                <w:sz w:val="20"/>
                <w:szCs w:val="20"/>
                <w:color w:val="auto"/>
              </w:rPr>
            </w:pPr>
            <w:r>
              <w:rPr>
                <w:rFonts w:ascii="Arial" w:cs="Arial" w:eastAsia="Arial" w:hAnsi="Arial"/>
                <w:sz w:val="18"/>
                <w:szCs w:val="18"/>
                <w:color w:val="auto"/>
                <w:w w:val="90"/>
              </w:rPr>
              <w:t>Federal Reserve Regulations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3.17.</w:t>
            </w:r>
          </w:p>
        </w:tc>
        <w:tc>
          <w:tcPr>
            <w:tcW w:w="2880" w:type="dxa"/>
            <w:vAlign w:val="bottom"/>
            <w:gridSpan w:val="31"/>
          </w:tcPr>
          <w:p>
            <w:pPr>
              <w:ind w:left="200"/>
              <w:spacing w:after="0" w:line="195" w:lineRule="exact"/>
              <w:rPr>
                <w:sz w:val="20"/>
                <w:szCs w:val="20"/>
                <w:color w:val="auto"/>
              </w:rPr>
            </w:pPr>
            <w:r>
              <w:rPr>
                <w:rFonts w:ascii="Arial" w:cs="Arial" w:eastAsia="Arial" w:hAnsi="Arial"/>
                <w:sz w:val="18"/>
                <w:szCs w:val="18"/>
                <w:color w:val="auto"/>
                <w:w w:val="91"/>
              </w:rPr>
              <w:t>OFAC; PATRIOT ACT and FCPA 10</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gridSpan w:val="6"/>
            <w:vMerge w:val="restart"/>
          </w:tcPr>
          <w:p>
            <w:pPr>
              <w:jc w:val="center"/>
              <w:ind w:right="5100"/>
              <w:spacing w:after="0"/>
              <w:rPr>
                <w:sz w:val="20"/>
                <w:szCs w:val="20"/>
                <w:color w:val="auto"/>
              </w:rPr>
            </w:pPr>
            <w:r>
              <w:rPr>
                <w:rFonts w:ascii="Arial" w:cs="Arial" w:eastAsia="Arial" w:hAnsi="Arial"/>
                <w:sz w:val="18"/>
                <w:szCs w:val="18"/>
                <w:color w:val="auto"/>
                <w:w w:val="96"/>
              </w:rPr>
              <w:t>ARTICLE 4</w:t>
            </w: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7"/>
          </w:tcPr>
          <w:p>
            <w:pPr>
              <w:jc w:val="center"/>
              <w:ind w:right="4980"/>
              <w:spacing w:after="0"/>
              <w:rPr>
                <w:sz w:val="20"/>
                <w:szCs w:val="20"/>
                <w:color w:val="auto"/>
              </w:rPr>
            </w:pPr>
            <w:r>
              <w:rPr>
                <w:rFonts w:ascii="Arial" w:cs="Arial" w:eastAsia="Arial" w:hAnsi="Arial"/>
                <w:sz w:val="18"/>
                <w:szCs w:val="18"/>
                <w:color w:val="auto"/>
                <w:w w:val="97"/>
              </w:rPr>
              <w:t>CONDITIONS</w:t>
            </w:r>
          </w:p>
        </w:tc>
        <w:tc>
          <w:tcPr>
            <w:tcW w:w="0" w:type="dxa"/>
            <w:vAlign w:val="bottom"/>
          </w:tcPr>
          <w:p>
            <w:pPr>
              <w:spacing w:after="0"/>
              <w:rPr>
                <w:sz w:val="1"/>
                <w:szCs w:val="1"/>
                <w:color w:val="auto"/>
              </w:rPr>
            </w:pPr>
          </w:p>
        </w:tc>
      </w:tr>
      <w:tr>
        <w:trPr>
          <w:trHeight w:val="389"/>
        </w:trPr>
        <w:tc>
          <w:tcPr>
            <w:tcW w:w="1140" w:type="dxa"/>
            <w:vAlign w:val="bottom"/>
          </w:tcPr>
          <w:p>
            <w:pPr>
              <w:spacing w:after="0"/>
              <w:rPr>
                <w:sz w:val="20"/>
                <w:szCs w:val="20"/>
                <w:color w:val="auto"/>
              </w:rPr>
            </w:pPr>
            <w:r>
              <w:rPr>
                <w:rFonts w:ascii="Arial" w:cs="Arial" w:eastAsia="Arial" w:hAnsi="Arial"/>
                <w:sz w:val="18"/>
                <w:szCs w:val="18"/>
                <w:color w:val="auto"/>
              </w:rPr>
              <w:t>Section 4.01.</w:t>
            </w:r>
          </w:p>
        </w:tc>
        <w:tc>
          <w:tcPr>
            <w:tcW w:w="1260" w:type="dxa"/>
            <w:vAlign w:val="bottom"/>
            <w:gridSpan w:val="6"/>
          </w:tcPr>
          <w:p>
            <w:pPr>
              <w:ind w:left="200"/>
              <w:spacing w:after="0"/>
              <w:rPr>
                <w:sz w:val="20"/>
                <w:szCs w:val="20"/>
                <w:color w:val="auto"/>
              </w:rPr>
            </w:pPr>
            <w:r>
              <w:rPr>
                <w:rFonts w:ascii="Arial" w:cs="Arial" w:eastAsia="Arial" w:hAnsi="Arial"/>
                <w:sz w:val="18"/>
                <w:szCs w:val="18"/>
                <w:color w:val="auto"/>
              </w:rPr>
              <w:t>Closing Date</w:t>
            </w: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10</w:t>
            </w:r>
          </w:p>
        </w:tc>
        <w:tc>
          <w:tcPr>
            <w:tcW w:w="12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6</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4.02.</w:t>
            </w:r>
          </w:p>
        </w:tc>
        <w:tc>
          <w:tcPr>
            <w:tcW w:w="1980" w:type="dxa"/>
            <w:vAlign w:val="bottom"/>
            <w:gridSpan w:val="18"/>
          </w:tcPr>
          <w:p>
            <w:pPr>
              <w:ind w:left="200"/>
              <w:spacing w:after="0" w:line="195" w:lineRule="exact"/>
              <w:rPr>
                <w:sz w:val="20"/>
                <w:szCs w:val="20"/>
                <w:color w:val="auto"/>
              </w:rPr>
            </w:pPr>
            <w:r>
              <w:rPr>
                <w:rFonts w:ascii="Arial" w:cs="Arial" w:eastAsia="Arial" w:hAnsi="Arial"/>
                <w:sz w:val="18"/>
                <w:szCs w:val="18"/>
                <w:color w:val="auto"/>
                <w:w w:val="98"/>
              </w:rPr>
              <w:t>Each Credit Extension</w:t>
            </w:r>
          </w:p>
        </w:tc>
        <w:tc>
          <w:tcPr>
            <w:tcW w:w="1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79"/>
              </w:rPr>
              <w:t>10</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gridSpan w:val="6"/>
            <w:vMerge w:val="restart"/>
          </w:tcPr>
          <w:p>
            <w:pPr>
              <w:jc w:val="center"/>
              <w:ind w:right="5100"/>
              <w:spacing w:after="0"/>
              <w:rPr>
                <w:sz w:val="20"/>
                <w:szCs w:val="20"/>
                <w:color w:val="auto"/>
              </w:rPr>
            </w:pPr>
            <w:r>
              <w:rPr>
                <w:rFonts w:ascii="Arial" w:cs="Arial" w:eastAsia="Arial" w:hAnsi="Arial"/>
                <w:sz w:val="18"/>
                <w:szCs w:val="18"/>
                <w:color w:val="auto"/>
                <w:w w:val="96"/>
              </w:rPr>
              <w:t>ARTICLE 5</w:t>
            </w: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80" w:type="dxa"/>
            <w:vAlign w:val="bottom"/>
            <w:gridSpan w:val="13"/>
          </w:tcPr>
          <w:p>
            <w:pPr>
              <w:jc w:val="center"/>
              <w:ind w:right="4460"/>
              <w:spacing w:after="0"/>
              <w:rPr>
                <w:sz w:val="20"/>
                <w:szCs w:val="20"/>
                <w:color w:val="auto"/>
              </w:rPr>
            </w:pPr>
            <w:r>
              <w:rPr>
                <w:rFonts w:ascii="Arial" w:cs="Arial" w:eastAsia="Arial" w:hAnsi="Arial"/>
                <w:sz w:val="18"/>
                <w:szCs w:val="18"/>
                <w:color w:val="auto"/>
                <w:w w:val="98"/>
              </w:rPr>
              <w:t>AFFIRMATIVE COVENANTS</w:t>
            </w:r>
          </w:p>
        </w:tc>
        <w:tc>
          <w:tcPr>
            <w:tcW w:w="0" w:type="dxa"/>
            <w:vAlign w:val="bottom"/>
          </w:tcPr>
          <w:p>
            <w:pPr>
              <w:spacing w:after="0"/>
              <w:rPr>
                <w:sz w:val="1"/>
                <w:szCs w:val="1"/>
                <w:color w:val="auto"/>
              </w:rPr>
            </w:pPr>
          </w:p>
        </w:tc>
      </w:tr>
      <w:tr>
        <w:trPr>
          <w:trHeight w:val="389"/>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3060" w:type="dxa"/>
            <w:vAlign w:val="bottom"/>
            <w:gridSpan w:val="33"/>
          </w:tcPr>
          <w:p>
            <w:pPr>
              <w:ind w:left="200"/>
              <w:spacing w:after="0"/>
              <w:rPr>
                <w:sz w:val="20"/>
                <w:szCs w:val="20"/>
                <w:color w:val="auto"/>
              </w:rPr>
            </w:pPr>
            <w:r>
              <w:rPr>
                <w:rFonts w:ascii="Arial" w:cs="Arial" w:eastAsia="Arial" w:hAnsi="Arial"/>
                <w:sz w:val="18"/>
                <w:szCs w:val="18"/>
                <w:color w:val="auto"/>
                <w:w w:val="88"/>
              </w:rPr>
              <w:t>Financial Statements and Other Reports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9</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5.02.</w:t>
            </w:r>
          </w:p>
        </w:tc>
        <w:tc>
          <w:tcPr>
            <w:tcW w:w="900" w:type="dxa"/>
            <w:vAlign w:val="bottom"/>
          </w:tcPr>
          <w:p>
            <w:pPr>
              <w:ind w:left="200"/>
              <w:spacing w:after="0" w:line="195" w:lineRule="exact"/>
              <w:rPr>
                <w:sz w:val="20"/>
                <w:szCs w:val="20"/>
                <w:color w:val="auto"/>
              </w:rPr>
            </w:pPr>
            <w:r>
              <w:rPr>
                <w:rFonts w:ascii="Arial" w:cs="Arial" w:eastAsia="Arial" w:hAnsi="Arial"/>
                <w:sz w:val="18"/>
                <w:szCs w:val="18"/>
                <w:color w:val="auto"/>
                <w:w w:val="87"/>
              </w:rPr>
              <w:t>Existence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11</w:t>
            </w:r>
          </w:p>
        </w:tc>
        <w:tc>
          <w:tcPr>
            <w:tcW w:w="18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18"/>
                <w:szCs w:val="18"/>
                <w:color w:val="0000FF"/>
                <w:w w:val="79"/>
              </w:rPr>
              <w:t>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5.03.</w:t>
            </w:r>
          </w:p>
        </w:tc>
        <w:tc>
          <w:tcPr>
            <w:tcW w:w="1620" w:type="dxa"/>
            <w:vAlign w:val="bottom"/>
            <w:gridSpan w:val="12"/>
          </w:tcPr>
          <w:p>
            <w:pPr>
              <w:ind w:left="200"/>
              <w:spacing w:after="0" w:line="195" w:lineRule="exact"/>
              <w:rPr>
                <w:sz w:val="20"/>
                <w:szCs w:val="20"/>
                <w:color w:val="auto"/>
              </w:rPr>
            </w:pPr>
            <w:r>
              <w:rPr>
                <w:rFonts w:ascii="Arial" w:cs="Arial" w:eastAsia="Arial" w:hAnsi="Arial"/>
                <w:sz w:val="18"/>
                <w:szCs w:val="18"/>
                <w:color w:val="auto"/>
                <w:w w:val="96"/>
              </w:rPr>
              <w:t>Payment of Taxes</w:t>
            </w: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11</w:t>
            </w:r>
          </w:p>
        </w:tc>
        <w:tc>
          <w:tcPr>
            <w:tcW w:w="18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18"/>
                <w:szCs w:val="18"/>
                <w:color w:val="0000FF"/>
                <w:w w:val="79"/>
              </w:rPr>
              <w:t>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5.04.</w:t>
            </w:r>
          </w:p>
        </w:tc>
        <w:tc>
          <w:tcPr>
            <w:tcW w:w="2340" w:type="dxa"/>
            <w:vAlign w:val="bottom"/>
            <w:gridSpan w:val="24"/>
          </w:tcPr>
          <w:p>
            <w:pPr>
              <w:ind w:left="200"/>
              <w:spacing w:after="0" w:line="195" w:lineRule="exact"/>
              <w:rPr>
                <w:sz w:val="20"/>
                <w:szCs w:val="20"/>
                <w:color w:val="auto"/>
              </w:rPr>
            </w:pPr>
            <w:r>
              <w:rPr>
                <w:rFonts w:ascii="Arial" w:cs="Arial" w:eastAsia="Arial" w:hAnsi="Arial"/>
                <w:sz w:val="18"/>
                <w:szCs w:val="18"/>
                <w:color w:val="auto"/>
              </w:rPr>
              <w:t>Maintenance of Properties</w:t>
            </w: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11</w:t>
            </w:r>
          </w:p>
        </w:tc>
        <w:tc>
          <w:tcPr>
            <w:tcW w:w="280" w:type="dxa"/>
            <w:vAlign w:val="bottom"/>
            <w:gridSpan w:val="4"/>
          </w:tcPr>
          <w:p>
            <w:pPr>
              <w:jc w:val="right"/>
              <w:ind w:right="100"/>
              <w:spacing w:after="0" w:line="195" w:lineRule="exact"/>
              <w:rPr>
                <w:sz w:val="20"/>
                <w:szCs w:val="20"/>
                <w:color w:val="auto"/>
              </w:rPr>
            </w:pPr>
            <w:r>
              <w:rPr>
                <w:rFonts w:ascii="Arial" w:cs="Arial" w:eastAsia="Arial" w:hAnsi="Arial"/>
                <w:sz w:val="18"/>
                <w:szCs w:val="18"/>
                <w:color w:val="0000FF"/>
                <w:w w:val="79"/>
              </w:rPr>
              <w:t>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5.05.</w:t>
            </w:r>
          </w:p>
        </w:tc>
        <w:tc>
          <w:tcPr>
            <w:tcW w:w="900" w:type="dxa"/>
            <w:vAlign w:val="bottom"/>
          </w:tcPr>
          <w:p>
            <w:pPr>
              <w:ind w:left="200"/>
              <w:spacing w:after="0" w:line="195" w:lineRule="exact"/>
              <w:rPr>
                <w:sz w:val="20"/>
                <w:szCs w:val="20"/>
                <w:color w:val="auto"/>
              </w:rPr>
            </w:pPr>
            <w:r>
              <w:rPr>
                <w:rFonts w:ascii="Arial" w:cs="Arial" w:eastAsia="Arial" w:hAnsi="Arial"/>
                <w:sz w:val="18"/>
                <w:szCs w:val="18"/>
                <w:color w:val="auto"/>
                <w:w w:val="85"/>
              </w:rPr>
              <w:t>Insurance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11</w:t>
            </w:r>
          </w:p>
        </w:tc>
        <w:tc>
          <w:tcPr>
            <w:tcW w:w="180" w:type="dxa"/>
            <w:vAlign w:val="bottom"/>
            <w:tcBorders>
              <w:bottom w:val="single" w:sz="8" w:color="0000FF"/>
            </w:tcBorders>
            <w:gridSpan w:val="4"/>
          </w:tcPr>
          <w:p>
            <w:pPr>
              <w:jc w:val="right"/>
              <w:spacing w:after="0" w:line="195" w:lineRule="exact"/>
              <w:rPr>
                <w:sz w:val="20"/>
                <w:szCs w:val="20"/>
                <w:color w:val="auto"/>
              </w:rPr>
            </w:pPr>
            <w:r>
              <w:rPr>
                <w:rFonts w:ascii="Arial" w:cs="Arial" w:eastAsia="Arial" w:hAnsi="Arial"/>
                <w:sz w:val="18"/>
                <w:szCs w:val="18"/>
                <w:color w:val="0000FF"/>
                <w:w w:val="79"/>
              </w:rPr>
              <w:t>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5.06.</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rPr>
              <w:t>Inspections</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8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12</w:t>
            </w:r>
          </w:p>
        </w:tc>
        <w:tc>
          <w:tcPr>
            <w:tcW w:w="180" w:type="dxa"/>
            <w:vAlign w:val="bottom"/>
            <w:gridSpan w:val="4"/>
          </w:tcPr>
          <w:p>
            <w:pPr>
              <w:spacing w:after="0" w:line="195" w:lineRule="exact"/>
              <w:rPr>
                <w:sz w:val="20"/>
                <w:szCs w:val="20"/>
                <w:color w:val="auto"/>
              </w:rPr>
            </w:pPr>
            <w:r>
              <w:rPr>
                <w:rFonts w:ascii="Arial" w:cs="Arial" w:eastAsia="Arial" w:hAnsi="Arial"/>
                <w:sz w:val="18"/>
                <w:szCs w:val="18"/>
                <w:color w:val="0000FF"/>
                <w:w w:val="79"/>
              </w:rPr>
              <w:t>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5.07.</w:t>
            </w:r>
          </w:p>
        </w:tc>
        <w:tc>
          <w:tcPr>
            <w:tcW w:w="3060" w:type="dxa"/>
            <w:vAlign w:val="bottom"/>
            <w:gridSpan w:val="33"/>
          </w:tcPr>
          <w:p>
            <w:pPr>
              <w:ind w:left="200"/>
              <w:spacing w:after="0" w:line="195" w:lineRule="exact"/>
              <w:rPr>
                <w:sz w:val="20"/>
                <w:szCs w:val="20"/>
                <w:color w:val="auto"/>
              </w:rPr>
            </w:pPr>
            <w:r>
              <w:rPr>
                <w:rFonts w:ascii="Arial" w:cs="Arial" w:eastAsia="Arial" w:hAnsi="Arial"/>
                <w:sz w:val="18"/>
                <w:szCs w:val="18"/>
                <w:color w:val="auto"/>
              </w:rPr>
              <w:t>Maintenance of Book and Records</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5.08.</w:t>
            </w:r>
          </w:p>
        </w:tc>
        <w:tc>
          <w:tcPr>
            <w:tcW w:w="1980" w:type="dxa"/>
            <w:vAlign w:val="bottom"/>
            <w:gridSpan w:val="18"/>
          </w:tcPr>
          <w:p>
            <w:pPr>
              <w:ind w:left="200"/>
              <w:spacing w:after="0" w:line="195" w:lineRule="exact"/>
              <w:rPr>
                <w:sz w:val="20"/>
                <w:szCs w:val="20"/>
                <w:color w:val="auto"/>
              </w:rPr>
            </w:pPr>
            <w:r>
              <w:rPr>
                <w:rFonts w:ascii="Arial" w:cs="Arial" w:eastAsia="Arial" w:hAnsi="Arial"/>
                <w:sz w:val="18"/>
                <w:szCs w:val="18"/>
                <w:color w:val="auto"/>
                <w:w w:val="98"/>
              </w:rPr>
              <w:t>Compliance with Laws</w:t>
            </w:r>
          </w:p>
        </w:tc>
        <w:tc>
          <w:tcPr>
            <w:tcW w:w="1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5.09.</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w w:val="90"/>
              </w:rPr>
              <w:t>Environmental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3"/>
          </w:tcPr>
          <w:p>
            <w:pPr>
              <w:spacing w:after="0" w:line="195" w:lineRule="exact"/>
              <w:rPr>
                <w:sz w:val="20"/>
                <w:szCs w:val="20"/>
                <w:color w:val="auto"/>
              </w:rPr>
            </w:pPr>
            <w:r>
              <w:rPr>
                <w:rFonts w:ascii="Arial" w:cs="Arial" w:eastAsia="Arial" w:hAnsi="Arial"/>
                <w:sz w:val="18"/>
                <w:szCs w:val="18"/>
                <w:color w:val="auto"/>
                <w:w w:val="79"/>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20" w:type="dxa"/>
            <w:vAlign w:val="bottom"/>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5.10.</w:t>
            </w:r>
          </w:p>
        </w:tc>
        <w:tc>
          <w:tcPr>
            <w:tcW w:w="2340" w:type="dxa"/>
            <w:vAlign w:val="bottom"/>
            <w:gridSpan w:val="24"/>
          </w:tcPr>
          <w:p>
            <w:pPr>
              <w:ind w:left="200"/>
              <w:spacing w:after="0" w:line="195" w:lineRule="exact"/>
              <w:rPr>
                <w:sz w:val="20"/>
                <w:szCs w:val="20"/>
                <w:color w:val="auto"/>
              </w:rPr>
            </w:pPr>
            <w:r>
              <w:rPr>
                <w:rFonts w:ascii="Arial" w:cs="Arial" w:eastAsia="Arial" w:hAnsi="Arial"/>
                <w:sz w:val="18"/>
                <w:szCs w:val="18"/>
                <w:color w:val="auto"/>
                <w:w w:val="97"/>
              </w:rPr>
              <w:t>Designation of Subsidiaries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3</w:t>
            </w:r>
          </w:p>
        </w:tc>
        <w:tc>
          <w:tcPr>
            <w:tcW w:w="1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5.11.</w:t>
            </w:r>
          </w:p>
        </w:tc>
        <w:tc>
          <w:tcPr>
            <w:tcW w:w="1620" w:type="dxa"/>
            <w:vAlign w:val="bottom"/>
            <w:gridSpan w:val="12"/>
          </w:tcPr>
          <w:p>
            <w:pPr>
              <w:ind w:left="200"/>
              <w:spacing w:after="0" w:line="195" w:lineRule="exact"/>
              <w:rPr>
                <w:sz w:val="20"/>
                <w:szCs w:val="20"/>
                <w:color w:val="auto"/>
              </w:rPr>
            </w:pPr>
            <w:r>
              <w:rPr>
                <w:rFonts w:ascii="Arial" w:cs="Arial" w:eastAsia="Arial" w:hAnsi="Arial"/>
                <w:sz w:val="18"/>
                <w:szCs w:val="18"/>
                <w:color w:val="auto"/>
              </w:rPr>
              <w:t>Use of Proceeds</w:t>
            </w:r>
          </w:p>
        </w:tc>
        <w:tc>
          <w:tcPr>
            <w:tcW w:w="180" w:type="dxa"/>
            <w:vAlign w:val="bottom"/>
            <w:gridSpan w:val="3"/>
          </w:tcPr>
          <w:p>
            <w:pPr>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3</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5.12.</w:t>
            </w:r>
          </w:p>
        </w:tc>
        <w:tc>
          <w:tcPr>
            <w:tcW w:w="4300" w:type="dxa"/>
            <w:vAlign w:val="bottom"/>
            <w:gridSpan w:val="45"/>
          </w:tcPr>
          <w:p>
            <w:pPr>
              <w:ind w:left="200"/>
              <w:spacing w:after="0" w:line="195" w:lineRule="exact"/>
              <w:rPr>
                <w:sz w:val="20"/>
                <w:szCs w:val="20"/>
                <w:color w:val="auto"/>
              </w:rPr>
            </w:pPr>
            <w:r>
              <w:rPr>
                <w:rFonts w:ascii="Arial" w:cs="Arial" w:eastAsia="Arial" w:hAnsi="Arial"/>
                <w:sz w:val="18"/>
                <w:szCs w:val="18"/>
                <w:color w:val="auto"/>
                <w:w w:val="89"/>
              </w:rPr>
              <w:t>Covenant to Guarantee Obligations and Give Security 11</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4</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5.13.</w:t>
            </w:r>
          </w:p>
        </w:tc>
        <w:tc>
          <w:tcPr>
            <w:tcW w:w="2160" w:type="dxa"/>
            <w:vAlign w:val="bottom"/>
            <w:gridSpan w:val="21"/>
          </w:tcPr>
          <w:p>
            <w:pPr>
              <w:ind w:left="200"/>
              <w:spacing w:after="0" w:line="195" w:lineRule="exact"/>
              <w:rPr>
                <w:sz w:val="20"/>
                <w:szCs w:val="20"/>
                <w:color w:val="auto"/>
              </w:rPr>
            </w:pPr>
            <w:r>
              <w:rPr>
                <w:rFonts w:ascii="Arial" w:cs="Arial" w:eastAsia="Arial" w:hAnsi="Arial"/>
                <w:sz w:val="18"/>
                <w:szCs w:val="18"/>
                <w:color w:val="auto"/>
                <w:w w:val="90"/>
              </w:rPr>
              <w:t>Maintenance of Ratings 11</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5</w:t>
            </w:r>
          </w:p>
        </w:tc>
        <w:tc>
          <w:tcPr>
            <w:tcW w:w="1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5.14.</w:t>
            </w:r>
          </w:p>
        </w:tc>
        <w:tc>
          <w:tcPr>
            <w:tcW w:w="1800" w:type="dxa"/>
            <w:vAlign w:val="bottom"/>
            <w:gridSpan w:val="15"/>
          </w:tcPr>
          <w:p>
            <w:pPr>
              <w:ind w:left="200"/>
              <w:spacing w:after="0" w:line="195" w:lineRule="exact"/>
              <w:rPr>
                <w:sz w:val="20"/>
                <w:szCs w:val="20"/>
                <w:color w:val="auto"/>
              </w:rPr>
            </w:pPr>
            <w:r>
              <w:rPr>
                <w:rFonts w:ascii="Arial" w:cs="Arial" w:eastAsia="Arial" w:hAnsi="Arial"/>
                <w:sz w:val="18"/>
                <w:szCs w:val="18"/>
                <w:color w:val="auto"/>
                <w:w w:val="86"/>
              </w:rPr>
              <w:t>Further Assurances 11</w:t>
            </w:r>
          </w:p>
        </w:tc>
        <w:tc>
          <w:tcPr>
            <w:tcW w:w="10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5</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5.15.</w:t>
            </w:r>
          </w:p>
        </w:tc>
        <w:tc>
          <w:tcPr>
            <w:tcW w:w="1980" w:type="dxa"/>
            <w:vAlign w:val="bottom"/>
            <w:gridSpan w:val="18"/>
          </w:tcPr>
          <w:p>
            <w:pPr>
              <w:ind w:left="200"/>
              <w:spacing w:after="0" w:line="195" w:lineRule="exact"/>
              <w:rPr>
                <w:sz w:val="20"/>
                <w:szCs w:val="20"/>
                <w:color w:val="auto"/>
              </w:rPr>
            </w:pPr>
            <w:r>
              <w:rPr>
                <w:rFonts w:ascii="Arial" w:cs="Arial" w:eastAsia="Arial" w:hAnsi="Arial"/>
                <w:sz w:val="18"/>
                <w:szCs w:val="18"/>
                <w:color w:val="auto"/>
                <w:w w:val="95"/>
              </w:rPr>
              <w:t>Post-Closing Covenant</w:t>
            </w:r>
          </w:p>
        </w:tc>
        <w:tc>
          <w:tcPr>
            <w:tcW w:w="1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5</w:t>
            </w:r>
          </w:p>
        </w:tc>
        <w:tc>
          <w:tcPr>
            <w:tcW w:w="1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gridSpan w:val="6"/>
            <w:vMerge w:val="restart"/>
          </w:tcPr>
          <w:p>
            <w:pPr>
              <w:jc w:val="center"/>
              <w:ind w:right="5100"/>
              <w:spacing w:after="0"/>
              <w:rPr>
                <w:sz w:val="20"/>
                <w:szCs w:val="20"/>
                <w:color w:val="auto"/>
              </w:rPr>
            </w:pPr>
            <w:r>
              <w:rPr>
                <w:rFonts w:ascii="Arial" w:cs="Arial" w:eastAsia="Arial" w:hAnsi="Arial"/>
                <w:sz w:val="18"/>
                <w:szCs w:val="18"/>
                <w:color w:val="auto"/>
                <w:w w:val="96"/>
              </w:rPr>
              <w:t>ARTICLE 6</w:t>
            </w: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12"/>
          </w:tcPr>
          <w:p>
            <w:pPr>
              <w:jc w:val="center"/>
              <w:ind w:right="4540"/>
              <w:spacing w:after="0"/>
              <w:rPr>
                <w:sz w:val="20"/>
                <w:szCs w:val="20"/>
                <w:color w:val="auto"/>
              </w:rPr>
            </w:pPr>
            <w:r>
              <w:rPr>
                <w:rFonts w:ascii="Arial" w:cs="Arial" w:eastAsia="Arial" w:hAnsi="Arial"/>
                <w:sz w:val="18"/>
                <w:szCs w:val="18"/>
                <w:color w:val="auto"/>
                <w:w w:val="97"/>
              </w:rPr>
              <w:t>NEGATIVE COVENANTS</w:t>
            </w:r>
          </w:p>
        </w:tc>
        <w:tc>
          <w:tcPr>
            <w:tcW w:w="0" w:type="dxa"/>
            <w:vAlign w:val="bottom"/>
          </w:tcPr>
          <w:p>
            <w:pPr>
              <w:spacing w:after="0"/>
              <w:rPr>
                <w:sz w:val="1"/>
                <w:szCs w:val="1"/>
                <w:color w:val="auto"/>
              </w:rPr>
            </w:pPr>
          </w:p>
        </w:tc>
      </w:tr>
      <w:tr>
        <w:trPr>
          <w:trHeight w:val="389"/>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1260" w:type="dxa"/>
            <w:vAlign w:val="bottom"/>
            <w:gridSpan w:val="6"/>
          </w:tcPr>
          <w:p>
            <w:pPr>
              <w:ind w:left="200"/>
              <w:spacing w:after="0"/>
              <w:rPr>
                <w:sz w:val="20"/>
                <w:szCs w:val="20"/>
                <w:color w:val="auto"/>
              </w:rPr>
            </w:pPr>
            <w:r>
              <w:rPr>
                <w:rFonts w:ascii="Arial" w:cs="Arial" w:eastAsia="Arial" w:hAnsi="Arial"/>
                <w:sz w:val="18"/>
                <w:szCs w:val="18"/>
                <w:color w:val="auto"/>
                <w:w w:val="96"/>
              </w:rPr>
              <w:t>Indebtedness</w:t>
            </w: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11</w:t>
            </w:r>
          </w:p>
        </w:tc>
        <w:tc>
          <w:tcPr>
            <w:tcW w:w="10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color w:val="0000FF"/>
                <w:w w:val="71"/>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6.02.</w:t>
            </w:r>
          </w:p>
        </w:tc>
        <w:tc>
          <w:tcPr>
            <w:tcW w:w="900" w:type="dxa"/>
            <w:vAlign w:val="bottom"/>
          </w:tcPr>
          <w:p>
            <w:pPr>
              <w:ind w:left="200"/>
              <w:spacing w:after="0" w:line="195" w:lineRule="exact"/>
              <w:rPr>
                <w:sz w:val="20"/>
                <w:szCs w:val="20"/>
                <w:color w:val="auto"/>
              </w:rPr>
            </w:pPr>
            <w:r>
              <w:rPr>
                <w:rFonts w:ascii="Arial" w:cs="Arial" w:eastAsia="Arial" w:hAnsi="Arial"/>
                <w:sz w:val="18"/>
                <w:szCs w:val="18"/>
                <w:color w:val="auto"/>
              </w:rPr>
              <w:t>Liens</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79"/>
              </w:rPr>
              <w:t>1</w:t>
            </w:r>
            <w:r>
              <w:rPr>
                <w:rFonts w:ascii="Arial" w:cs="Arial" w:eastAsia="Arial" w:hAnsi="Arial"/>
                <w:sz w:val="18"/>
                <w:szCs w:val="18"/>
                <w:color w:val="0000FF"/>
                <w:w w:val="79"/>
              </w:rPr>
              <w:t>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6.03.</w:t>
            </w:r>
          </w:p>
        </w:tc>
        <w:tc>
          <w:tcPr>
            <w:tcW w:w="1200" w:type="dxa"/>
            <w:vAlign w:val="bottom"/>
            <w:gridSpan w:val="5"/>
          </w:tcPr>
          <w:p>
            <w:pPr>
              <w:ind w:left="200"/>
              <w:spacing w:after="0" w:line="195" w:lineRule="exact"/>
              <w:rPr>
                <w:sz w:val="20"/>
                <w:szCs w:val="20"/>
                <w:color w:val="auto"/>
              </w:rPr>
            </w:pPr>
            <w:r>
              <w:rPr>
                <w:rFonts w:ascii="Arial" w:cs="Arial" w:eastAsia="Arial" w:hAnsi="Arial"/>
                <w:sz w:val="18"/>
                <w:szCs w:val="18"/>
                <w:color w:val="auto"/>
              </w:rPr>
              <w:t>[Reserved]</w:t>
            </w:r>
          </w:p>
        </w:tc>
        <w:tc>
          <w:tcPr>
            <w:tcW w:w="60" w:type="dxa"/>
            <w:vAlign w:val="bottom"/>
            <w:tcBorders>
              <w:top w:val="single" w:sz="8" w:color="0000FF"/>
            </w:tcBorders>
          </w:tcPr>
          <w:p>
            <w:pPr>
              <w:spacing w:after="0"/>
              <w:rPr>
                <w:sz w:val="16"/>
                <w:szCs w:val="16"/>
                <w:color w:val="auto"/>
              </w:rPr>
            </w:pP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12</w:t>
            </w:r>
          </w:p>
        </w:tc>
        <w:tc>
          <w:tcPr>
            <w:tcW w:w="12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4</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6.04.</w:t>
            </w:r>
          </w:p>
        </w:tc>
        <w:tc>
          <w:tcPr>
            <w:tcW w:w="3780" w:type="dxa"/>
            <w:vAlign w:val="bottom"/>
            <w:gridSpan w:val="40"/>
          </w:tcPr>
          <w:p>
            <w:pPr>
              <w:ind w:left="200"/>
              <w:spacing w:after="0" w:line="195" w:lineRule="exact"/>
              <w:rPr>
                <w:sz w:val="20"/>
                <w:szCs w:val="20"/>
                <w:color w:val="auto"/>
              </w:rPr>
            </w:pPr>
            <w:r>
              <w:rPr>
                <w:rFonts w:ascii="Arial" w:cs="Arial" w:eastAsia="Arial" w:hAnsi="Arial"/>
                <w:sz w:val="18"/>
                <w:szCs w:val="18"/>
                <w:color w:val="auto"/>
                <w:w w:val="92"/>
              </w:rPr>
              <w:t>Restricted Payments; Restricted Debt Payments</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12</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4</w:t>
            </w: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6.05.</w:t>
            </w:r>
          </w:p>
        </w:tc>
        <w:tc>
          <w:tcPr>
            <w:tcW w:w="2340" w:type="dxa"/>
            <w:vAlign w:val="bottom"/>
            <w:gridSpan w:val="24"/>
          </w:tcPr>
          <w:p>
            <w:pPr>
              <w:ind w:left="200"/>
              <w:spacing w:after="0" w:line="195" w:lineRule="exact"/>
              <w:rPr>
                <w:sz w:val="20"/>
                <w:szCs w:val="20"/>
                <w:color w:val="auto"/>
              </w:rPr>
            </w:pPr>
            <w:r>
              <w:rPr>
                <w:rFonts w:ascii="Arial" w:cs="Arial" w:eastAsia="Arial" w:hAnsi="Arial"/>
                <w:sz w:val="18"/>
                <w:szCs w:val="18"/>
                <w:color w:val="auto"/>
              </w:rPr>
              <w:t>Burdensome Agreements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12</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6.06.</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rPr>
              <w:t>Investments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12</w:t>
            </w:r>
          </w:p>
        </w:tc>
        <w:tc>
          <w:tcPr>
            <w:tcW w:w="12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9</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6.07.</w:t>
            </w:r>
          </w:p>
        </w:tc>
        <w:tc>
          <w:tcPr>
            <w:tcW w:w="3780" w:type="dxa"/>
            <w:vAlign w:val="bottom"/>
            <w:gridSpan w:val="40"/>
          </w:tcPr>
          <w:p>
            <w:pPr>
              <w:ind w:left="200"/>
              <w:spacing w:after="0" w:line="195" w:lineRule="exact"/>
              <w:rPr>
                <w:sz w:val="20"/>
                <w:szCs w:val="20"/>
                <w:color w:val="auto"/>
              </w:rPr>
            </w:pPr>
            <w:r>
              <w:rPr>
                <w:rFonts w:ascii="Arial" w:cs="Arial" w:eastAsia="Arial" w:hAnsi="Arial"/>
                <w:sz w:val="18"/>
                <w:szCs w:val="18"/>
                <w:color w:val="auto"/>
                <w:w w:val="99"/>
              </w:rPr>
              <w:t>Fundamental Changes; Disposition of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3</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color w:val="0000FF"/>
                <w:w w:val="79"/>
              </w:rPr>
              <w:t>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6.08.</w:t>
            </w:r>
          </w:p>
        </w:tc>
        <w:tc>
          <w:tcPr>
            <w:tcW w:w="1260" w:type="dxa"/>
            <w:vAlign w:val="bottom"/>
            <w:gridSpan w:val="6"/>
          </w:tcPr>
          <w:p>
            <w:pPr>
              <w:ind w:left="200"/>
              <w:spacing w:after="0" w:line="195" w:lineRule="exact"/>
              <w:rPr>
                <w:sz w:val="20"/>
                <w:szCs w:val="20"/>
                <w:color w:val="auto"/>
              </w:rPr>
            </w:pPr>
            <w:r>
              <w:rPr>
                <w:rFonts w:ascii="Arial" w:cs="Arial" w:eastAsia="Arial" w:hAnsi="Arial"/>
                <w:sz w:val="18"/>
                <w:szCs w:val="18"/>
                <w:color w:val="auto"/>
              </w:rPr>
              <w:t>[Reserved]</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13</w:t>
            </w:r>
          </w:p>
        </w:tc>
        <w:tc>
          <w:tcPr>
            <w:tcW w:w="120" w:type="dxa"/>
            <w:vAlign w:val="bottom"/>
            <w:gridSpan w:val="3"/>
          </w:tcPr>
          <w:p>
            <w:pPr>
              <w:jc w:val="right"/>
              <w:spacing w:after="0" w:line="195" w:lineRule="exact"/>
              <w:rPr>
                <w:sz w:val="20"/>
                <w:szCs w:val="20"/>
                <w:color w:val="auto"/>
              </w:rPr>
            </w:pPr>
            <w:r>
              <w:rPr>
                <w:rFonts w:ascii="Arial" w:cs="Arial" w:eastAsia="Arial" w:hAnsi="Arial"/>
                <w:sz w:val="18"/>
                <w:szCs w:val="18"/>
                <w:color w:val="FF0000"/>
                <w:strike w:val="1"/>
                <w:w w:val="79"/>
              </w:rPr>
              <w:t>5</w:t>
            </w:r>
          </w:p>
        </w:tc>
        <w:tc>
          <w:tcPr>
            <w:tcW w:w="60" w:type="dxa"/>
            <w:vAlign w:val="bottom"/>
            <w:tcBorders>
              <w:bottom w:val="single" w:sz="8" w:color="0000FF"/>
            </w:tcBorders>
          </w:tcPr>
          <w:p>
            <w:pPr>
              <w:spacing w:after="0"/>
              <w:rPr>
                <w:sz w:val="20"/>
                <w:szCs w:val="20"/>
                <w:color w:val="auto"/>
              </w:rPr>
            </w:pPr>
            <w:r>
              <w:rPr>
                <w:rFonts w:ascii="Arial" w:cs="Arial" w:eastAsia="Arial" w:hAnsi="Arial"/>
                <w:sz w:val="10"/>
                <w:szCs w:val="10"/>
                <w:color w:val="0000FF"/>
                <w:w w:val="71"/>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6.09.</w:t>
            </w:r>
          </w:p>
        </w:tc>
        <w:tc>
          <w:tcPr>
            <w:tcW w:w="2340" w:type="dxa"/>
            <w:vAlign w:val="bottom"/>
            <w:gridSpan w:val="24"/>
          </w:tcPr>
          <w:p>
            <w:pPr>
              <w:ind w:left="200"/>
              <w:spacing w:after="0" w:line="195" w:lineRule="exact"/>
              <w:rPr>
                <w:sz w:val="20"/>
                <w:szCs w:val="20"/>
                <w:color w:val="auto"/>
              </w:rPr>
            </w:pPr>
            <w:r>
              <w:rPr>
                <w:rFonts w:ascii="Arial" w:cs="Arial" w:eastAsia="Arial" w:hAnsi="Arial"/>
                <w:sz w:val="18"/>
                <w:szCs w:val="18"/>
                <w:color w:val="auto"/>
                <w:w w:val="99"/>
              </w:rPr>
              <w:t>Transactions with Affiliates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13</w:t>
            </w:r>
          </w:p>
        </w:tc>
        <w:tc>
          <w:tcPr>
            <w:tcW w:w="100" w:type="dxa"/>
            <w:vAlign w:val="bottom"/>
            <w:gridSpan w:val="2"/>
          </w:tcPr>
          <w:p>
            <w:pPr>
              <w:spacing w:after="0" w:line="195" w:lineRule="exact"/>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0" w:type="dxa"/>
            <w:vAlign w:val="bottom"/>
            <w:gridSpan w:val="3"/>
            <w:vMerge w:val="restart"/>
          </w:tcPr>
          <w:p>
            <w:pPr>
              <w:jc w:val="center"/>
              <w:ind w:right="54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u w:val="single" w:color="auto"/>
          <w:color w:val="auto"/>
        </w:rPr>
        <w:t>Page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Section 6.10.</w:t>
            </w:r>
          </w:p>
        </w:tc>
        <w:tc>
          <w:tcPr>
            <w:tcW w:w="1980" w:type="dxa"/>
            <w:vAlign w:val="bottom"/>
            <w:gridSpan w:val="12"/>
          </w:tcPr>
          <w:p>
            <w:pPr>
              <w:ind w:left="200"/>
              <w:spacing w:after="0"/>
              <w:rPr>
                <w:sz w:val="20"/>
                <w:szCs w:val="20"/>
                <w:color w:val="auto"/>
              </w:rPr>
            </w:pPr>
            <w:r>
              <w:rPr>
                <w:rFonts w:ascii="Arial" w:cs="Arial" w:eastAsia="Arial" w:hAnsi="Arial"/>
                <w:sz w:val="18"/>
                <w:szCs w:val="18"/>
                <w:color w:val="auto"/>
              </w:rPr>
              <w:t>Conduct of Business</w:t>
            </w: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13</w:t>
            </w: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6.11.</w:t>
            </w:r>
          </w:p>
        </w:tc>
        <w:tc>
          <w:tcPr>
            <w:tcW w:w="4580" w:type="dxa"/>
            <w:vAlign w:val="bottom"/>
            <w:gridSpan w:val="29"/>
          </w:tcPr>
          <w:p>
            <w:pPr>
              <w:ind w:left="200"/>
              <w:spacing w:after="0" w:line="195" w:lineRule="exact"/>
              <w:rPr>
                <w:sz w:val="20"/>
                <w:szCs w:val="20"/>
                <w:color w:val="auto"/>
              </w:rPr>
            </w:pPr>
            <w:r>
              <w:rPr>
                <w:rFonts w:ascii="Arial" w:cs="Arial" w:eastAsia="Arial" w:hAnsi="Arial"/>
                <w:sz w:val="18"/>
                <w:szCs w:val="18"/>
                <w:color w:val="auto"/>
                <w:w w:val="91"/>
              </w:rPr>
              <w:t>Amendments of or Waivers with Respect to Restricted Debt</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6.12.</w:t>
            </w:r>
          </w:p>
        </w:tc>
        <w:tc>
          <w:tcPr>
            <w:tcW w:w="1260" w:type="dxa"/>
            <w:vAlign w:val="bottom"/>
            <w:gridSpan w:val="5"/>
          </w:tcPr>
          <w:p>
            <w:pPr>
              <w:ind w:left="200"/>
              <w:spacing w:after="0" w:line="195" w:lineRule="exact"/>
              <w:rPr>
                <w:sz w:val="20"/>
                <w:szCs w:val="20"/>
                <w:color w:val="auto"/>
              </w:rPr>
            </w:pPr>
            <w:r>
              <w:rPr>
                <w:rFonts w:ascii="Arial" w:cs="Arial" w:eastAsia="Arial" w:hAnsi="Arial"/>
                <w:sz w:val="18"/>
                <w:szCs w:val="18"/>
                <w:color w:val="auto"/>
              </w:rPr>
              <w:t>Fiscal Year</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13</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6.13.</w:t>
            </w:r>
          </w:p>
        </w:tc>
        <w:tc>
          <w:tcPr>
            <w:tcW w:w="2700" w:type="dxa"/>
            <w:vAlign w:val="bottom"/>
            <w:gridSpan w:val="21"/>
          </w:tcPr>
          <w:p>
            <w:pPr>
              <w:ind w:left="200"/>
              <w:spacing w:after="0" w:line="195" w:lineRule="exact"/>
              <w:rPr>
                <w:sz w:val="20"/>
                <w:szCs w:val="20"/>
                <w:color w:val="auto"/>
              </w:rPr>
            </w:pPr>
            <w:r>
              <w:rPr>
                <w:rFonts w:ascii="Arial" w:cs="Arial" w:eastAsia="Arial" w:hAnsi="Arial"/>
                <w:sz w:val="18"/>
                <w:szCs w:val="18"/>
                <w:color w:val="auto"/>
                <w:w w:val="99"/>
              </w:rPr>
              <w:t>Permitted Activities of Holdings</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79"/>
              </w:rPr>
              <w:t>13</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6.14.</w:t>
            </w:r>
          </w:p>
        </w:tc>
        <w:tc>
          <w:tcPr>
            <w:tcW w:w="1800" w:type="dxa"/>
            <w:vAlign w:val="bottom"/>
            <w:gridSpan w:val="10"/>
          </w:tcPr>
          <w:p>
            <w:pPr>
              <w:ind w:left="200"/>
              <w:spacing w:after="0" w:line="195" w:lineRule="exact"/>
              <w:rPr>
                <w:sz w:val="20"/>
                <w:szCs w:val="20"/>
                <w:color w:val="auto"/>
              </w:rPr>
            </w:pPr>
            <w:r>
              <w:rPr>
                <w:rFonts w:ascii="Arial" w:cs="Arial" w:eastAsia="Arial" w:hAnsi="Arial"/>
                <w:sz w:val="18"/>
                <w:szCs w:val="18"/>
                <w:color w:val="auto"/>
                <w:w w:val="87"/>
              </w:rPr>
              <w:t>Financial Covenant 13</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gridSpan w:val="7"/>
            <w:vMerge w:val="restart"/>
          </w:tcPr>
          <w:p>
            <w:pPr>
              <w:jc w:val="center"/>
              <w:ind w:right="800"/>
              <w:spacing w:after="0"/>
              <w:rPr>
                <w:sz w:val="20"/>
                <w:szCs w:val="20"/>
                <w:color w:val="auto"/>
              </w:rPr>
            </w:pPr>
            <w:r>
              <w:rPr>
                <w:rFonts w:ascii="Arial" w:cs="Arial" w:eastAsia="Arial" w:hAnsi="Arial"/>
                <w:sz w:val="18"/>
                <w:szCs w:val="18"/>
                <w:color w:val="auto"/>
                <w:w w:val="96"/>
              </w:rPr>
              <w:t>ARTICLE 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8"/>
          </w:tcPr>
          <w:p>
            <w:pPr>
              <w:jc w:val="center"/>
              <w:spacing w:after="0"/>
              <w:rPr>
                <w:sz w:val="20"/>
                <w:szCs w:val="20"/>
                <w:color w:val="auto"/>
              </w:rPr>
            </w:pPr>
            <w:r>
              <w:rPr>
                <w:rFonts w:ascii="Arial" w:cs="Arial" w:eastAsia="Arial" w:hAnsi="Arial"/>
                <w:sz w:val="18"/>
                <w:szCs w:val="18"/>
                <w:color w:val="auto"/>
                <w:w w:val="95"/>
              </w:rPr>
              <w:t>EVENTS OF DEFAULT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40" w:type="dxa"/>
            <w:vAlign w:val="bottom"/>
          </w:tcPr>
          <w:p>
            <w:pPr>
              <w:spacing w:after="0"/>
              <w:rPr>
                <w:sz w:val="20"/>
                <w:szCs w:val="20"/>
                <w:color w:val="auto"/>
              </w:rPr>
            </w:pPr>
            <w:r>
              <w:rPr>
                <w:rFonts w:ascii="Arial" w:cs="Arial" w:eastAsia="Arial" w:hAnsi="Arial"/>
                <w:sz w:val="18"/>
                <w:szCs w:val="18"/>
                <w:color w:val="auto"/>
              </w:rPr>
              <w:t>Section 7.01.</w:t>
            </w:r>
          </w:p>
        </w:tc>
        <w:tc>
          <w:tcPr>
            <w:tcW w:w="1620" w:type="dxa"/>
            <w:vAlign w:val="bottom"/>
            <w:gridSpan w:val="9"/>
          </w:tcPr>
          <w:p>
            <w:pPr>
              <w:ind w:left="200"/>
              <w:spacing w:after="0"/>
              <w:rPr>
                <w:sz w:val="20"/>
                <w:szCs w:val="20"/>
                <w:color w:val="auto"/>
              </w:rPr>
            </w:pPr>
            <w:r>
              <w:rPr>
                <w:rFonts w:ascii="Arial" w:cs="Arial" w:eastAsia="Arial" w:hAnsi="Arial"/>
                <w:sz w:val="18"/>
                <w:szCs w:val="18"/>
                <w:color w:val="auto"/>
              </w:rPr>
              <w:t>Events of Default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9</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gridSpan w:val="7"/>
            <w:vMerge w:val="restart"/>
          </w:tcPr>
          <w:p>
            <w:pPr>
              <w:jc w:val="center"/>
              <w:ind w:right="800"/>
              <w:spacing w:after="0"/>
              <w:rPr>
                <w:sz w:val="20"/>
                <w:szCs w:val="20"/>
                <w:color w:val="auto"/>
              </w:rPr>
            </w:pPr>
            <w:r>
              <w:rPr>
                <w:rFonts w:ascii="Arial" w:cs="Arial" w:eastAsia="Arial" w:hAnsi="Arial"/>
                <w:sz w:val="18"/>
                <w:szCs w:val="18"/>
                <w:color w:val="auto"/>
                <w:w w:val="96"/>
              </w:rPr>
              <w:t>ARTICLE 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8"/>
          </w:tcPr>
          <w:p>
            <w:pPr>
              <w:jc w:val="center"/>
              <w:spacing w:after="0"/>
              <w:rPr>
                <w:sz w:val="20"/>
                <w:szCs w:val="20"/>
                <w:color w:val="auto"/>
              </w:rPr>
            </w:pPr>
            <w:r>
              <w:rPr>
                <w:rFonts w:ascii="Arial" w:cs="Arial" w:eastAsia="Arial" w:hAnsi="Arial"/>
                <w:sz w:val="18"/>
                <w:szCs w:val="18"/>
                <w:color w:val="auto"/>
                <w:w w:val="98"/>
              </w:rPr>
              <w:t>THE ADMINISTRATIVE AGENT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40" w:type="dxa"/>
            <w:vAlign w:val="bottom"/>
          </w:tcPr>
          <w:p>
            <w:pPr>
              <w:spacing w:after="0"/>
              <w:rPr>
                <w:sz w:val="20"/>
                <w:szCs w:val="20"/>
                <w:color w:val="auto"/>
              </w:rPr>
            </w:pPr>
            <w:r>
              <w:rPr>
                <w:rFonts w:ascii="Arial" w:cs="Arial" w:eastAsia="Arial" w:hAnsi="Arial"/>
                <w:sz w:val="18"/>
                <w:szCs w:val="18"/>
                <w:color w:val="auto"/>
              </w:rPr>
              <w:t>Section 8.01.</w:t>
            </w:r>
          </w:p>
        </w:tc>
        <w:tc>
          <w:tcPr>
            <w:tcW w:w="860" w:type="dxa"/>
            <w:vAlign w:val="bottom"/>
          </w:tcPr>
          <w:p>
            <w:pPr>
              <w:ind w:left="200"/>
              <w:spacing w:after="0"/>
              <w:rPr>
                <w:sz w:val="20"/>
                <w:szCs w:val="20"/>
                <w:color w:val="auto"/>
              </w:rPr>
            </w:pPr>
            <w:r>
              <w:rPr>
                <w:rFonts w:ascii="Arial" w:cs="Arial" w:eastAsia="Arial" w:hAnsi="Arial"/>
                <w:sz w:val="18"/>
                <w:szCs w:val="18"/>
                <w:color w:val="auto"/>
              </w:rPr>
              <w:t>Agents</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1</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8.02.</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rPr>
              <w:t>Erroneous Payments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14</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gridSpan w:val="7"/>
            <w:vMerge w:val="restart"/>
          </w:tcPr>
          <w:p>
            <w:pPr>
              <w:jc w:val="center"/>
              <w:ind w:right="800"/>
              <w:spacing w:after="0"/>
              <w:rPr>
                <w:sz w:val="20"/>
                <w:szCs w:val="20"/>
                <w:color w:val="auto"/>
              </w:rPr>
            </w:pPr>
            <w:r>
              <w:rPr>
                <w:rFonts w:ascii="Arial" w:cs="Arial" w:eastAsia="Arial" w:hAnsi="Arial"/>
                <w:sz w:val="18"/>
                <w:szCs w:val="18"/>
                <w:color w:val="auto"/>
                <w:w w:val="96"/>
              </w:rPr>
              <w:t>ARTICLE 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8"/>
          </w:tcPr>
          <w:p>
            <w:pPr>
              <w:jc w:val="center"/>
              <w:spacing w:after="0"/>
              <w:rPr>
                <w:sz w:val="20"/>
                <w:szCs w:val="20"/>
                <w:color w:val="auto"/>
              </w:rPr>
            </w:pPr>
            <w:r>
              <w:rPr>
                <w:rFonts w:ascii="Arial" w:cs="Arial" w:eastAsia="Arial" w:hAnsi="Arial"/>
                <w:sz w:val="18"/>
                <w:szCs w:val="18"/>
                <w:color w:val="auto"/>
                <w:w w:val="97"/>
              </w:rPr>
              <w:t>MISCELLANEOUS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40" w:type="dxa"/>
            <w:vAlign w:val="bottom"/>
          </w:tcPr>
          <w:p>
            <w:pPr>
              <w:spacing w:after="0"/>
              <w:rPr>
                <w:sz w:val="20"/>
                <w:szCs w:val="20"/>
                <w:color w:val="auto"/>
              </w:rPr>
            </w:pPr>
            <w:r>
              <w:rPr>
                <w:rFonts w:ascii="Arial" w:cs="Arial" w:eastAsia="Arial" w:hAnsi="Arial"/>
                <w:sz w:val="18"/>
                <w:szCs w:val="18"/>
                <w:color w:val="auto"/>
              </w:rPr>
              <w:t>Section 9.01.</w:t>
            </w:r>
          </w:p>
        </w:tc>
        <w:tc>
          <w:tcPr>
            <w:tcW w:w="860" w:type="dxa"/>
            <w:vAlign w:val="bottom"/>
          </w:tcPr>
          <w:p>
            <w:pPr>
              <w:ind w:left="200"/>
              <w:spacing w:after="0"/>
              <w:rPr>
                <w:sz w:val="20"/>
                <w:szCs w:val="20"/>
                <w:color w:val="auto"/>
              </w:rPr>
            </w:pPr>
            <w:r>
              <w:rPr>
                <w:rFonts w:ascii="Arial" w:cs="Arial" w:eastAsia="Arial" w:hAnsi="Arial"/>
                <w:sz w:val="18"/>
                <w:szCs w:val="18"/>
                <w:color w:val="auto"/>
              </w:rPr>
              <w:t>Notices</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w w:val="73"/>
              </w:rPr>
              <w:t>14</w:t>
            </w:r>
          </w:p>
        </w:tc>
        <w:tc>
          <w:tcPr>
            <w:tcW w:w="100" w:type="dxa"/>
            <w:vAlign w:val="bottom"/>
          </w:tcPr>
          <w:p>
            <w:pPr>
              <w:jc w:val="right"/>
              <w:spacing w:after="0"/>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9.02.</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w w:val="97"/>
              </w:rPr>
              <w:t>Waivers; Amendments</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51</w:t>
            </w:r>
          </w:p>
        </w:tc>
        <w:tc>
          <w:tcPr>
            <w:tcW w:w="18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79"/>
              </w:rPr>
              <w:t>48</w:t>
            </w:r>
          </w:p>
        </w:tc>
        <w:tc>
          <w:tcPr>
            <w:tcW w:w="20" w:type="dxa"/>
            <w:vAlign w:val="bottom"/>
            <w:tcBorders>
              <w:bottom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9.03.</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rPr>
              <w:t>Expenses; Indemnity</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15</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9.04.</w:t>
            </w:r>
          </w:p>
        </w:tc>
        <w:tc>
          <w:tcPr>
            <w:tcW w:w="1620" w:type="dxa"/>
            <w:vAlign w:val="bottom"/>
            <w:gridSpan w:val="9"/>
          </w:tcPr>
          <w:p>
            <w:pPr>
              <w:ind w:left="200"/>
              <w:spacing w:after="0" w:line="195" w:lineRule="exact"/>
              <w:rPr>
                <w:sz w:val="20"/>
                <w:szCs w:val="20"/>
                <w:color w:val="auto"/>
              </w:rPr>
            </w:pPr>
            <w:r>
              <w:rPr>
                <w:rFonts w:ascii="Arial" w:cs="Arial" w:eastAsia="Arial" w:hAnsi="Arial"/>
                <w:sz w:val="18"/>
                <w:szCs w:val="18"/>
                <w:color w:val="auto"/>
              </w:rPr>
              <w:t>Waiver of Claim</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15</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9.05.</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w w:val="89"/>
              </w:rPr>
              <w:t>Successors and Assigns</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15</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9.06.</w:t>
            </w:r>
          </w:p>
        </w:tc>
        <w:tc>
          <w:tcPr>
            <w:tcW w:w="860" w:type="dxa"/>
            <w:vAlign w:val="bottom"/>
          </w:tcPr>
          <w:p>
            <w:pPr>
              <w:ind w:left="200"/>
              <w:spacing w:after="0" w:line="195" w:lineRule="exact"/>
              <w:rPr>
                <w:sz w:val="20"/>
                <w:szCs w:val="20"/>
                <w:color w:val="auto"/>
              </w:rPr>
            </w:pPr>
            <w:r>
              <w:rPr>
                <w:rFonts w:ascii="Arial" w:cs="Arial" w:eastAsia="Arial" w:hAnsi="Arial"/>
                <w:sz w:val="18"/>
                <w:szCs w:val="18"/>
                <w:color w:val="auto"/>
                <w:w w:val="99"/>
              </w:rPr>
              <w:t>Survival</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w w:val="73"/>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5</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9.07.</w:t>
            </w:r>
          </w:p>
        </w:tc>
        <w:tc>
          <w:tcPr>
            <w:tcW w:w="6460" w:type="dxa"/>
            <w:vAlign w:val="bottom"/>
            <w:gridSpan w:val="37"/>
          </w:tcPr>
          <w:p>
            <w:pPr>
              <w:ind w:left="200"/>
              <w:spacing w:after="0" w:line="195" w:lineRule="exact"/>
              <w:rPr>
                <w:sz w:val="20"/>
                <w:szCs w:val="20"/>
                <w:color w:val="auto"/>
              </w:rPr>
            </w:pPr>
            <w:r>
              <w:rPr>
                <w:rFonts w:ascii="Arial" w:cs="Arial" w:eastAsia="Arial" w:hAnsi="Arial"/>
                <w:sz w:val="18"/>
                <w:szCs w:val="18"/>
                <w:color w:val="auto"/>
                <w:w w:val="91"/>
              </w:rPr>
              <w:t>Electronic Execution; Electronic Records; Counterparts; Integration; Effectiveness  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6</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9.08.</w:t>
            </w:r>
          </w:p>
        </w:tc>
        <w:tc>
          <w:tcPr>
            <w:tcW w:w="1260" w:type="dxa"/>
            <w:vAlign w:val="bottom"/>
            <w:gridSpan w:val="5"/>
          </w:tcPr>
          <w:p>
            <w:pPr>
              <w:ind w:left="200"/>
              <w:spacing w:after="0" w:line="195" w:lineRule="exact"/>
              <w:rPr>
                <w:sz w:val="20"/>
                <w:szCs w:val="20"/>
                <w:color w:val="auto"/>
              </w:rPr>
            </w:pPr>
            <w:r>
              <w:rPr>
                <w:rFonts w:ascii="Arial" w:cs="Arial" w:eastAsia="Arial" w:hAnsi="Arial"/>
                <w:sz w:val="18"/>
                <w:szCs w:val="18"/>
                <w:color w:val="auto"/>
              </w:rPr>
              <w:t>Severability</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9.09.</w:t>
            </w:r>
          </w:p>
        </w:tc>
        <w:tc>
          <w:tcPr>
            <w:tcW w:w="1260" w:type="dxa"/>
            <w:vAlign w:val="bottom"/>
            <w:gridSpan w:val="5"/>
          </w:tcPr>
          <w:p>
            <w:pPr>
              <w:ind w:left="200"/>
              <w:spacing w:after="0" w:line="195" w:lineRule="exact"/>
              <w:rPr>
                <w:sz w:val="20"/>
                <w:szCs w:val="20"/>
                <w:color w:val="auto"/>
              </w:rPr>
            </w:pPr>
            <w:r>
              <w:rPr>
                <w:rFonts w:ascii="Arial" w:cs="Arial" w:eastAsia="Arial" w:hAnsi="Arial"/>
                <w:sz w:val="18"/>
                <w:szCs w:val="18"/>
                <w:color w:val="auto"/>
                <w:w w:val="91"/>
              </w:rPr>
              <w:t>Right of Setoff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9.10.</w:t>
            </w:r>
          </w:p>
        </w:tc>
        <w:tc>
          <w:tcPr>
            <w:tcW w:w="4580" w:type="dxa"/>
            <w:vAlign w:val="bottom"/>
            <w:gridSpan w:val="29"/>
          </w:tcPr>
          <w:p>
            <w:pPr>
              <w:ind w:left="200"/>
              <w:spacing w:after="0" w:line="195" w:lineRule="exact"/>
              <w:rPr>
                <w:sz w:val="20"/>
                <w:szCs w:val="20"/>
                <w:color w:val="auto"/>
              </w:rPr>
            </w:pPr>
            <w:r>
              <w:rPr>
                <w:rFonts w:ascii="Arial" w:cs="Arial" w:eastAsia="Arial" w:hAnsi="Arial"/>
                <w:sz w:val="18"/>
                <w:szCs w:val="18"/>
                <w:color w:val="auto"/>
                <w:w w:val="92"/>
              </w:rPr>
              <w:t>Governing Law; Jurisdiction; Consent to Service of Process</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9.11.</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rPr>
              <w:t>Waiver of Jury Trial</w:t>
            </w: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9.12.</w:t>
            </w:r>
          </w:p>
        </w:tc>
        <w:tc>
          <w:tcPr>
            <w:tcW w:w="1080" w:type="dxa"/>
            <w:vAlign w:val="bottom"/>
            <w:gridSpan w:val="3"/>
          </w:tcPr>
          <w:p>
            <w:pPr>
              <w:ind w:left="200"/>
              <w:spacing w:after="0" w:line="195" w:lineRule="exact"/>
              <w:rPr>
                <w:sz w:val="20"/>
                <w:szCs w:val="20"/>
                <w:color w:val="auto"/>
              </w:rPr>
            </w:pPr>
            <w:r>
              <w:rPr>
                <w:rFonts w:ascii="Arial" w:cs="Arial" w:eastAsia="Arial" w:hAnsi="Arial"/>
                <w:sz w:val="18"/>
                <w:szCs w:val="18"/>
                <w:color w:val="auto"/>
                <w:w w:val="85"/>
              </w:rPr>
              <w:t>Headings 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9.13.</w:t>
            </w:r>
          </w:p>
        </w:tc>
        <w:tc>
          <w:tcPr>
            <w:tcW w:w="1620" w:type="dxa"/>
            <w:vAlign w:val="bottom"/>
            <w:gridSpan w:val="9"/>
          </w:tcPr>
          <w:p>
            <w:pPr>
              <w:ind w:left="200"/>
              <w:spacing w:after="0" w:line="195" w:lineRule="exact"/>
              <w:rPr>
                <w:sz w:val="20"/>
                <w:szCs w:val="20"/>
                <w:color w:val="auto"/>
              </w:rPr>
            </w:pPr>
            <w:r>
              <w:rPr>
                <w:rFonts w:ascii="Arial" w:cs="Arial" w:eastAsia="Arial" w:hAnsi="Arial"/>
                <w:sz w:val="18"/>
                <w:szCs w:val="18"/>
                <w:color w:val="auto"/>
              </w:rPr>
              <w:t>Confidentiality</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8</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9.14.</w:t>
            </w:r>
          </w:p>
        </w:tc>
        <w:tc>
          <w:tcPr>
            <w:tcW w:w="1800" w:type="dxa"/>
            <w:vAlign w:val="bottom"/>
            <w:gridSpan w:val="10"/>
          </w:tcPr>
          <w:p>
            <w:pPr>
              <w:ind w:left="200"/>
              <w:spacing w:after="0" w:line="195" w:lineRule="exact"/>
              <w:rPr>
                <w:sz w:val="20"/>
                <w:szCs w:val="20"/>
                <w:color w:val="auto"/>
              </w:rPr>
            </w:pPr>
            <w:r>
              <w:rPr>
                <w:rFonts w:ascii="Arial" w:cs="Arial" w:eastAsia="Arial" w:hAnsi="Arial"/>
                <w:sz w:val="18"/>
                <w:szCs w:val="18"/>
                <w:color w:val="auto"/>
                <w:w w:val="92"/>
              </w:rPr>
              <w:t>No Fiduciary Duty 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9</w:t>
            </w: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9.15.</w:t>
            </w:r>
          </w:p>
        </w:tc>
        <w:tc>
          <w:tcPr>
            <w:tcW w:w="1620" w:type="dxa"/>
            <w:vAlign w:val="bottom"/>
            <w:gridSpan w:val="9"/>
          </w:tcPr>
          <w:p>
            <w:pPr>
              <w:ind w:left="200"/>
              <w:spacing w:after="0" w:line="195" w:lineRule="exact"/>
              <w:rPr>
                <w:sz w:val="20"/>
                <w:szCs w:val="20"/>
                <w:color w:val="auto"/>
              </w:rPr>
            </w:pPr>
            <w:r>
              <w:rPr>
                <w:rFonts w:ascii="Arial" w:cs="Arial" w:eastAsia="Arial" w:hAnsi="Arial"/>
                <w:sz w:val="18"/>
                <w:szCs w:val="18"/>
                <w:color w:val="auto"/>
                <w:w w:val="89"/>
              </w:rPr>
              <w:t>Several Obligations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spacing w:after="0" w:line="195" w:lineRule="exact"/>
              <w:rPr>
                <w:sz w:val="20"/>
                <w:szCs w:val="20"/>
                <w:color w:val="auto"/>
              </w:rPr>
            </w:pPr>
            <w:r>
              <w:rPr>
                <w:rFonts w:ascii="Arial" w:cs="Arial" w:eastAsia="Arial" w:hAnsi="Arial"/>
                <w:sz w:val="18"/>
                <w:szCs w:val="18"/>
                <w:color w:val="auto"/>
                <w:w w:val="79"/>
              </w:rPr>
              <w:t>16</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9</w:t>
            </w:r>
          </w:p>
        </w:tc>
        <w:tc>
          <w:tcPr>
            <w:tcW w:w="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9.16.</w:t>
            </w:r>
          </w:p>
        </w:tc>
        <w:tc>
          <w:tcPr>
            <w:tcW w:w="1900" w:type="dxa"/>
            <w:vAlign w:val="bottom"/>
            <w:gridSpan w:val="11"/>
          </w:tcPr>
          <w:p>
            <w:pPr>
              <w:ind w:left="200"/>
              <w:spacing w:after="0" w:line="195" w:lineRule="exact"/>
              <w:rPr>
                <w:sz w:val="20"/>
                <w:szCs w:val="20"/>
                <w:color w:val="auto"/>
              </w:rPr>
            </w:pPr>
            <w:r>
              <w:rPr>
                <w:rFonts w:ascii="Arial" w:cs="Arial" w:eastAsia="Arial" w:hAnsi="Arial"/>
                <w:sz w:val="18"/>
                <w:szCs w:val="18"/>
                <w:color w:val="auto"/>
                <w:w w:val="90"/>
              </w:rPr>
              <w:t>USA PATRIOT Act 1</w:t>
            </w:r>
            <w:r>
              <w:rPr>
                <w:rFonts w:ascii="Arial" w:cs="Arial" w:eastAsia="Arial" w:hAnsi="Arial"/>
                <w:sz w:val="18"/>
                <w:szCs w:val="18"/>
                <w:color w:val="0000FF"/>
                <w:w w:val="90"/>
              </w:rPr>
              <w:t>6</w:t>
            </w:r>
            <w:r>
              <w:rPr>
                <w:rFonts w:ascii="Arial" w:cs="Arial" w:eastAsia="Arial" w:hAnsi="Arial"/>
                <w:sz w:val="18"/>
                <w:szCs w:val="18"/>
                <w:color w:val="auto"/>
                <w:w w:val="90"/>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9.17.</w:t>
            </w:r>
          </w:p>
        </w:tc>
        <w:tc>
          <w:tcPr>
            <w:tcW w:w="2700" w:type="dxa"/>
            <w:vAlign w:val="bottom"/>
            <w:gridSpan w:val="21"/>
          </w:tcPr>
          <w:p>
            <w:pPr>
              <w:ind w:left="200"/>
              <w:spacing w:after="0" w:line="195" w:lineRule="exact"/>
              <w:rPr>
                <w:sz w:val="20"/>
                <w:szCs w:val="20"/>
                <w:color w:val="auto"/>
              </w:rPr>
            </w:pPr>
            <w:r>
              <w:rPr>
                <w:rFonts w:ascii="Arial" w:cs="Arial" w:eastAsia="Arial" w:hAnsi="Arial"/>
                <w:sz w:val="18"/>
                <w:szCs w:val="18"/>
                <w:color w:val="auto"/>
              </w:rPr>
              <w:t>Disclosure of Agent Conflicts</w:t>
            </w:r>
          </w:p>
        </w:tc>
        <w:tc>
          <w:tcPr>
            <w:tcW w:w="2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86"/>
              </w:rPr>
              <w:t>1</w:t>
            </w:r>
            <w:r>
              <w:rPr>
                <w:rFonts w:ascii="Arial" w:cs="Arial" w:eastAsia="Arial" w:hAnsi="Arial"/>
                <w:sz w:val="18"/>
                <w:szCs w:val="18"/>
                <w:color w:val="0000FF"/>
                <w:w w:val="86"/>
              </w:rPr>
              <w:t>6</w:t>
            </w:r>
            <w:r>
              <w:rPr>
                <w:rFonts w:ascii="Arial" w:cs="Arial" w:eastAsia="Arial" w:hAnsi="Arial"/>
                <w:sz w:val="18"/>
                <w:szCs w:val="18"/>
                <w:color w:val="auto"/>
                <w:w w:val="86"/>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9.18.</w:t>
            </w:r>
          </w:p>
        </w:tc>
        <w:tc>
          <w:tcPr>
            <w:tcW w:w="2620" w:type="dxa"/>
            <w:vAlign w:val="bottom"/>
            <w:gridSpan w:val="20"/>
          </w:tcPr>
          <w:p>
            <w:pPr>
              <w:ind w:left="200"/>
              <w:spacing w:after="0" w:line="195" w:lineRule="exact"/>
              <w:rPr>
                <w:sz w:val="20"/>
                <w:szCs w:val="20"/>
                <w:color w:val="auto"/>
              </w:rPr>
            </w:pPr>
            <w:r>
              <w:rPr>
                <w:rFonts w:ascii="Arial" w:cs="Arial" w:eastAsia="Arial" w:hAnsi="Arial"/>
                <w:sz w:val="18"/>
                <w:szCs w:val="18"/>
                <w:color w:val="auto"/>
                <w:w w:val="94"/>
              </w:rPr>
              <w:t>Appointment for Perfection  1</w:t>
            </w:r>
            <w:r>
              <w:rPr>
                <w:rFonts w:ascii="Arial" w:cs="Arial" w:eastAsia="Arial" w:hAnsi="Arial"/>
                <w:sz w:val="18"/>
                <w:szCs w:val="18"/>
                <w:color w:val="0000FF"/>
                <w:w w:val="94"/>
              </w:rPr>
              <w:t>6</w:t>
            </w:r>
            <w:r>
              <w:rPr>
                <w:rFonts w:ascii="Arial" w:cs="Arial" w:eastAsia="Arial" w:hAnsi="Arial"/>
                <w:sz w:val="18"/>
                <w:szCs w:val="18"/>
                <w:color w:val="auto"/>
                <w:w w:val="94"/>
              </w:rPr>
              <w:t>7</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0</w:t>
            </w:r>
          </w:p>
        </w:tc>
        <w:tc>
          <w:tcPr>
            <w:tcW w:w="1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9.19.</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w w:val="95"/>
              </w:rPr>
              <w:t>Interest Rate Limitation</w:t>
            </w:r>
          </w:p>
        </w:tc>
        <w:tc>
          <w:tcPr>
            <w:tcW w:w="28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86"/>
              </w:rPr>
              <w:t>1</w:t>
            </w:r>
            <w:r>
              <w:rPr>
                <w:rFonts w:ascii="Arial" w:cs="Arial" w:eastAsia="Arial" w:hAnsi="Arial"/>
                <w:sz w:val="18"/>
                <w:szCs w:val="18"/>
                <w:color w:val="0000FF"/>
                <w:w w:val="86"/>
              </w:rPr>
              <w:t>6</w:t>
            </w:r>
            <w:r>
              <w:rPr>
                <w:rFonts w:ascii="Arial" w:cs="Arial" w:eastAsia="Arial" w:hAnsi="Arial"/>
                <w:sz w:val="18"/>
                <w:szCs w:val="18"/>
                <w:color w:val="auto"/>
                <w:w w:val="86"/>
              </w:rPr>
              <w:t>7</w:t>
            </w:r>
          </w:p>
        </w:tc>
        <w:tc>
          <w:tcPr>
            <w:tcW w:w="80" w:type="dxa"/>
            <w:vAlign w:val="bottom"/>
          </w:tcPr>
          <w:p>
            <w:pPr>
              <w:spacing w:after="0"/>
              <w:rPr>
                <w:sz w:val="20"/>
                <w:szCs w:val="20"/>
                <w:color w:val="auto"/>
              </w:rPr>
            </w:pPr>
            <w:r>
              <w:rPr>
                <w:rFonts w:ascii="Arial" w:cs="Arial" w:eastAsia="Arial" w:hAnsi="Arial"/>
                <w:sz w:val="15"/>
                <w:szCs w:val="15"/>
                <w:color w:val="FF0000"/>
                <w:strike w:val="1"/>
                <w:w w:val="71"/>
              </w:rPr>
              <w:t>0</w:t>
            </w:r>
          </w:p>
        </w:tc>
        <w:tc>
          <w:tcPr>
            <w:tcW w:w="10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9.20.</w:t>
            </w:r>
          </w:p>
        </w:tc>
        <w:tc>
          <w:tcPr>
            <w:tcW w:w="1260" w:type="dxa"/>
            <w:vAlign w:val="bottom"/>
            <w:gridSpan w:val="5"/>
          </w:tcPr>
          <w:p>
            <w:pPr>
              <w:ind w:left="200"/>
              <w:spacing w:after="0" w:line="195" w:lineRule="exact"/>
              <w:rPr>
                <w:sz w:val="20"/>
                <w:szCs w:val="20"/>
                <w:color w:val="auto"/>
              </w:rPr>
            </w:pPr>
            <w:r>
              <w:rPr>
                <w:rFonts w:ascii="Arial" w:cs="Arial" w:eastAsia="Arial" w:hAnsi="Arial"/>
                <w:sz w:val="18"/>
                <w:szCs w:val="18"/>
                <w:color w:val="auto"/>
              </w:rPr>
              <w:t>[Reserved]</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70</w:t>
            </w:r>
          </w:p>
        </w:tc>
        <w:tc>
          <w:tcPr>
            <w:tcW w:w="26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rPr>
              <w:t>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9.21.</w:t>
            </w:r>
          </w:p>
        </w:tc>
        <w:tc>
          <w:tcPr>
            <w:tcW w:w="1000" w:type="dxa"/>
            <w:vAlign w:val="bottom"/>
            <w:gridSpan w:val="2"/>
          </w:tcPr>
          <w:p>
            <w:pPr>
              <w:ind w:left="200"/>
              <w:spacing w:after="0" w:line="195" w:lineRule="exact"/>
              <w:rPr>
                <w:sz w:val="20"/>
                <w:szCs w:val="20"/>
                <w:color w:val="auto"/>
              </w:rPr>
            </w:pPr>
            <w:r>
              <w:rPr>
                <w:rFonts w:ascii="Arial" w:cs="Arial" w:eastAsia="Arial" w:hAnsi="Arial"/>
                <w:sz w:val="18"/>
                <w:szCs w:val="18"/>
                <w:color w:val="auto"/>
                <w:w w:val="92"/>
              </w:rPr>
              <w:t>Conflicts 1</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70</w:t>
            </w:r>
          </w:p>
        </w:tc>
        <w:tc>
          <w:tcPr>
            <w:tcW w:w="18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79"/>
              </w:rPr>
              <w:t>68</w:t>
            </w:r>
          </w:p>
        </w:tc>
        <w:tc>
          <w:tcPr>
            <w:tcW w:w="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9.22.</w:t>
            </w:r>
          </w:p>
        </w:tc>
        <w:tc>
          <w:tcPr>
            <w:tcW w:w="1980" w:type="dxa"/>
            <w:vAlign w:val="bottom"/>
            <w:gridSpan w:val="12"/>
          </w:tcPr>
          <w:p>
            <w:pPr>
              <w:ind w:left="200"/>
              <w:spacing w:after="0" w:line="195" w:lineRule="exact"/>
              <w:rPr>
                <w:sz w:val="20"/>
                <w:szCs w:val="20"/>
                <w:color w:val="auto"/>
              </w:rPr>
            </w:pPr>
            <w:r>
              <w:rPr>
                <w:rFonts w:ascii="Arial" w:cs="Arial" w:eastAsia="Arial" w:hAnsi="Arial"/>
                <w:sz w:val="18"/>
                <w:szCs w:val="18"/>
                <w:color w:val="auto"/>
                <w:w w:val="97"/>
              </w:rPr>
              <w:t>Release of Guarantors</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70</w:t>
            </w:r>
          </w:p>
        </w:tc>
        <w:tc>
          <w:tcPr>
            <w:tcW w:w="18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79"/>
              </w:rPr>
              <w:t>68</w:t>
            </w:r>
          </w:p>
        </w:tc>
        <w:tc>
          <w:tcPr>
            <w:tcW w:w="20" w:type="dxa"/>
            <w:vAlign w:val="bottom"/>
            <w:tcBorders>
              <w:bottom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9.23.</w:t>
            </w:r>
          </w:p>
        </w:tc>
        <w:tc>
          <w:tcPr>
            <w:tcW w:w="1260" w:type="dxa"/>
            <w:vAlign w:val="bottom"/>
            <w:gridSpan w:val="5"/>
          </w:tcPr>
          <w:p>
            <w:pPr>
              <w:ind w:left="200"/>
              <w:spacing w:after="0" w:line="195" w:lineRule="exact"/>
              <w:rPr>
                <w:sz w:val="20"/>
                <w:szCs w:val="20"/>
                <w:color w:val="auto"/>
              </w:rPr>
            </w:pPr>
            <w:r>
              <w:rPr>
                <w:rFonts w:ascii="Arial" w:cs="Arial" w:eastAsia="Arial" w:hAnsi="Arial"/>
                <w:sz w:val="18"/>
                <w:szCs w:val="18"/>
                <w:color w:val="auto"/>
              </w:rPr>
              <w:t>[Reserved]</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FF0000"/>
                <w:strike w:val="1"/>
                <w:w w:val="79"/>
              </w:rPr>
              <w:t>71</w:t>
            </w:r>
          </w:p>
        </w:tc>
        <w:tc>
          <w:tcPr>
            <w:tcW w:w="26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rPr>
              <w:t>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9.24.</w:t>
            </w:r>
          </w:p>
        </w:tc>
        <w:tc>
          <w:tcPr>
            <w:tcW w:w="5840" w:type="dxa"/>
            <w:vAlign w:val="bottom"/>
            <w:gridSpan w:val="33"/>
          </w:tcPr>
          <w:p>
            <w:pPr>
              <w:ind w:left="200"/>
              <w:spacing w:after="0" w:line="195" w:lineRule="exact"/>
              <w:rPr>
                <w:sz w:val="20"/>
                <w:szCs w:val="20"/>
                <w:color w:val="auto"/>
              </w:rPr>
            </w:pPr>
            <w:r>
              <w:rPr>
                <w:rFonts w:ascii="Arial" w:cs="Arial" w:eastAsia="Arial" w:hAnsi="Arial"/>
                <w:sz w:val="18"/>
                <w:szCs w:val="18"/>
                <w:color w:val="auto"/>
                <w:w w:val="97"/>
              </w:rPr>
              <w:t>Acknowledgment and Consent to Bail-In of Affected Financial Institutions</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Section 9.25.</w:t>
            </w:r>
          </w:p>
        </w:tc>
        <w:tc>
          <w:tcPr>
            <w:tcW w:w="3920" w:type="dxa"/>
            <w:vAlign w:val="bottom"/>
            <w:gridSpan w:val="26"/>
          </w:tcPr>
          <w:p>
            <w:pPr>
              <w:ind w:left="200"/>
              <w:spacing w:after="0" w:line="195" w:lineRule="exact"/>
              <w:rPr>
                <w:sz w:val="20"/>
                <w:szCs w:val="20"/>
                <w:color w:val="auto"/>
              </w:rPr>
            </w:pPr>
            <w:r>
              <w:rPr>
                <w:rFonts w:ascii="Arial" w:cs="Arial" w:eastAsia="Arial" w:hAnsi="Arial"/>
                <w:sz w:val="18"/>
                <w:szCs w:val="18"/>
                <w:color w:val="auto"/>
                <w:w w:val="92"/>
              </w:rPr>
              <w:t>Acknowledgment Regarding any Supported QFCs</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FF0000"/>
                <w:strike w:val="1"/>
                <w:w w:val="79"/>
              </w:rPr>
              <w:t>71</w:t>
            </w:r>
          </w:p>
        </w:tc>
        <w:tc>
          <w:tcPr>
            <w:tcW w:w="180" w:type="dxa"/>
            <w:vAlign w:val="bottom"/>
            <w:tcBorders>
              <w:bottom w:val="single" w:sz="8" w:color="0000FF"/>
            </w:tcBorders>
          </w:tcPr>
          <w:p>
            <w:pPr>
              <w:jc w:val="center"/>
              <w:spacing w:after="0" w:line="195" w:lineRule="exact"/>
              <w:rPr>
                <w:sz w:val="20"/>
                <w:szCs w:val="20"/>
                <w:color w:val="auto"/>
              </w:rPr>
            </w:pPr>
            <w:r>
              <w:rPr>
                <w:rFonts w:ascii="Arial" w:cs="Arial" w:eastAsia="Arial" w:hAnsi="Arial"/>
                <w:sz w:val="18"/>
                <w:szCs w:val="18"/>
                <w:color w:val="0000FF"/>
                <w:w w:val="89"/>
              </w:rPr>
              <w:t>69</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SCHEDULES:</w:t>
            </w:r>
          </w:p>
        </w:tc>
        <w:tc>
          <w:tcPr>
            <w:tcW w:w="260" w:type="dxa"/>
            <w:vAlign w:val="bottom"/>
          </w:tcPr>
          <w:p>
            <w:pPr>
              <w:spacing w:after="0"/>
              <w:rPr>
                <w:sz w:val="19"/>
                <w:szCs w:val="19"/>
                <w:color w:val="auto"/>
              </w:rPr>
            </w:pPr>
          </w:p>
        </w:tc>
        <w:tc>
          <w:tcPr>
            <w:tcW w:w="9560" w:type="dxa"/>
            <w:vAlign w:val="bottom"/>
          </w:tcPr>
          <w:p>
            <w:pPr>
              <w:spacing w:after="0"/>
              <w:rPr>
                <w:sz w:val="19"/>
                <w:szCs w:val="19"/>
                <w:color w:val="auto"/>
              </w:rPr>
            </w:pPr>
          </w:p>
        </w:tc>
      </w:tr>
      <w:tr>
        <w:trPr>
          <w:trHeight w:val="41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Schedule 1.01(a)</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Commitment Schedule</w:t>
            </w:r>
          </w:p>
        </w:tc>
      </w:tr>
      <w:tr>
        <w:trPr>
          <w:trHeight w:val="21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Schedule 1.01(b)</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Dutch Auction</w:t>
            </w:r>
          </w:p>
        </w:tc>
      </w:tr>
      <w:tr>
        <w:trPr>
          <w:trHeight w:val="21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Schedule 1.01(c)</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560" w:type="dxa"/>
            <w:vAlign w:val="bottom"/>
          </w:tcPr>
          <w:p>
            <w:pPr>
              <w:ind w:left="120"/>
              <w:spacing w:after="0"/>
              <w:rPr>
                <w:sz w:val="20"/>
                <w:szCs w:val="20"/>
                <w:color w:val="auto"/>
              </w:rPr>
            </w:pPr>
            <w:r>
              <w:rPr>
                <w:rFonts w:ascii="Arial" w:cs="Arial" w:eastAsia="Arial" w:hAnsi="Arial"/>
                <w:sz w:val="18"/>
                <w:szCs w:val="18"/>
                <w:color w:val="auto"/>
              </w:rPr>
              <w:t>Existing Letters of Credit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3.13</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Subsidiaries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5.10</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Unrestricted Subsidiaries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5.15</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Post-Closing Items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6.01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Existing Indebtedness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6.02</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Existing Liens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6.06</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Existing Investments</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w w:val="88"/>
              </w:rPr>
              <w:t>Schedule 9.01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Borrower’s Website Address for Electronic Delivery</w:t>
            </w:r>
          </w:p>
        </w:tc>
      </w:tr>
      <w:tr>
        <w:trPr>
          <w:trHeight w:val="322"/>
        </w:trPr>
        <w:tc>
          <w:tcPr>
            <w:tcW w:w="1060" w:type="dxa"/>
            <w:vAlign w:val="bottom"/>
          </w:tcPr>
          <w:p>
            <w:pPr>
              <w:ind w:left="20"/>
              <w:spacing w:after="0"/>
              <w:rPr>
                <w:sz w:val="20"/>
                <w:szCs w:val="20"/>
                <w:color w:val="auto"/>
              </w:rPr>
            </w:pPr>
            <w:r>
              <w:rPr>
                <w:rFonts w:ascii="Arial" w:cs="Arial" w:eastAsia="Arial" w:hAnsi="Arial"/>
                <w:sz w:val="18"/>
                <w:szCs w:val="18"/>
                <w:color w:val="auto"/>
              </w:rPr>
              <w:t>EXHIBITS: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308"/>
        </w:trPr>
        <w:tc>
          <w:tcPr>
            <w:tcW w:w="1060" w:type="dxa"/>
            <w:vAlign w:val="bottom"/>
          </w:tcPr>
          <w:p>
            <w:pPr>
              <w:ind w:left="20"/>
              <w:spacing w:after="0"/>
              <w:rPr>
                <w:sz w:val="20"/>
                <w:szCs w:val="20"/>
                <w:color w:val="auto"/>
              </w:rPr>
            </w:pPr>
            <w:r>
              <w:rPr>
                <w:rFonts w:ascii="Arial" w:cs="Arial" w:eastAsia="Arial" w:hAnsi="Arial"/>
                <w:sz w:val="18"/>
                <w:szCs w:val="18"/>
                <w:color w:val="auto"/>
              </w:rPr>
              <w:t>Exhibit A-1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Affiliated Lender Assignment and Assumption</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A-2</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Assignment and Assumption</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B –</w:t>
            </w:r>
          </w:p>
        </w:tc>
        <w:tc>
          <w:tcPr>
            <w:tcW w:w="10180" w:type="dxa"/>
            <w:vAlign w:val="bottom"/>
            <w:gridSpan w:val="3"/>
          </w:tcPr>
          <w:p>
            <w:pPr>
              <w:ind w:left="40"/>
              <w:spacing w:after="0"/>
              <w:rPr>
                <w:sz w:val="20"/>
                <w:szCs w:val="20"/>
                <w:color w:val="auto"/>
              </w:rPr>
            </w:pPr>
            <w:r>
              <w:rPr>
                <w:rFonts w:ascii="Arial" w:cs="Arial" w:eastAsia="Arial" w:hAnsi="Arial"/>
                <w:sz w:val="18"/>
                <w:szCs w:val="18"/>
                <w:color w:val="auto"/>
              </w:rPr>
              <w:t>Form of Borrowing Request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C-1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Intellectual Property Security Agreement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C-2</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Intellectual Property Security Agreement Supplement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D</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Compliance Certificate</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E-1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First Lien Intercreditor Agreement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E-2</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Second Lien Intercreditor Agreement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F –</w:t>
            </w:r>
          </w:p>
        </w:tc>
        <w:tc>
          <w:tcPr>
            <w:tcW w:w="10180" w:type="dxa"/>
            <w:vAlign w:val="bottom"/>
            <w:gridSpan w:val="3"/>
          </w:tcPr>
          <w:p>
            <w:pPr>
              <w:ind w:left="40"/>
              <w:spacing w:after="0"/>
              <w:rPr>
                <w:sz w:val="20"/>
                <w:szCs w:val="20"/>
                <w:color w:val="auto"/>
              </w:rPr>
            </w:pPr>
            <w:r>
              <w:rPr>
                <w:rFonts w:ascii="Arial" w:cs="Arial" w:eastAsia="Arial" w:hAnsi="Arial"/>
                <w:sz w:val="18"/>
                <w:szCs w:val="18"/>
                <w:color w:val="auto"/>
              </w:rPr>
              <w:t>[Reserved]</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G</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[Reserved]</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H</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Interest Election Request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I –</w:t>
            </w:r>
          </w:p>
        </w:tc>
        <w:tc>
          <w:tcPr>
            <w:tcW w:w="10180" w:type="dxa"/>
            <w:vAlign w:val="bottom"/>
            <w:gridSpan w:val="3"/>
          </w:tcPr>
          <w:p>
            <w:pPr>
              <w:ind w:left="40"/>
              <w:spacing w:after="0"/>
              <w:rPr>
                <w:sz w:val="20"/>
                <w:szCs w:val="20"/>
                <w:color w:val="auto"/>
              </w:rPr>
            </w:pPr>
            <w:r>
              <w:rPr>
                <w:rFonts w:ascii="Arial" w:cs="Arial" w:eastAsia="Arial" w:hAnsi="Arial"/>
                <w:sz w:val="18"/>
                <w:szCs w:val="18"/>
                <w:color w:val="auto"/>
              </w:rPr>
              <w:t>Form of Guaranty Agreement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J –</w:t>
            </w:r>
          </w:p>
        </w:tc>
        <w:tc>
          <w:tcPr>
            <w:tcW w:w="10180" w:type="dxa"/>
            <w:vAlign w:val="bottom"/>
            <w:gridSpan w:val="3"/>
          </w:tcPr>
          <w:p>
            <w:pPr>
              <w:ind w:left="40"/>
              <w:spacing w:after="0"/>
              <w:rPr>
                <w:sz w:val="20"/>
                <w:szCs w:val="20"/>
                <w:color w:val="auto"/>
              </w:rPr>
            </w:pPr>
            <w:r>
              <w:rPr>
                <w:rFonts w:ascii="Arial" w:cs="Arial" w:eastAsia="Arial" w:hAnsi="Arial"/>
                <w:sz w:val="18"/>
                <w:szCs w:val="18"/>
                <w:color w:val="auto"/>
              </w:rPr>
              <w:t>Form of Perfection Certificate</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K</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Perfection Certificate Supplement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L –</w:t>
            </w:r>
          </w:p>
        </w:tc>
        <w:tc>
          <w:tcPr>
            <w:tcW w:w="10180" w:type="dxa"/>
            <w:vAlign w:val="bottom"/>
            <w:gridSpan w:val="3"/>
          </w:tcPr>
          <w:p>
            <w:pPr>
              <w:ind w:left="40"/>
              <w:spacing w:after="0"/>
              <w:rPr>
                <w:sz w:val="20"/>
                <w:szCs w:val="20"/>
                <w:color w:val="auto"/>
              </w:rPr>
            </w:pPr>
            <w:r>
              <w:rPr>
                <w:rFonts w:ascii="Arial" w:cs="Arial" w:eastAsia="Arial" w:hAnsi="Arial"/>
                <w:sz w:val="18"/>
                <w:szCs w:val="18"/>
                <w:color w:val="auto"/>
              </w:rPr>
              <w:t>Form of Promissory Note</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M</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Pledge and Security Agreement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N</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820" w:type="dxa"/>
            <w:vAlign w:val="bottom"/>
            <w:gridSpan w:val="2"/>
          </w:tcPr>
          <w:p>
            <w:pPr>
              <w:ind w:left="40"/>
              <w:spacing w:after="0"/>
              <w:rPr>
                <w:sz w:val="20"/>
                <w:szCs w:val="20"/>
                <w:color w:val="auto"/>
              </w:rPr>
            </w:pPr>
            <w:r>
              <w:rPr>
                <w:rFonts w:ascii="Arial" w:cs="Arial" w:eastAsia="Arial" w:hAnsi="Arial"/>
                <w:sz w:val="18"/>
                <w:szCs w:val="18"/>
                <w:color w:val="auto"/>
              </w:rPr>
              <w:t>Form of Letter of Credit Request</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O-1</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7"/>
              </w:rPr>
              <w:t>Form of U.S. Tax Compliance Certificate (For Foreign Lenders That Are Not Partnerships For U.S. Federal Income Tax</w:t>
            </w:r>
          </w:p>
        </w:tc>
      </w:tr>
      <w:tr>
        <w:trPr>
          <w:trHeight w:val="215"/>
        </w:trPr>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tcPr>
          <w:p>
            <w:pPr>
              <w:ind w:left="1040"/>
              <w:spacing w:after="0"/>
              <w:rPr>
                <w:sz w:val="20"/>
                <w:szCs w:val="20"/>
                <w:color w:val="auto"/>
              </w:rPr>
            </w:pPr>
            <w:r>
              <w:rPr>
                <w:rFonts w:ascii="Arial" w:cs="Arial" w:eastAsia="Arial" w:hAnsi="Arial"/>
                <w:sz w:val="18"/>
                <w:szCs w:val="18"/>
                <w:color w:val="auto"/>
              </w:rPr>
              <w:t>Purposes)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O-2</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4"/>
              </w:rPr>
              <w:t>Form of U.S. Tax Compliance Certificate (For Foreign Participants That Are Not Partnerships For U.S. Federal Income Tax</w:t>
            </w:r>
          </w:p>
        </w:tc>
      </w:tr>
      <w:tr>
        <w:trPr>
          <w:trHeight w:val="215"/>
        </w:trPr>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tcPr>
          <w:p>
            <w:pPr>
              <w:ind w:left="1040"/>
              <w:spacing w:after="0"/>
              <w:rPr>
                <w:sz w:val="20"/>
                <w:szCs w:val="20"/>
                <w:color w:val="auto"/>
              </w:rPr>
            </w:pPr>
            <w:r>
              <w:rPr>
                <w:rFonts w:ascii="Arial" w:cs="Arial" w:eastAsia="Arial" w:hAnsi="Arial"/>
                <w:sz w:val="18"/>
                <w:szCs w:val="18"/>
                <w:color w:val="auto"/>
              </w:rPr>
              <w:t>Purposes)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O-3</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2"/>
              </w:rPr>
              <w:t>Form of U.S. Tax Compliance Certificate (For Foreign Lenders That Are Partnerships For U.S. Federal Income Tax Purposes)</w:t>
            </w:r>
          </w:p>
        </w:tc>
      </w:tr>
      <w:tr>
        <w:trPr>
          <w:trHeight w:val="215"/>
        </w:trPr>
        <w:tc>
          <w:tcPr>
            <w:tcW w:w="1060" w:type="dxa"/>
            <w:vAlign w:val="bottom"/>
          </w:tcPr>
          <w:p>
            <w:pPr>
              <w:ind w:left="20"/>
              <w:spacing w:after="0"/>
              <w:rPr>
                <w:sz w:val="20"/>
                <w:szCs w:val="20"/>
                <w:color w:val="auto"/>
              </w:rPr>
            </w:pPr>
            <w:r>
              <w:rPr>
                <w:rFonts w:ascii="Arial" w:cs="Arial" w:eastAsia="Arial" w:hAnsi="Arial"/>
                <w:sz w:val="18"/>
                <w:szCs w:val="18"/>
                <w:color w:val="auto"/>
              </w:rPr>
              <w:t>Exhibit O-4</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7"/>
              </w:rPr>
              <w:t>Form of U.S. Tax Compliance Certificate (For Foreign Participants That Are Partnerships For U.S. Federal Income Tax</w:t>
            </w:r>
          </w:p>
        </w:tc>
      </w:tr>
      <w:tr>
        <w:trPr>
          <w:trHeight w:val="215"/>
        </w:trPr>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tcPr>
          <w:p>
            <w:pPr>
              <w:ind w:left="1040"/>
              <w:spacing w:after="0"/>
              <w:rPr>
                <w:sz w:val="20"/>
                <w:szCs w:val="20"/>
                <w:color w:val="auto"/>
              </w:rPr>
            </w:pPr>
            <w:r>
              <w:rPr>
                <w:rFonts w:ascii="Arial" w:cs="Arial" w:eastAsia="Arial" w:hAnsi="Arial"/>
                <w:sz w:val="18"/>
                <w:szCs w:val="18"/>
                <w:color w:val="auto"/>
              </w:rPr>
              <w:t>Purposes)</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Exhibit P –</w:t>
            </w:r>
          </w:p>
        </w:tc>
        <w:tc>
          <w:tcPr>
            <w:tcW w:w="10180" w:type="dxa"/>
            <w:vAlign w:val="bottom"/>
            <w:gridSpan w:val="3"/>
          </w:tcPr>
          <w:p>
            <w:pPr>
              <w:ind w:left="40"/>
              <w:spacing w:after="0"/>
              <w:rPr>
                <w:sz w:val="20"/>
                <w:szCs w:val="20"/>
                <w:color w:val="auto"/>
              </w:rPr>
            </w:pPr>
            <w:r>
              <w:rPr>
                <w:rFonts w:ascii="Arial" w:cs="Arial" w:eastAsia="Arial" w:hAnsi="Arial"/>
                <w:sz w:val="18"/>
                <w:szCs w:val="18"/>
                <w:color w:val="auto"/>
              </w:rPr>
              <w:t>Form of Solvency Certificate</w:t>
            </w:r>
          </w:p>
        </w:tc>
      </w:tr>
      <w:tr>
        <w:trPr>
          <w:trHeight w:val="759"/>
        </w:trPr>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CREDIT AGREEMENT</w:t>
      </w:r>
    </w:p>
    <w:p>
      <w:pPr>
        <w:spacing w:after="0" w:line="23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CREDIT AGREEMENT, dated as of September 21, 2021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CCC Intelligent Solutions Inc. (the “</w:t>
      </w:r>
      <w:r>
        <w:rPr>
          <w:rFonts w:ascii="Arial" w:cs="Arial" w:eastAsia="Arial" w:hAnsi="Arial"/>
          <w:sz w:val="17"/>
          <w:szCs w:val="17"/>
          <w:u w:val="single" w:color="auto"/>
          <w:color w:val="auto"/>
        </w:rPr>
        <w:t>Borrower</w:t>
      </w:r>
      <w:r>
        <w:rPr>
          <w:rFonts w:ascii="Arial" w:cs="Arial" w:eastAsia="Arial" w:hAnsi="Arial"/>
          <w:sz w:val="17"/>
          <w:szCs w:val="17"/>
          <w:color w:val="auto"/>
        </w:rPr>
        <w:t>”), Cypress Intermediate Holdings II, Inc., a Delaware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the Lenders and Issuing Banks from time to time party hereto, Bank of America, N.A. (“</w:t>
      </w:r>
      <w:r>
        <w:rPr>
          <w:rFonts w:ascii="Arial" w:cs="Arial" w:eastAsia="Arial" w:hAnsi="Arial"/>
          <w:sz w:val="17"/>
          <w:szCs w:val="17"/>
          <w:u w:val="single" w:color="auto"/>
          <w:color w:val="auto"/>
        </w:rPr>
        <w:t>BofA</w:t>
      </w:r>
      <w:r>
        <w:rPr>
          <w:rFonts w:ascii="Arial" w:cs="Arial" w:eastAsia="Arial" w:hAnsi="Arial"/>
          <w:sz w:val="17"/>
          <w:szCs w:val="17"/>
          <w:color w:val="auto"/>
        </w:rPr>
        <w:t>”), in its capacities as administrative agent for the Lenders and collateral agent for the Secured Parties (in such capacities and together with its successors and assigns,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as Swingline Lender, and Bank of America, N.A., JPMorgan Chase Bank, N.A., Goldman Sachs Bank USA, Citibank, N.A., Morgan Stanley Senior Funding, Inc., Credit Suisse Loan Funding LLC, Jefferies Finance LLC and Barclays Bank PLC, as joint lead arrangers and joint bookrunners (in such capacities, the “</w:t>
      </w:r>
      <w:r>
        <w:rPr>
          <w:rFonts w:ascii="Arial" w:cs="Arial" w:eastAsia="Arial" w:hAnsi="Arial"/>
          <w:sz w:val="17"/>
          <w:szCs w:val="17"/>
          <w:u w:val="single" w:color="auto"/>
          <w:color w:val="auto"/>
        </w:rPr>
        <w:t>Arrangers</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3" w:lineRule="exact"/>
        <w:rPr>
          <w:sz w:val="20"/>
          <w:szCs w:val="20"/>
          <w:color w:val="auto"/>
        </w:rPr>
      </w:pPr>
    </w:p>
    <w:p>
      <w:pPr>
        <w:ind w:firstLine="756"/>
        <w:spacing w:after="0" w:line="258" w:lineRule="auto"/>
        <w:tabs>
          <w:tab w:leader="none" w:pos="11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has requested that the Lenders extend credit under this Agreement in the form of (x) Initial Term Loans in an original aggregate principal amount equal to $800,000,000 and (y) a Revolving Facility with an available amount of $250,000,000.</w:t>
      </w:r>
    </w:p>
    <w:p>
      <w:pPr>
        <w:spacing w:after="0" w:line="185" w:lineRule="exact"/>
        <w:rPr>
          <w:rFonts w:ascii="Arial" w:cs="Arial" w:eastAsia="Arial" w:hAnsi="Arial"/>
          <w:sz w:val="18"/>
          <w:szCs w:val="18"/>
          <w:color w:val="auto"/>
        </w:rPr>
      </w:pPr>
    </w:p>
    <w:p>
      <w:pPr>
        <w:ind w:firstLine="756"/>
        <w:spacing w:after="0" w:line="275" w:lineRule="auto"/>
        <w:tabs>
          <w:tab w:leader="none" w:pos="10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Lenders are willing to extend such credit to the Borrower on the terms and subject to the conditions set forth herein. Accordingly, the parties hereto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1.01.Defined Terms</w:t>
      </w:r>
      <w:r>
        <w:rPr>
          <w:rFonts w:ascii="Arial" w:cs="Arial" w:eastAsia="Arial" w:hAnsi="Arial"/>
          <w:sz w:val="18"/>
          <w:szCs w:val="18"/>
          <w:color w:val="auto"/>
        </w:rPr>
        <w:t>. As used in this Agreement, the following terms have the meanings specified below:</w:t>
      </w:r>
    </w:p>
    <w:p>
      <w:pPr>
        <w:spacing w:after="0" w:line="22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Alternate Base Rate.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Intercreditor Agreement</w:t>
      </w:r>
      <w:r>
        <w:rPr>
          <w:rFonts w:ascii="Arial" w:cs="Arial" w:eastAsia="Arial" w:hAnsi="Arial"/>
          <w:sz w:val="18"/>
          <w:szCs w:val="18"/>
          <w:color w:val="auto"/>
        </w:rPr>
        <w:t>” means, with respect to any Indebtedness:</w:t>
      </w:r>
    </w:p>
    <w:p>
      <w:pPr>
        <w:spacing w:after="0" w:line="223" w:lineRule="exact"/>
        <w:rPr>
          <w:sz w:val="20"/>
          <w:szCs w:val="20"/>
          <w:color w:val="auto"/>
        </w:rPr>
      </w:pPr>
    </w:p>
    <w:p>
      <w:pPr>
        <w:jc w:val="both"/>
        <w:ind w:firstLine="756"/>
        <w:spacing w:after="0" w:line="295" w:lineRule="auto"/>
        <w:tabs>
          <w:tab w:leader="none" w:pos="10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Term Loans or Initial Revolving Credit Commitments, a First Lien Intercreditor Agreement substantially in the form of </w:t>
      </w:r>
      <w:r>
        <w:rPr>
          <w:rFonts w:ascii="Arial" w:cs="Arial" w:eastAsia="Arial" w:hAnsi="Arial"/>
          <w:sz w:val="16"/>
          <w:szCs w:val="16"/>
          <w:u w:val="single" w:color="auto"/>
          <w:color w:val="auto"/>
        </w:rPr>
        <w:t>Exhibit E-1</w:t>
      </w:r>
      <w:r>
        <w:rPr>
          <w:rFonts w:ascii="Arial" w:cs="Arial" w:eastAsia="Arial" w:hAnsi="Arial"/>
          <w:sz w:val="16"/>
          <w:szCs w:val="16"/>
          <w:color w:val="auto"/>
        </w:rPr>
        <w:t>, with (i) any immaterial changes (as determined in the Administrative Agent’s sole discretion) thereto as the Borrower and the Administrative Agent may agree in their respective reasonable discretion and/or (ii) any material changes thereto as the Borrower and the Administrative Agent may agree in their respective reasonable discretion, which material changes are posted for review by the Lenders and deemed acceptable if the Required Lenders have not objected thereto within five Business Days following the date on which such changes are posted for review;</w:t>
      </w:r>
    </w:p>
    <w:p>
      <w:pPr>
        <w:spacing w:after="0" w:line="159" w:lineRule="exact"/>
        <w:rPr>
          <w:rFonts w:ascii="Arial" w:cs="Arial" w:eastAsia="Arial" w:hAnsi="Arial"/>
          <w:sz w:val="16"/>
          <w:szCs w:val="16"/>
          <w:color w:val="auto"/>
        </w:rPr>
      </w:pPr>
    </w:p>
    <w:p>
      <w:pPr>
        <w:jc w:val="both"/>
        <w:ind w:firstLine="756"/>
        <w:spacing w:after="0" w:line="254" w:lineRule="auto"/>
        <w:tabs>
          <w:tab w:leader="none" w:pos="10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is junior to the Initial Term Loans or Initial Revolving Credit Commitments in right of security, an intercreditor agreement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in each case, with (A) any immaterial changes (as determined in the Administrative Agent’s sole discretion) thereto as the Borrower and the Administrative Agent may agree in their respective reasonable discretion and/or (B) any material changes thereto as the Borrower and the Administrative Agent may agree in their respective reasonable discretion, which material changes are posted for review by the Lenders and deemed acceptable if the Required Lenders have not objected thereto within five Business Days following the date on which such changes are posted for review; and/or</w:t>
      </w:r>
    </w:p>
    <w:p>
      <w:pPr>
        <w:spacing w:after="0" w:line="190" w:lineRule="exact"/>
        <w:rPr>
          <w:rFonts w:ascii="Arial" w:cs="Arial" w:eastAsia="Arial" w:hAnsi="Arial"/>
          <w:sz w:val="18"/>
          <w:szCs w:val="18"/>
          <w:color w:val="auto"/>
        </w:rPr>
      </w:pPr>
    </w:p>
    <w:p>
      <w:pPr>
        <w:jc w:val="both"/>
        <w:ind w:firstLine="756"/>
        <w:spacing w:after="0" w:line="274" w:lineRule="auto"/>
        <w:tabs>
          <w:tab w:leader="none" w:pos="10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other than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automated clearing house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71583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0" w:name="page61"/>
    <w:bookmarkEnd w:id="60"/>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means any commitment hereunder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9.02(c)</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2.22(b)</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Loans</w:t>
      </w:r>
      <w:r>
        <w:rPr>
          <w:rFonts w:ascii="Arial" w:cs="Arial" w:eastAsia="Arial" w:hAnsi="Arial"/>
          <w:sz w:val="18"/>
          <w:szCs w:val="18"/>
          <w:color w:val="auto"/>
        </w:rPr>
        <w:t>” means any Additional Revolving Loans and any Additional Term Loans.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Credit Commitments</w:t>
      </w:r>
      <w:r>
        <w:rPr>
          <w:rFonts w:ascii="Arial" w:cs="Arial" w:eastAsia="Arial" w:hAnsi="Arial"/>
          <w:sz w:val="17"/>
          <w:szCs w:val="17"/>
          <w:color w:val="auto"/>
        </w:rPr>
        <w:t xml:space="preserve">” means any revolving credit commitment added pursuant to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9.02(c)(ii)</w:t>
      </w:r>
      <w:r>
        <w:rPr>
          <w:rFonts w:ascii="Arial" w:cs="Arial" w:eastAsia="Arial" w:hAnsi="Arial"/>
          <w:sz w:val="17"/>
          <w:szCs w:val="17"/>
          <w:color w:val="auto"/>
        </w:rPr>
        <w:t>.</w:t>
      </w:r>
    </w:p>
    <w:p>
      <w:pPr>
        <w:spacing w:after="0" w:line="234"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Exposure</w:t>
      </w:r>
      <w:r>
        <w:rPr>
          <w:rFonts w:ascii="Arial" w:cs="Arial" w:eastAsia="Arial" w:hAnsi="Arial"/>
          <w:sz w:val="18"/>
          <w:szCs w:val="18"/>
          <w:color w:val="auto"/>
        </w:rPr>
        <w:t xml:space="preserve">” means, with respect to any Lender at any time, the aggregate Outstanding Amount at such time of all Additional Revolving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outstanding amount at such time of such Lender’s LC Exposure and Swingline Exposure, in each case, attributable to its Additional Revolving Credit Commitment.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Lender</w:t>
      </w:r>
      <w:r>
        <w:rPr>
          <w:rFonts w:ascii="Arial" w:cs="Arial" w:eastAsia="Arial" w:hAnsi="Arial"/>
          <w:sz w:val="17"/>
          <w:szCs w:val="17"/>
          <w:color w:val="auto"/>
        </w:rPr>
        <w:t>” means any Lender with an Additional Revolving Credit Commitment or any Additional Revolving Credit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Exposure.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Loans</w:t>
      </w:r>
      <w:r>
        <w:rPr>
          <w:rFonts w:ascii="Arial" w:cs="Arial" w:eastAsia="Arial" w:hAnsi="Arial"/>
          <w:sz w:val="18"/>
          <w:szCs w:val="18"/>
          <w:color w:val="auto"/>
        </w:rPr>
        <w:t xml:space="preserve">” means any revolving loan added hereunder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9.02(c)(ii)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Lender</w:t>
      </w:r>
      <w:r>
        <w:rPr>
          <w:rFonts w:ascii="Arial" w:cs="Arial" w:eastAsia="Arial" w:hAnsi="Arial"/>
          <w:sz w:val="18"/>
          <w:szCs w:val="18"/>
          <w:color w:val="auto"/>
        </w:rPr>
        <w:t>” means any Lender with an Additional Term Loan Commitment or an outstanding Additional Term Loan.</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 Commitment</w:t>
      </w:r>
      <w:r>
        <w:rPr>
          <w:rFonts w:ascii="Arial" w:cs="Arial" w:eastAsia="Arial" w:hAnsi="Arial"/>
          <w:sz w:val="18"/>
          <w:szCs w:val="18"/>
          <w:color w:val="auto"/>
        </w:rPr>
        <w:t xml:space="preserve">” means any term commitment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9.02(c)(i)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means any term loan added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9.02(c)(i)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means the date of delivery of financial statements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5.01(b)</w:t>
      </w:r>
      <w:r>
        <w:rPr>
          <w:rFonts w:ascii="Arial" w:cs="Arial" w:eastAsia="Arial" w:hAnsi="Arial"/>
          <w:sz w:val="18"/>
          <w:szCs w:val="18"/>
          <w:color w:val="auto"/>
        </w:rPr>
        <w:t>, as applicable.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to this Agreement.</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0000FF"/>
        </w:rPr>
        <w:t>“Administrative Agent’s Office” means, with respect to Dollars, the Administrative Agent’s address and, as appropriate, account specified in the Credit Agreement with respect to Dollars, or such other address or account with respect to Dollars as the Administrative Agent may from time to time notify the Borrower and the Lenders.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2.22(d)</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means Advent International Corporation.</w:t>
      </w:r>
    </w:p>
    <w:p>
      <w:pPr>
        <w:spacing w:after="0" w:line="22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Proceeding</w:t>
      </w:r>
      <w:r>
        <w:rPr>
          <w:rFonts w:ascii="Arial" w:cs="Arial" w:eastAsia="Arial" w:hAnsi="Arial"/>
          <w:sz w:val="18"/>
          <w:szCs w:val="18"/>
          <w:color w:val="auto"/>
        </w:rPr>
        <w:t>” means any action, suit, proceeding (whether administrative, judicial or otherwise), governmental investigation or arbitration (whether or not purportedly on behalf of Holdings, the Borrower or any of its Restricted Subsidiaries) at law, in equity or in arbitration, or before or by any Governmental Authority, domestic or foreign (including any Environmental Claim), whether pending or, to the knowledge of Holdings, the Borrower or any of its Restricted Subsidiaries, threatened in writing, against or affecting Holdings, the Borrower or any of its Restricted Subsidiaries or any property of Holdings, the Borrower or any of its Restricted Subsidiaries.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applied to any Person, any other Person directly or indirectly Controlling, Controlled by, or under common Control with, that Person. No Person shall be an “Affiliate” solely because it is an unrelated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1" w:name="page62"/>
    <w:bookmarkEnd w:id="61"/>
    <w:p>
      <w:pPr>
        <w:jc w:val="both"/>
        <w:spacing w:after="0" w:line="284" w:lineRule="auto"/>
        <w:rPr>
          <w:sz w:val="20"/>
          <w:szCs w:val="20"/>
          <w:color w:val="auto"/>
        </w:rPr>
      </w:pPr>
      <w:r>
        <w:rPr>
          <w:rFonts w:ascii="Arial" w:cs="Arial" w:eastAsia="Arial" w:hAnsi="Arial"/>
          <w:sz w:val="17"/>
          <w:szCs w:val="17"/>
          <w:color w:val="auto"/>
        </w:rPr>
        <w:t>portfolio company of the Sponsor and none of the Administrative Agent, the Arrangers, any Lender (other than any Affiliated Lender or any Debt Fund Affiliate) or any of their respective Affiliates shall be considered an Affiliate of Holdings or any subsidiary thereof. For purposes of this Agreement and the other Loan Documents, Jefferies LLC and its Affiliates shall be deemed to be Affiliates of Jefferies Finance LLC and its Affiliates.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w:t>
      </w:r>
      <w:r>
        <w:rPr>
          <w:rFonts w:ascii="Arial" w:cs="Arial" w:eastAsia="Arial" w:hAnsi="Arial"/>
          <w:sz w:val="18"/>
          <w:szCs w:val="18"/>
          <w:color w:val="auto"/>
        </w:rPr>
        <w:t>” means any Non-Debt Fund Affiliate, Holdings, the Borrower and/or any Subsidiary of the Borrower.</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Assumption</w:t>
      </w:r>
      <w:r>
        <w:rPr>
          <w:rFonts w:ascii="Arial" w:cs="Arial" w:eastAsia="Arial" w:hAnsi="Arial"/>
          <w:sz w:val="18"/>
          <w:szCs w:val="18"/>
          <w:color w:val="auto"/>
        </w:rPr>
        <w:t xml:space="preserve">” means an assignment and assumption entered into by a Lender and an Affiliated Lender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or any other form approved by the Administrative Agent and the Borrower.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Cap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9.05(g)(iv)</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to this Credit Agreement.</w:t>
      </w:r>
    </w:p>
    <w:p>
      <w:pPr>
        <w:spacing w:after="0" w:line="223"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highest of (a) the Federal Funds Effective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(b) </w:t>
      </w:r>
      <w:r>
        <w:rPr>
          <w:rFonts w:ascii="Arial" w:cs="Arial" w:eastAsia="Arial" w:hAnsi="Arial"/>
          <w:sz w:val="16"/>
          <w:szCs w:val="16"/>
          <w:color w:val="FF0000"/>
          <w:strike w:val="1"/>
        </w:rPr>
        <w:t>the Published LIBO Rate (which rate shall be calculated based upon an Interest Period of one month and shall be determined on a daily basis</w:t>
      </w:r>
      <w:r>
        <w:rPr>
          <w:rFonts w:ascii="Arial" w:cs="Arial" w:eastAsia="Arial" w:hAnsi="Arial"/>
          <w:sz w:val="16"/>
          <w:szCs w:val="16"/>
          <w:color w:val="auto"/>
        </w:rPr>
        <w:t xml:space="preserve"> </w:t>
      </w:r>
      <w:r>
        <w:rPr>
          <w:rFonts w:ascii="Arial" w:cs="Arial" w:eastAsia="Arial" w:hAnsi="Arial"/>
          <w:sz w:val="16"/>
          <w:szCs w:val="16"/>
          <w:color w:val="FF0000"/>
          <w:strike w:val="1"/>
        </w:rPr>
        <w:t>and, for the avoidance of doubt, the Published LIBO Rate for any day shall be based on the rate determined on such day at 11:00 a.m. (London time))</w:t>
      </w:r>
      <w:r>
        <w:rPr>
          <w:rFonts w:ascii="Arial" w:cs="Arial" w:eastAsia="Arial" w:hAnsi="Arial"/>
          <w:sz w:val="16"/>
          <w:szCs w:val="16"/>
          <w:u w:val="single" w:color="auto"/>
          <w:color w:val="0000FF"/>
          <w:strike w:val="1"/>
        </w:rPr>
        <w:t>Term</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SOFR</w:t>
      </w:r>
      <w:r>
        <w:rPr>
          <w:rFonts w:ascii="Arial" w:cs="Arial" w:eastAsia="Arial" w:hAnsi="Arial"/>
          <w:sz w:val="16"/>
          <w:szCs w:val="16"/>
          <w:color w:val="0000FF"/>
          <w:strike w:val="1"/>
        </w:rPr>
        <w:t xml:space="preserve"> </w:t>
      </w:r>
      <w:r>
        <w:rPr>
          <w:rFonts w:ascii="Arial" w:cs="Arial" w:eastAsia="Arial" w:hAnsi="Arial"/>
          <w:sz w:val="16"/>
          <w:szCs w:val="16"/>
          <w:u w:val="single" w:color="auto"/>
          <w:color w:val="000000"/>
          <w:strike w:val="1"/>
        </w:rPr>
        <w:t>plus</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1.00%, (c) the Prime Rate, (d) solely with respect to Initial Term Loans, 1.50% and (e) solely with respect to the Initial Revolving Loans, 1.00%.</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Any change in the Alternate Base Rate due to a change in the Prime Rate, the Federal Funds Effective Rate or </w:t>
      </w:r>
      <w:r>
        <w:rPr>
          <w:rFonts w:ascii="Arial" w:cs="Arial" w:eastAsia="Arial" w:hAnsi="Arial"/>
          <w:sz w:val="16"/>
          <w:szCs w:val="16"/>
          <w:color w:val="FF0000"/>
          <w:strike w:val="1"/>
        </w:rPr>
        <w:t>the Published LIBO Rate</w:t>
      </w:r>
      <w:r>
        <w:rPr>
          <w:rFonts w:ascii="Arial" w:cs="Arial" w:eastAsia="Arial" w:hAnsi="Arial"/>
          <w:sz w:val="16"/>
          <w:szCs w:val="16"/>
          <w:u w:val="single" w:color="auto"/>
          <w:color w:val="0000FF"/>
          <w:strike w:val="1"/>
        </w:rPr>
        <w:t>Term SOFR</w:t>
      </w:r>
      <w:r>
        <w:rPr>
          <w:rFonts w:ascii="Arial" w:cs="Arial" w:eastAsia="Arial" w:hAnsi="Arial"/>
          <w:sz w:val="16"/>
          <w:szCs w:val="16"/>
          <w:color w:val="000000"/>
          <w:strike w:val="1"/>
        </w:rPr>
        <w:t xml:space="preserve">, as the case may be, shall be effective from and including the effective date of such change in the Prime Rate, the Federal Funds Effective Rate or </w:t>
      </w:r>
      <w:r>
        <w:rPr>
          <w:rFonts w:ascii="Arial" w:cs="Arial" w:eastAsia="Arial" w:hAnsi="Arial"/>
          <w:sz w:val="16"/>
          <w:szCs w:val="16"/>
          <w:color w:val="FF0000"/>
          <w:strike w:val="1"/>
        </w:rPr>
        <w:t>the Published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strike w:val="1"/>
        </w:rPr>
        <w:t>Term SOFR</w:t>
      </w:r>
      <w:r>
        <w:rPr>
          <w:rFonts w:ascii="Arial" w:cs="Arial" w:eastAsia="Arial" w:hAnsi="Arial"/>
          <w:sz w:val="16"/>
          <w:szCs w:val="16"/>
          <w:color w:val="000000"/>
          <w:strike w:val="1"/>
        </w:rPr>
        <w:t>, as the case may be. If the Alternate Base Rate is being used as an alternate rate of interest pursuant to</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Sections 1.12</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00"/>
          <w:strike w:val="1"/>
        </w:rPr>
        <w:t>2.14</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hereof,</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then the Alternate Base Rate shall be the greater of clauses (a) and (c) above and shall be determined without reference to clause (b) above.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Dollars, British Pounds Sterling and Euro.</w:t>
      </w:r>
    </w:p>
    <w:p>
      <w:pPr>
        <w:spacing w:after="0" w:line="22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Commitment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and otherwise herein (except with respect to </w:t>
      </w:r>
      <w:r>
        <w:rPr>
          <w:rFonts w:ascii="Arial" w:cs="Arial" w:eastAsia="Arial" w:hAnsi="Arial"/>
          <w:sz w:val="16"/>
          <w:szCs w:val="16"/>
          <w:u w:val="single" w:color="auto"/>
          <w:color w:val="auto"/>
        </w:rPr>
        <w:t>Section 2.11(a)(ii)</w:t>
      </w:r>
      <w:r>
        <w:rPr>
          <w:rFonts w:ascii="Arial" w:cs="Arial" w:eastAsia="Arial" w:hAnsi="Arial"/>
          <w:sz w:val="16"/>
          <w:szCs w:val="16"/>
          <w:color w:val="auto"/>
        </w:rPr>
        <w:t xml:space="preserve">), when there is a Defaulting Lender, such Defaulting Lender’s Revolving Credit Commitment shall be disregarded for any relevant calculation.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w:t>
      </w:r>
    </w:p>
    <w:p>
      <w:pPr>
        <w:spacing w:after="0" w:line="223" w:lineRule="exact"/>
        <w:rPr>
          <w:sz w:val="20"/>
          <w:szCs w:val="20"/>
          <w:color w:val="auto"/>
        </w:rPr>
      </w:pPr>
    </w:p>
    <w:p>
      <w:pPr>
        <w:ind w:firstLine="756"/>
        <w:spacing w:after="0" w:line="275" w:lineRule="auto"/>
        <w:tabs>
          <w:tab w:leader="none" w:pos="10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Initial Term Loan, the rate per annum applicable to the relevant Class of Loans set forth below under the caption “ABR Spread for Initial Term Loans” or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Spread for Initial Term Loans,” as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00" w:type="dxa"/>
            <w:vAlign w:val="bottom"/>
            <w:shd w:val="clear" w:color="auto" w:fill="EEECE1"/>
          </w:tcPr>
          <w:p>
            <w:pPr>
              <w:spacing w:after="0"/>
              <w:rPr>
                <w:sz w:val="17"/>
                <w:szCs w:val="17"/>
                <w:color w:val="auto"/>
              </w:rPr>
            </w:pPr>
          </w:p>
        </w:tc>
        <w:tc>
          <w:tcPr>
            <w:tcW w:w="800" w:type="dxa"/>
            <w:vAlign w:val="bottom"/>
            <w:shd w:val="clear" w:color="auto" w:fill="EEECE1"/>
          </w:tcPr>
          <w:p>
            <w:pPr>
              <w:spacing w:after="0"/>
              <w:rPr>
                <w:sz w:val="17"/>
                <w:szCs w:val="17"/>
                <w:color w:val="auto"/>
              </w:rPr>
            </w:pPr>
          </w:p>
        </w:tc>
        <w:tc>
          <w:tcPr>
            <w:tcW w:w="1040" w:type="dxa"/>
            <w:vAlign w:val="bottom"/>
            <w:shd w:val="clear" w:color="auto" w:fill="EEECE1"/>
          </w:tcPr>
          <w:p>
            <w:pPr>
              <w:spacing w:after="0"/>
              <w:rPr>
                <w:sz w:val="17"/>
                <w:szCs w:val="17"/>
                <w:color w:val="auto"/>
              </w:rPr>
            </w:pPr>
          </w:p>
        </w:tc>
        <w:tc>
          <w:tcPr>
            <w:tcW w:w="2600" w:type="dxa"/>
            <w:vAlign w:val="bottom"/>
            <w:shd w:val="clear" w:color="auto" w:fill="EEECE1"/>
          </w:tcPr>
          <w:p>
            <w:pPr>
              <w:spacing w:after="0"/>
              <w:rPr>
                <w:sz w:val="17"/>
                <w:szCs w:val="17"/>
                <w:color w:val="auto"/>
              </w:rPr>
            </w:pPr>
          </w:p>
        </w:tc>
        <w:tc>
          <w:tcPr>
            <w:tcW w:w="2280" w:type="dxa"/>
            <w:vAlign w:val="bottom"/>
            <w:tcBorders>
              <w:right w:val="single" w:sz="8" w:color="EEECE1"/>
            </w:tcBorders>
            <w:shd w:val="clear" w:color="auto" w:fill="EEECE1"/>
          </w:tcPr>
          <w:p>
            <w:pPr>
              <w:spacing w:after="0"/>
              <w:rPr>
                <w:sz w:val="17"/>
                <w:szCs w:val="17"/>
                <w:color w:val="auto"/>
              </w:rPr>
            </w:pPr>
          </w:p>
        </w:tc>
        <w:tc>
          <w:tcPr>
            <w:tcW w:w="1260" w:type="dxa"/>
            <w:vAlign w:val="bottom"/>
            <w:tcBorders>
              <w:right w:val="single" w:sz="8" w:color="EEECE1"/>
            </w:tcBorders>
            <w:shd w:val="clear" w:color="auto" w:fill="EEECE1"/>
          </w:tcPr>
          <w:p>
            <w:pPr>
              <w:jc w:val="center"/>
              <w:ind w:right="10"/>
              <w:spacing w:after="0"/>
              <w:rPr>
                <w:sz w:val="20"/>
                <w:szCs w:val="20"/>
                <w:color w:val="auto"/>
              </w:rPr>
            </w:pPr>
            <w:r>
              <w:rPr>
                <w:rFonts w:ascii="Arial" w:cs="Arial" w:eastAsia="Arial" w:hAnsi="Arial"/>
                <w:sz w:val="18"/>
                <w:szCs w:val="18"/>
                <w:color w:val="auto"/>
                <w:w w:val="91"/>
              </w:rPr>
              <w:t>ABR Spread for</w:t>
            </w:r>
          </w:p>
        </w:tc>
        <w:tc>
          <w:tcPr>
            <w:tcW w:w="760" w:type="dxa"/>
            <w:vAlign w:val="bottom"/>
            <w:shd w:val="clear" w:color="auto" w:fill="EEECE1"/>
          </w:tcPr>
          <w:p>
            <w:pPr>
              <w:spacing w:after="0"/>
              <w:rPr>
                <w:sz w:val="17"/>
                <w:szCs w:val="17"/>
                <w:color w:val="auto"/>
              </w:rPr>
            </w:pPr>
          </w:p>
        </w:tc>
        <w:tc>
          <w:tcPr>
            <w:tcW w:w="800" w:type="dxa"/>
            <w:vAlign w:val="bottom"/>
            <w:gridSpan w:val="2"/>
            <w:shd w:val="clear" w:color="auto" w:fill="EEECE1"/>
          </w:tcPr>
          <w:p>
            <w:pPr>
              <w:spacing w:after="0"/>
              <w:rPr>
                <w:sz w:val="20"/>
                <w:szCs w:val="20"/>
                <w:color w:val="auto"/>
              </w:rPr>
            </w:pPr>
            <w:r>
              <w:rPr>
                <w:rFonts w:ascii="Arial" w:cs="Arial" w:eastAsia="Arial" w:hAnsi="Arial"/>
                <w:sz w:val="18"/>
                <w:szCs w:val="18"/>
                <w:color w:val="FF0000"/>
                <w:strike w:val="1"/>
                <w:w w:val="92"/>
              </w:rPr>
              <w:t>LIBO Rate</w:t>
            </w:r>
          </w:p>
        </w:tc>
        <w:tc>
          <w:tcPr>
            <w:tcW w:w="1600" w:type="dxa"/>
            <w:vAlign w:val="bottom"/>
            <w:gridSpan w:val="4"/>
            <w:shd w:val="clear" w:color="auto" w:fill="EEECE1"/>
          </w:tcPr>
          <w:p>
            <w:pPr>
              <w:spacing w:after="0"/>
              <w:rPr>
                <w:sz w:val="20"/>
                <w:szCs w:val="20"/>
                <w:color w:val="auto"/>
              </w:rPr>
            </w:pPr>
            <w:r>
              <w:rPr>
                <w:rFonts w:ascii="Arial" w:cs="Arial" w:eastAsia="Arial" w:hAnsi="Arial"/>
                <w:sz w:val="18"/>
                <w:szCs w:val="18"/>
                <w:color w:val="0000FF"/>
                <w:w w:val="98"/>
              </w:rPr>
              <w:t xml:space="preserve">Term SOFR </w:t>
            </w:r>
            <w:r>
              <w:rPr>
                <w:rFonts w:ascii="Arial" w:cs="Arial" w:eastAsia="Arial" w:hAnsi="Arial"/>
                <w:sz w:val="18"/>
                <w:szCs w:val="18"/>
                <w:color w:val="000000"/>
                <w:w w:val="98"/>
              </w:rPr>
              <w:t>Spread</w:t>
            </w:r>
          </w:p>
        </w:tc>
      </w:tr>
      <w:tr>
        <w:trPr>
          <w:trHeight w:val="20"/>
        </w:trPr>
        <w:tc>
          <w:tcPr>
            <w:tcW w:w="100" w:type="dxa"/>
            <w:vAlign w:val="bottom"/>
            <w:shd w:val="clear" w:color="auto" w:fill="EEECE1"/>
          </w:tcPr>
          <w:p>
            <w:pPr>
              <w:spacing w:after="0" w:line="20" w:lineRule="exact"/>
              <w:rPr>
                <w:sz w:val="1"/>
                <w:szCs w:val="1"/>
                <w:color w:val="auto"/>
              </w:rPr>
            </w:pPr>
          </w:p>
        </w:tc>
        <w:tc>
          <w:tcPr>
            <w:tcW w:w="800" w:type="dxa"/>
            <w:vAlign w:val="bottom"/>
            <w:shd w:val="clear" w:color="auto" w:fill="EEECE1"/>
          </w:tcPr>
          <w:p>
            <w:pPr>
              <w:spacing w:after="0" w:line="20" w:lineRule="exact"/>
              <w:rPr>
                <w:sz w:val="1"/>
                <w:szCs w:val="1"/>
                <w:color w:val="auto"/>
              </w:rPr>
            </w:pPr>
          </w:p>
        </w:tc>
        <w:tc>
          <w:tcPr>
            <w:tcW w:w="3640" w:type="dxa"/>
            <w:vAlign w:val="bottom"/>
            <w:gridSpan w:val="2"/>
            <w:shd w:val="clear" w:color="auto" w:fill="EEECE1"/>
          </w:tcPr>
          <w:p>
            <w:pPr>
              <w:spacing w:after="0" w:line="20" w:lineRule="exact"/>
              <w:rPr>
                <w:sz w:val="1"/>
                <w:szCs w:val="1"/>
                <w:color w:val="auto"/>
              </w:rPr>
            </w:pPr>
          </w:p>
        </w:tc>
        <w:tc>
          <w:tcPr>
            <w:tcW w:w="2280" w:type="dxa"/>
            <w:vAlign w:val="bottom"/>
            <w:tcBorders>
              <w:right w:val="single" w:sz="8" w:color="EEECE1"/>
            </w:tcBorders>
            <w:shd w:val="clear" w:color="auto" w:fill="EEECE1"/>
          </w:tcPr>
          <w:p>
            <w:pPr>
              <w:spacing w:after="0" w:line="20" w:lineRule="exact"/>
              <w:rPr>
                <w:sz w:val="1"/>
                <w:szCs w:val="1"/>
                <w:color w:val="auto"/>
              </w:rPr>
            </w:pPr>
          </w:p>
        </w:tc>
        <w:tc>
          <w:tcPr>
            <w:tcW w:w="1260" w:type="dxa"/>
            <w:vAlign w:val="bottom"/>
            <w:tcBorders>
              <w:right w:val="single" w:sz="8" w:color="EEECE1"/>
            </w:tcBorders>
            <w:shd w:val="clear" w:color="auto" w:fill="000000"/>
          </w:tcPr>
          <w:p>
            <w:pPr>
              <w:spacing w:after="0" w:line="20" w:lineRule="exact"/>
              <w:rPr>
                <w:sz w:val="1"/>
                <w:szCs w:val="1"/>
                <w:color w:val="auto"/>
              </w:rPr>
            </w:pPr>
          </w:p>
        </w:tc>
        <w:tc>
          <w:tcPr>
            <w:tcW w:w="760" w:type="dxa"/>
            <w:vAlign w:val="bottom"/>
            <w:shd w:val="clear" w:color="auto" w:fill="EEECE1"/>
          </w:tcPr>
          <w:p>
            <w:pPr>
              <w:spacing w:after="0" w:line="20" w:lineRule="exact"/>
              <w:rPr>
                <w:sz w:val="1"/>
                <w:szCs w:val="1"/>
                <w:color w:val="auto"/>
              </w:rPr>
            </w:pPr>
          </w:p>
        </w:tc>
        <w:tc>
          <w:tcPr>
            <w:tcW w:w="340" w:type="dxa"/>
            <w:vAlign w:val="bottom"/>
            <w:shd w:val="clear" w:color="auto" w:fill="FF0000"/>
          </w:tcPr>
          <w:p>
            <w:pPr>
              <w:spacing w:after="0" w:line="20" w:lineRule="exact"/>
              <w:rPr>
                <w:sz w:val="1"/>
                <w:szCs w:val="1"/>
                <w:color w:val="auto"/>
              </w:rPr>
            </w:pPr>
          </w:p>
        </w:tc>
        <w:tc>
          <w:tcPr>
            <w:tcW w:w="460" w:type="dxa"/>
            <w:vAlign w:val="bottom"/>
            <w:shd w:val="clear" w:color="auto" w:fill="FF0000"/>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EEECE1"/>
          </w:tcPr>
          <w:p>
            <w:pPr>
              <w:spacing w:after="0" w:line="20" w:lineRule="exact"/>
              <w:rPr>
                <w:sz w:val="1"/>
                <w:szCs w:val="1"/>
                <w:color w:val="auto"/>
              </w:rPr>
            </w:pPr>
          </w:p>
        </w:tc>
      </w:tr>
      <w:tr>
        <w:trPr>
          <w:trHeight w:val="229"/>
        </w:trPr>
        <w:tc>
          <w:tcPr>
            <w:tcW w:w="100" w:type="dxa"/>
            <w:vAlign w:val="bottom"/>
            <w:shd w:val="clear" w:color="auto" w:fill="EEECE1"/>
          </w:tcPr>
          <w:p>
            <w:pPr>
              <w:spacing w:after="0"/>
              <w:rPr>
                <w:sz w:val="19"/>
                <w:szCs w:val="19"/>
                <w:color w:val="auto"/>
              </w:rPr>
            </w:pPr>
          </w:p>
        </w:tc>
        <w:tc>
          <w:tcPr>
            <w:tcW w:w="4440" w:type="dxa"/>
            <w:vAlign w:val="bottom"/>
            <w:gridSpan w:val="3"/>
            <w:shd w:val="clear" w:color="auto" w:fill="EEECE1"/>
          </w:tcPr>
          <w:p>
            <w:pPr>
              <w:spacing w:after="0" w:line="195" w:lineRule="exact"/>
              <w:rPr>
                <w:sz w:val="20"/>
                <w:szCs w:val="20"/>
                <w:color w:val="auto"/>
              </w:rPr>
            </w:pPr>
            <w:r>
              <w:rPr>
                <w:rFonts w:ascii="Arial" w:cs="Arial" w:eastAsia="Arial" w:hAnsi="Arial"/>
                <w:sz w:val="18"/>
                <w:szCs w:val="18"/>
                <w:color w:val="auto"/>
              </w:rPr>
              <w:t>First Lien Leverage Ratio</w:t>
            </w:r>
          </w:p>
        </w:tc>
        <w:tc>
          <w:tcPr>
            <w:tcW w:w="3540" w:type="dxa"/>
            <w:vAlign w:val="bottom"/>
            <w:tcBorders>
              <w:right w:val="single" w:sz="8" w:color="EEECE1"/>
            </w:tcBorders>
            <w:gridSpan w:val="2"/>
            <w:shd w:val="clear" w:color="auto" w:fill="EEECE1"/>
          </w:tcPr>
          <w:p>
            <w:pPr>
              <w:jc w:val="center"/>
              <w:ind w:left="2130"/>
              <w:spacing w:after="0" w:line="195" w:lineRule="exact"/>
              <w:rPr>
                <w:sz w:val="20"/>
                <w:szCs w:val="20"/>
                <w:color w:val="auto"/>
              </w:rPr>
            </w:pPr>
            <w:r>
              <w:rPr>
                <w:rFonts w:ascii="Arial" w:cs="Arial" w:eastAsia="Arial" w:hAnsi="Arial"/>
                <w:sz w:val="18"/>
                <w:szCs w:val="18"/>
                <w:color w:val="auto"/>
                <w:w w:val="92"/>
              </w:rPr>
              <w:t>Initial Term Loans</w:t>
            </w:r>
          </w:p>
        </w:tc>
        <w:tc>
          <w:tcPr>
            <w:tcW w:w="760" w:type="dxa"/>
            <w:vAlign w:val="bottom"/>
            <w:shd w:val="clear" w:color="auto" w:fill="EEECE1"/>
          </w:tcPr>
          <w:p>
            <w:pPr>
              <w:spacing w:after="0"/>
              <w:rPr>
                <w:sz w:val="19"/>
                <w:szCs w:val="19"/>
                <w:color w:val="auto"/>
              </w:rPr>
            </w:pPr>
          </w:p>
        </w:tc>
        <w:tc>
          <w:tcPr>
            <w:tcW w:w="340" w:type="dxa"/>
            <w:vAlign w:val="bottom"/>
            <w:shd w:val="clear" w:color="auto" w:fill="EEECE1"/>
          </w:tcPr>
          <w:p>
            <w:pPr>
              <w:spacing w:after="0"/>
              <w:rPr>
                <w:sz w:val="19"/>
                <w:szCs w:val="19"/>
                <w:color w:val="auto"/>
              </w:rPr>
            </w:pPr>
          </w:p>
        </w:tc>
        <w:tc>
          <w:tcPr>
            <w:tcW w:w="2060" w:type="dxa"/>
            <w:vAlign w:val="bottom"/>
            <w:gridSpan w:val="5"/>
            <w:shd w:val="clear" w:color="auto" w:fill="EEECE1"/>
          </w:tcPr>
          <w:p>
            <w:pPr>
              <w:jc w:val="center"/>
              <w:ind w:right="480"/>
              <w:spacing w:after="0" w:line="195" w:lineRule="exact"/>
              <w:rPr>
                <w:sz w:val="20"/>
                <w:szCs w:val="20"/>
                <w:color w:val="auto"/>
              </w:rPr>
            </w:pPr>
            <w:r>
              <w:rPr>
                <w:rFonts w:ascii="Arial" w:cs="Arial" w:eastAsia="Arial" w:hAnsi="Arial"/>
                <w:sz w:val="18"/>
                <w:szCs w:val="18"/>
                <w:color w:val="auto"/>
                <w:w w:val="93"/>
              </w:rPr>
              <w:t>for Initial Term Loans</w:t>
            </w:r>
          </w:p>
        </w:tc>
      </w:tr>
      <w:tr>
        <w:trPr>
          <w:trHeight w:val="188"/>
        </w:trPr>
        <w:tc>
          <w:tcPr>
            <w:tcW w:w="100" w:type="dxa"/>
            <w:vAlign w:val="bottom"/>
            <w:tcBorders>
              <w:top w:val="single" w:sz="8" w:color="EEECE1"/>
            </w:tcBorders>
          </w:tcPr>
          <w:p>
            <w:pPr>
              <w:spacing w:after="0"/>
              <w:rPr>
                <w:sz w:val="16"/>
                <w:szCs w:val="16"/>
                <w:color w:val="auto"/>
              </w:rPr>
            </w:pPr>
          </w:p>
        </w:tc>
        <w:tc>
          <w:tcPr>
            <w:tcW w:w="80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8"/>
                <w:szCs w:val="18"/>
                <w:color w:val="auto"/>
                <w:w w:val="88"/>
              </w:rPr>
              <w:t>Category 1</w:t>
            </w:r>
          </w:p>
        </w:tc>
        <w:tc>
          <w:tcPr>
            <w:tcW w:w="1040" w:type="dxa"/>
            <w:vAlign w:val="bottom"/>
            <w:tcBorders>
              <w:top w:val="single" w:sz="8" w:color="auto"/>
            </w:tcBorders>
          </w:tcPr>
          <w:p>
            <w:pPr>
              <w:spacing w:after="0"/>
              <w:rPr>
                <w:sz w:val="16"/>
                <w:szCs w:val="16"/>
                <w:color w:val="auto"/>
              </w:rPr>
            </w:pPr>
          </w:p>
        </w:tc>
        <w:tc>
          <w:tcPr>
            <w:tcW w:w="2600" w:type="dxa"/>
            <w:vAlign w:val="bottom"/>
            <w:tcBorders>
              <w:top w:val="single" w:sz="8" w:color="EEECE1"/>
            </w:tcBorders>
          </w:tcPr>
          <w:p>
            <w:pPr>
              <w:spacing w:after="0"/>
              <w:rPr>
                <w:sz w:val="16"/>
                <w:szCs w:val="16"/>
                <w:color w:val="auto"/>
              </w:rPr>
            </w:pPr>
          </w:p>
        </w:tc>
        <w:tc>
          <w:tcPr>
            <w:tcW w:w="2280" w:type="dxa"/>
            <w:vAlign w:val="bottom"/>
            <w:tcBorders>
              <w:top w:val="single" w:sz="8" w:color="EEECE1"/>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760" w:type="dxa"/>
            <w:vAlign w:val="bottom"/>
            <w:tcBorders>
              <w:top w:val="single" w:sz="8" w:color="EEECE1"/>
            </w:tcBorders>
          </w:tcPr>
          <w:p>
            <w:pPr>
              <w:spacing w:after="0"/>
              <w:rPr>
                <w:sz w:val="16"/>
                <w:szCs w:val="16"/>
                <w:color w:val="auto"/>
              </w:rPr>
            </w:pPr>
          </w:p>
        </w:tc>
        <w:tc>
          <w:tcPr>
            <w:tcW w:w="340" w:type="dxa"/>
            <w:vAlign w:val="bottom"/>
            <w:tcBorders>
              <w:top w:val="single" w:sz="8" w:color="EEECE1"/>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EEECE1"/>
            </w:tcBorders>
          </w:tcPr>
          <w:p>
            <w:pPr>
              <w:spacing w:after="0"/>
              <w:rPr>
                <w:sz w:val="16"/>
                <w:szCs w:val="16"/>
                <w:color w:val="auto"/>
              </w:rPr>
            </w:pPr>
          </w:p>
        </w:tc>
        <w:tc>
          <w:tcPr>
            <w:tcW w:w="160" w:type="dxa"/>
            <w:vAlign w:val="bottom"/>
            <w:tcBorders>
              <w:top w:val="single" w:sz="8" w:color="EEECE1"/>
            </w:tcBorders>
          </w:tcPr>
          <w:p>
            <w:pPr>
              <w:spacing w:after="0"/>
              <w:rPr>
                <w:sz w:val="16"/>
                <w:szCs w:val="16"/>
                <w:color w:val="auto"/>
              </w:rPr>
            </w:pPr>
          </w:p>
        </w:tc>
      </w:tr>
      <w:tr>
        <w:trPr>
          <w:trHeight w:val="262"/>
        </w:trPr>
        <w:tc>
          <w:tcPr>
            <w:tcW w:w="100" w:type="dxa"/>
            <w:vAlign w:val="bottom"/>
          </w:tcPr>
          <w:p>
            <w:pPr>
              <w:spacing w:after="0"/>
              <w:rPr>
                <w:sz w:val="22"/>
                <w:szCs w:val="22"/>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Greater than 2.50:1.00</w:t>
            </w:r>
          </w:p>
        </w:tc>
        <w:tc>
          <w:tcPr>
            <w:tcW w:w="3540" w:type="dxa"/>
            <w:vAlign w:val="bottom"/>
            <w:gridSpan w:val="2"/>
          </w:tcPr>
          <w:p>
            <w:pPr>
              <w:jc w:val="center"/>
              <w:ind w:left="2130"/>
              <w:spacing w:after="0"/>
              <w:rPr>
                <w:sz w:val="20"/>
                <w:szCs w:val="20"/>
                <w:color w:val="auto"/>
              </w:rPr>
            </w:pPr>
            <w:r>
              <w:rPr>
                <w:rFonts w:ascii="Arial" w:cs="Arial" w:eastAsia="Arial" w:hAnsi="Arial"/>
                <w:sz w:val="18"/>
                <w:szCs w:val="18"/>
                <w:color w:val="auto"/>
                <w:w w:val="93"/>
              </w:rPr>
              <w:t>1.50%</w:t>
            </w:r>
          </w:p>
        </w:tc>
        <w:tc>
          <w:tcPr>
            <w:tcW w:w="2420" w:type="dxa"/>
            <w:vAlign w:val="bottom"/>
            <w:gridSpan w:val="4"/>
          </w:tcPr>
          <w:p>
            <w:pPr>
              <w:jc w:val="center"/>
              <w:ind w:left="1270"/>
              <w:spacing w:after="0"/>
              <w:rPr>
                <w:sz w:val="20"/>
                <w:szCs w:val="20"/>
                <w:color w:val="auto"/>
              </w:rPr>
            </w:pPr>
            <w:r>
              <w:rPr>
                <w:rFonts w:ascii="Arial" w:cs="Arial" w:eastAsia="Arial" w:hAnsi="Arial"/>
                <w:sz w:val="18"/>
                <w:szCs w:val="18"/>
                <w:color w:val="auto"/>
                <w:w w:val="90"/>
              </w:rPr>
              <w:t>2.50%</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16"/>
        </w:trPr>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Category 2</w:t>
            </w:r>
          </w:p>
        </w:tc>
        <w:tc>
          <w:tcPr>
            <w:tcW w:w="364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2"/>
        </w:trPr>
        <w:tc>
          <w:tcPr>
            <w:tcW w:w="100" w:type="dxa"/>
            <w:vAlign w:val="bottom"/>
          </w:tcPr>
          <w:p>
            <w:pPr>
              <w:spacing w:after="0"/>
              <w:rPr>
                <w:sz w:val="22"/>
                <w:szCs w:val="22"/>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Less than or equal to 2.50:1.00</w:t>
            </w:r>
          </w:p>
        </w:tc>
        <w:tc>
          <w:tcPr>
            <w:tcW w:w="3540" w:type="dxa"/>
            <w:vAlign w:val="bottom"/>
            <w:gridSpan w:val="2"/>
          </w:tcPr>
          <w:p>
            <w:pPr>
              <w:jc w:val="center"/>
              <w:ind w:left="2130"/>
              <w:spacing w:after="0"/>
              <w:rPr>
                <w:sz w:val="20"/>
                <w:szCs w:val="20"/>
                <w:color w:val="auto"/>
              </w:rPr>
            </w:pPr>
            <w:r>
              <w:rPr>
                <w:rFonts w:ascii="Arial" w:cs="Arial" w:eastAsia="Arial" w:hAnsi="Arial"/>
                <w:sz w:val="18"/>
                <w:szCs w:val="18"/>
                <w:color w:val="auto"/>
                <w:w w:val="93"/>
              </w:rPr>
              <w:t>1.25%</w:t>
            </w:r>
          </w:p>
        </w:tc>
        <w:tc>
          <w:tcPr>
            <w:tcW w:w="2420" w:type="dxa"/>
            <w:vAlign w:val="bottom"/>
            <w:gridSpan w:val="4"/>
          </w:tcPr>
          <w:p>
            <w:pPr>
              <w:jc w:val="center"/>
              <w:ind w:left="1270"/>
              <w:spacing w:after="0"/>
              <w:rPr>
                <w:sz w:val="20"/>
                <w:szCs w:val="20"/>
                <w:color w:val="auto"/>
              </w:rPr>
            </w:pPr>
            <w:r>
              <w:rPr>
                <w:rFonts w:ascii="Arial" w:cs="Arial" w:eastAsia="Arial" w:hAnsi="Arial"/>
                <w:sz w:val="18"/>
                <w:szCs w:val="18"/>
                <w:color w:val="auto"/>
                <w:w w:val="90"/>
              </w:rPr>
              <w:t>2.25%</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firstLine="756"/>
        <w:spacing w:after="0" w:line="262" w:lineRule="auto"/>
        <w:tabs>
          <w:tab w:leader="none" w:pos="10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Initial Revolving Loan, the rate per annum applicable to the relevant Class of Loans set forth below under the caption “ABR Spread for Initial Revolving Loans (including Swingline Loans)” or “LIBO Rate</w:t>
      </w:r>
      <w:r>
        <w:rPr>
          <w:rFonts w:ascii="Arial" w:cs="Arial" w:eastAsia="Arial" w:hAnsi="Arial"/>
          <w:sz w:val="18"/>
          <w:szCs w:val="18"/>
          <w:u w:val="single" w:color="auto"/>
          <w:color w:val="0000FF"/>
        </w:rPr>
        <w:t>, Term SOFR</w:t>
      </w:r>
      <w:r>
        <w:rPr>
          <w:rFonts w:ascii="Arial" w:cs="Arial" w:eastAsia="Arial" w:hAnsi="Arial"/>
          <w:sz w:val="18"/>
          <w:szCs w:val="18"/>
          <w:color w:val="auto"/>
        </w:rPr>
        <w:t xml:space="preserve"> and Daily Simple RFR Spread for Initial Revolving Loans,” as applicable: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shd w:val="clear" w:color="auto" w:fill="EEECE1"/>
          </w:tcPr>
          <w:p>
            <w:pPr>
              <w:spacing w:after="0"/>
              <w:rPr>
                <w:sz w:val="17"/>
                <w:szCs w:val="17"/>
                <w:color w:val="auto"/>
              </w:rPr>
            </w:pPr>
          </w:p>
        </w:tc>
        <w:tc>
          <w:tcPr>
            <w:tcW w:w="800" w:type="dxa"/>
            <w:vAlign w:val="bottom"/>
            <w:shd w:val="clear" w:color="auto" w:fill="EEECE1"/>
          </w:tcPr>
          <w:p>
            <w:pPr>
              <w:spacing w:after="0"/>
              <w:rPr>
                <w:sz w:val="17"/>
                <w:szCs w:val="17"/>
                <w:color w:val="auto"/>
              </w:rPr>
            </w:pPr>
          </w:p>
        </w:tc>
        <w:tc>
          <w:tcPr>
            <w:tcW w:w="1040" w:type="dxa"/>
            <w:vAlign w:val="bottom"/>
            <w:shd w:val="clear" w:color="auto" w:fill="EEECE1"/>
          </w:tcPr>
          <w:p>
            <w:pPr>
              <w:spacing w:after="0"/>
              <w:rPr>
                <w:sz w:val="17"/>
                <w:szCs w:val="17"/>
                <w:color w:val="auto"/>
              </w:rPr>
            </w:pPr>
          </w:p>
        </w:tc>
        <w:tc>
          <w:tcPr>
            <w:tcW w:w="3260" w:type="dxa"/>
            <w:vAlign w:val="bottom"/>
            <w:shd w:val="clear" w:color="auto" w:fill="EEECE1"/>
          </w:tcPr>
          <w:p>
            <w:pPr>
              <w:spacing w:after="0"/>
              <w:rPr>
                <w:sz w:val="17"/>
                <w:szCs w:val="17"/>
                <w:color w:val="auto"/>
              </w:rPr>
            </w:pPr>
          </w:p>
        </w:tc>
        <w:tc>
          <w:tcPr>
            <w:tcW w:w="980" w:type="dxa"/>
            <w:vAlign w:val="bottom"/>
            <w:shd w:val="clear" w:color="auto" w:fill="EEECE1"/>
          </w:tcPr>
          <w:p>
            <w:pPr>
              <w:spacing w:after="0"/>
              <w:rPr>
                <w:sz w:val="17"/>
                <w:szCs w:val="17"/>
                <w:color w:val="auto"/>
              </w:rPr>
            </w:pPr>
          </w:p>
        </w:tc>
        <w:tc>
          <w:tcPr>
            <w:tcW w:w="40" w:type="dxa"/>
            <w:vAlign w:val="bottom"/>
            <w:shd w:val="clear" w:color="auto" w:fill="EEECE1"/>
          </w:tcPr>
          <w:p>
            <w:pPr>
              <w:spacing w:after="0"/>
              <w:rPr>
                <w:sz w:val="17"/>
                <w:szCs w:val="17"/>
                <w:color w:val="auto"/>
              </w:rPr>
            </w:pPr>
          </w:p>
        </w:tc>
        <w:tc>
          <w:tcPr>
            <w:tcW w:w="2460" w:type="dxa"/>
            <w:vAlign w:val="bottom"/>
            <w:shd w:val="clear" w:color="auto" w:fill="EEECE1"/>
          </w:tcPr>
          <w:p>
            <w:pPr>
              <w:spacing w:after="0"/>
              <w:rPr>
                <w:sz w:val="17"/>
                <w:szCs w:val="17"/>
                <w:color w:val="auto"/>
              </w:rPr>
            </w:pPr>
          </w:p>
        </w:tc>
        <w:tc>
          <w:tcPr>
            <w:tcW w:w="40" w:type="dxa"/>
            <w:vAlign w:val="bottom"/>
            <w:shd w:val="clear" w:color="auto" w:fill="EEECE1"/>
          </w:tcPr>
          <w:p>
            <w:pPr>
              <w:spacing w:after="0"/>
              <w:rPr>
                <w:sz w:val="17"/>
                <w:szCs w:val="17"/>
                <w:color w:val="auto"/>
              </w:rPr>
            </w:pPr>
          </w:p>
        </w:tc>
        <w:tc>
          <w:tcPr>
            <w:tcW w:w="220" w:type="dxa"/>
            <w:vAlign w:val="bottom"/>
            <w:tcBorders>
              <w:right w:val="single" w:sz="8" w:color="EEECE1"/>
            </w:tcBorders>
            <w:shd w:val="clear" w:color="auto" w:fill="EEECE1"/>
          </w:tcPr>
          <w:p>
            <w:pPr>
              <w:spacing w:after="0"/>
              <w:rPr>
                <w:sz w:val="17"/>
                <w:szCs w:val="17"/>
                <w:color w:val="auto"/>
              </w:rPr>
            </w:pPr>
          </w:p>
        </w:tc>
        <w:tc>
          <w:tcPr>
            <w:tcW w:w="2300" w:type="dxa"/>
            <w:vAlign w:val="bottom"/>
            <w:gridSpan w:val="6"/>
            <w:shd w:val="clear" w:color="auto" w:fill="EEECE1"/>
          </w:tcPr>
          <w:p>
            <w:pPr>
              <w:jc w:val="center"/>
              <w:ind w:right="240"/>
              <w:spacing w:after="0"/>
              <w:rPr>
                <w:sz w:val="20"/>
                <w:szCs w:val="20"/>
                <w:color w:val="auto"/>
              </w:rPr>
            </w:pPr>
            <w:r>
              <w:rPr>
                <w:rFonts w:ascii="Arial" w:cs="Arial" w:eastAsia="Arial" w:hAnsi="Arial"/>
                <w:sz w:val="18"/>
                <w:szCs w:val="18"/>
                <w:color w:val="auto"/>
                <w:w w:val="91"/>
              </w:rPr>
              <w:t>LIBO Rate</w:t>
            </w:r>
            <w:r>
              <w:rPr>
                <w:rFonts w:ascii="Arial" w:cs="Arial" w:eastAsia="Arial" w:hAnsi="Arial"/>
                <w:sz w:val="18"/>
                <w:szCs w:val="18"/>
                <w:color w:val="0000FF"/>
                <w:w w:val="91"/>
              </w:rPr>
              <w:t>, Term SOFR</w:t>
            </w:r>
            <w:r>
              <w:rPr>
                <w:rFonts w:ascii="Arial" w:cs="Arial" w:eastAsia="Arial" w:hAnsi="Arial"/>
                <w:sz w:val="18"/>
                <w:szCs w:val="18"/>
                <w:color w:val="auto"/>
                <w:w w:val="91"/>
              </w:rPr>
              <w:t xml:space="preserve"> and</w:t>
            </w:r>
          </w:p>
        </w:tc>
      </w:tr>
      <w:tr>
        <w:trPr>
          <w:trHeight w:val="20"/>
        </w:trPr>
        <w:tc>
          <w:tcPr>
            <w:tcW w:w="100" w:type="dxa"/>
            <w:vAlign w:val="bottom"/>
            <w:shd w:val="clear" w:color="auto" w:fill="EEECE1"/>
          </w:tcPr>
          <w:p>
            <w:pPr>
              <w:spacing w:after="0" w:line="20" w:lineRule="exact"/>
              <w:rPr>
                <w:sz w:val="1"/>
                <w:szCs w:val="1"/>
                <w:color w:val="auto"/>
              </w:rPr>
            </w:pPr>
          </w:p>
        </w:tc>
        <w:tc>
          <w:tcPr>
            <w:tcW w:w="800" w:type="dxa"/>
            <w:vAlign w:val="bottom"/>
            <w:shd w:val="clear" w:color="auto" w:fill="EEECE1"/>
          </w:tcPr>
          <w:p>
            <w:pPr>
              <w:spacing w:after="0" w:line="20" w:lineRule="exact"/>
              <w:rPr>
                <w:sz w:val="1"/>
                <w:szCs w:val="1"/>
                <w:color w:val="auto"/>
              </w:rPr>
            </w:pPr>
          </w:p>
        </w:tc>
        <w:tc>
          <w:tcPr>
            <w:tcW w:w="1040" w:type="dxa"/>
            <w:vAlign w:val="bottom"/>
            <w:shd w:val="clear" w:color="auto" w:fill="EEECE1"/>
          </w:tcPr>
          <w:p>
            <w:pPr>
              <w:spacing w:after="0" w:line="20" w:lineRule="exact"/>
              <w:rPr>
                <w:sz w:val="1"/>
                <w:szCs w:val="1"/>
                <w:color w:val="auto"/>
              </w:rPr>
            </w:pPr>
          </w:p>
        </w:tc>
        <w:tc>
          <w:tcPr>
            <w:tcW w:w="3260" w:type="dxa"/>
            <w:vAlign w:val="bottom"/>
            <w:shd w:val="clear" w:color="auto" w:fill="EEECE1"/>
          </w:tcPr>
          <w:p>
            <w:pPr>
              <w:spacing w:after="0" w:line="20" w:lineRule="exact"/>
              <w:rPr>
                <w:sz w:val="1"/>
                <w:szCs w:val="1"/>
                <w:color w:val="auto"/>
              </w:rPr>
            </w:pPr>
          </w:p>
        </w:tc>
        <w:tc>
          <w:tcPr>
            <w:tcW w:w="980" w:type="dxa"/>
            <w:vAlign w:val="bottom"/>
            <w:shd w:val="clear" w:color="auto" w:fill="EEECE1"/>
          </w:tcPr>
          <w:p>
            <w:pPr>
              <w:spacing w:after="0" w:line="20" w:lineRule="exact"/>
              <w:rPr>
                <w:sz w:val="1"/>
                <w:szCs w:val="1"/>
                <w:color w:val="auto"/>
              </w:rPr>
            </w:pPr>
          </w:p>
        </w:tc>
        <w:tc>
          <w:tcPr>
            <w:tcW w:w="40" w:type="dxa"/>
            <w:vAlign w:val="bottom"/>
            <w:shd w:val="clear" w:color="auto" w:fill="EEECE1"/>
          </w:tcPr>
          <w:p>
            <w:pPr>
              <w:spacing w:after="0" w:line="20" w:lineRule="exact"/>
              <w:rPr>
                <w:sz w:val="1"/>
                <w:szCs w:val="1"/>
                <w:color w:val="auto"/>
              </w:rPr>
            </w:pPr>
          </w:p>
        </w:tc>
        <w:tc>
          <w:tcPr>
            <w:tcW w:w="2500" w:type="dxa"/>
            <w:vAlign w:val="bottom"/>
            <w:gridSpan w:val="2"/>
            <w:shd w:val="clear" w:color="auto" w:fill="EEECE1"/>
          </w:tcPr>
          <w:p>
            <w:pPr>
              <w:spacing w:after="0" w:line="20" w:lineRule="exact"/>
              <w:rPr>
                <w:sz w:val="1"/>
                <w:szCs w:val="1"/>
                <w:color w:val="auto"/>
              </w:rPr>
            </w:pPr>
          </w:p>
        </w:tc>
        <w:tc>
          <w:tcPr>
            <w:tcW w:w="220" w:type="dxa"/>
            <w:vAlign w:val="bottom"/>
            <w:tcBorders>
              <w:right w:val="single" w:sz="8" w:color="EEECE1"/>
            </w:tcBorders>
            <w:shd w:val="clear" w:color="auto" w:fill="EEECE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EEECE1"/>
            </w:tcBorders>
            <w:shd w:val="clear" w:color="auto" w:fill="000000"/>
          </w:tcPr>
          <w:p>
            <w:pPr>
              <w:spacing w:after="0" w:line="20" w:lineRule="exact"/>
              <w:rPr>
                <w:sz w:val="1"/>
                <w:szCs w:val="1"/>
                <w:color w:val="auto"/>
              </w:rPr>
            </w:pPr>
          </w:p>
        </w:tc>
        <w:tc>
          <w:tcPr>
            <w:tcW w:w="160" w:type="dxa"/>
            <w:vAlign w:val="bottom"/>
            <w:shd w:val="clear" w:color="auto" w:fill="EEECE1"/>
          </w:tcPr>
          <w:p>
            <w:pPr>
              <w:spacing w:after="0" w:line="20" w:lineRule="exact"/>
              <w:rPr>
                <w:sz w:val="1"/>
                <w:szCs w:val="1"/>
                <w:color w:val="auto"/>
              </w:rPr>
            </w:pPr>
          </w:p>
        </w:tc>
      </w:tr>
      <w:tr>
        <w:trPr>
          <w:trHeight w:val="195"/>
        </w:trPr>
        <w:tc>
          <w:tcPr>
            <w:tcW w:w="100" w:type="dxa"/>
            <w:vAlign w:val="bottom"/>
            <w:tcBorders>
              <w:bottom w:val="single" w:sz="8" w:color="EEECE1"/>
            </w:tcBorders>
            <w:shd w:val="clear" w:color="auto" w:fill="EEECE1"/>
          </w:tcPr>
          <w:p>
            <w:pPr>
              <w:spacing w:after="0"/>
              <w:rPr>
                <w:sz w:val="16"/>
                <w:szCs w:val="16"/>
                <w:color w:val="auto"/>
              </w:rPr>
            </w:pPr>
          </w:p>
        </w:tc>
        <w:tc>
          <w:tcPr>
            <w:tcW w:w="800" w:type="dxa"/>
            <w:vAlign w:val="bottom"/>
            <w:tcBorders>
              <w:bottom w:val="single" w:sz="8" w:color="EEECE1"/>
            </w:tcBorders>
            <w:shd w:val="clear" w:color="auto" w:fill="EEECE1"/>
          </w:tcPr>
          <w:p>
            <w:pPr>
              <w:spacing w:after="0"/>
              <w:rPr>
                <w:sz w:val="16"/>
                <w:szCs w:val="16"/>
                <w:color w:val="auto"/>
              </w:rPr>
            </w:pPr>
          </w:p>
        </w:tc>
        <w:tc>
          <w:tcPr>
            <w:tcW w:w="1040" w:type="dxa"/>
            <w:vAlign w:val="bottom"/>
            <w:tcBorders>
              <w:bottom w:val="single" w:sz="8" w:color="EEECE1"/>
            </w:tcBorders>
            <w:shd w:val="clear" w:color="auto" w:fill="EEECE1"/>
          </w:tcPr>
          <w:p>
            <w:pPr>
              <w:spacing w:after="0"/>
              <w:rPr>
                <w:sz w:val="16"/>
                <w:szCs w:val="16"/>
                <w:color w:val="auto"/>
              </w:rPr>
            </w:pPr>
          </w:p>
        </w:tc>
        <w:tc>
          <w:tcPr>
            <w:tcW w:w="3260" w:type="dxa"/>
            <w:vAlign w:val="bottom"/>
            <w:tcBorders>
              <w:bottom w:val="single" w:sz="8" w:color="EEECE1"/>
            </w:tcBorders>
            <w:shd w:val="clear" w:color="auto" w:fill="EEECE1"/>
          </w:tcPr>
          <w:p>
            <w:pPr>
              <w:spacing w:after="0"/>
              <w:rPr>
                <w:sz w:val="16"/>
                <w:szCs w:val="16"/>
                <w:color w:val="auto"/>
              </w:rPr>
            </w:pPr>
          </w:p>
        </w:tc>
        <w:tc>
          <w:tcPr>
            <w:tcW w:w="980" w:type="dxa"/>
            <w:vAlign w:val="bottom"/>
            <w:tcBorders>
              <w:bottom w:val="single" w:sz="8" w:color="EEECE1"/>
            </w:tcBorders>
            <w:shd w:val="clear" w:color="auto" w:fill="EEECE1"/>
          </w:tcPr>
          <w:p>
            <w:pPr>
              <w:spacing w:after="0"/>
              <w:rPr>
                <w:sz w:val="16"/>
                <w:szCs w:val="16"/>
                <w:color w:val="auto"/>
              </w:rPr>
            </w:pPr>
          </w:p>
        </w:tc>
        <w:tc>
          <w:tcPr>
            <w:tcW w:w="40" w:type="dxa"/>
            <w:vAlign w:val="bottom"/>
            <w:tcBorders>
              <w:bottom w:val="single" w:sz="8" w:color="EEECE1"/>
            </w:tcBorders>
            <w:shd w:val="clear" w:color="auto" w:fill="EEECE1"/>
          </w:tcPr>
          <w:p>
            <w:pPr>
              <w:spacing w:after="0"/>
              <w:rPr>
                <w:sz w:val="16"/>
                <w:szCs w:val="16"/>
                <w:color w:val="auto"/>
              </w:rPr>
            </w:pPr>
          </w:p>
        </w:tc>
        <w:tc>
          <w:tcPr>
            <w:tcW w:w="2460" w:type="dxa"/>
            <w:vAlign w:val="bottom"/>
            <w:tcBorders>
              <w:bottom w:val="single" w:sz="8" w:color="auto"/>
            </w:tcBorders>
            <w:shd w:val="clear" w:color="auto" w:fill="EEECE1"/>
          </w:tcPr>
          <w:p>
            <w:pPr>
              <w:jc w:val="center"/>
              <w:spacing w:after="0" w:line="195" w:lineRule="exact"/>
              <w:rPr>
                <w:sz w:val="20"/>
                <w:szCs w:val="20"/>
                <w:color w:val="auto"/>
              </w:rPr>
            </w:pPr>
            <w:r>
              <w:rPr>
                <w:rFonts w:ascii="Arial" w:cs="Arial" w:eastAsia="Arial" w:hAnsi="Arial"/>
                <w:sz w:val="18"/>
                <w:szCs w:val="18"/>
                <w:color w:val="auto"/>
                <w:w w:val="94"/>
              </w:rPr>
              <w:t>ABR Spread for Initial Revolving</w:t>
            </w:r>
          </w:p>
        </w:tc>
        <w:tc>
          <w:tcPr>
            <w:tcW w:w="40" w:type="dxa"/>
            <w:vAlign w:val="bottom"/>
            <w:tcBorders>
              <w:bottom w:val="single" w:sz="8" w:color="EEECE1"/>
            </w:tcBorders>
            <w:shd w:val="clear" w:color="auto" w:fill="EEECE1"/>
          </w:tcPr>
          <w:p>
            <w:pPr>
              <w:spacing w:after="0"/>
              <w:rPr>
                <w:sz w:val="16"/>
                <w:szCs w:val="16"/>
                <w:color w:val="auto"/>
              </w:rPr>
            </w:pPr>
          </w:p>
        </w:tc>
        <w:tc>
          <w:tcPr>
            <w:tcW w:w="220" w:type="dxa"/>
            <w:vAlign w:val="bottom"/>
            <w:tcBorders>
              <w:bottom w:val="single" w:sz="8" w:color="EEECE1"/>
              <w:right w:val="single" w:sz="8" w:color="EEECE1"/>
            </w:tcBorders>
            <w:shd w:val="clear" w:color="auto" w:fill="EEECE1"/>
          </w:tcPr>
          <w:p>
            <w:pPr>
              <w:spacing w:after="0"/>
              <w:rPr>
                <w:sz w:val="16"/>
                <w:szCs w:val="16"/>
                <w:color w:val="auto"/>
              </w:rPr>
            </w:pPr>
          </w:p>
        </w:tc>
        <w:tc>
          <w:tcPr>
            <w:tcW w:w="2140" w:type="dxa"/>
            <w:vAlign w:val="bottom"/>
            <w:tcBorders>
              <w:bottom w:val="single" w:sz="8" w:color="auto"/>
              <w:right w:val="single" w:sz="8" w:color="EEECE1"/>
            </w:tcBorders>
            <w:gridSpan w:val="5"/>
            <w:shd w:val="clear" w:color="auto" w:fill="EEECE1"/>
          </w:tcPr>
          <w:p>
            <w:pPr>
              <w:jc w:val="center"/>
              <w:ind w:right="40"/>
              <w:spacing w:after="0" w:line="195" w:lineRule="exact"/>
              <w:rPr>
                <w:sz w:val="20"/>
                <w:szCs w:val="20"/>
                <w:color w:val="auto"/>
              </w:rPr>
            </w:pPr>
            <w:r>
              <w:rPr>
                <w:rFonts w:ascii="Arial" w:cs="Arial" w:eastAsia="Arial" w:hAnsi="Arial"/>
                <w:sz w:val="18"/>
                <w:szCs w:val="18"/>
                <w:color w:val="auto"/>
                <w:w w:val="90"/>
              </w:rPr>
              <w:t>Daily Simple RFR Spread for</w:t>
            </w:r>
          </w:p>
        </w:tc>
        <w:tc>
          <w:tcPr>
            <w:tcW w:w="160" w:type="dxa"/>
            <w:vAlign w:val="bottom"/>
            <w:tcBorders>
              <w:bottom w:val="single" w:sz="8" w:color="EEECE1"/>
            </w:tcBorders>
            <w:shd w:val="clear" w:color="auto" w:fill="EEECE1"/>
          </w:tcPr>
          <w:p>
            <w:pPr>
              <w:spacing w:after="0"/>
              <w:rPr>
                <w:sz w:val="16"/>
                <w:szCs w:val="16"/>
                <w:color w:val="auto"/>
              </w:rPr>
            </w:pPr>
          </w:p>
        </w:tc>
      </w:tr>
      <w:tr>
        <w:trPr>
          <w:trHeight w:val="229"/>
        </w:trPr>
        <w:tc>
          <w:tcPr>
            <w:tcW w:w="100" w:type="dxa"/>
            <w:vAlign w:val="bottom"/>
            <w:shd w:val="clear" w:color="auto" w:fill="EEECE1"/>
          </w:tcPr>
          <w:p>
            <w:pPr>
              <w:spacing w:after="0"/>
              <w:rPr>
                <w:sz w:val="19"/>
                <w:szCs w:val="19"/>
                <w:color w:val="auto"/>
              </w:rPr>
            </w:pPr>
          </w:p>
        </w:tc>
        <w:tc>
          <w:tcPr>
            <w:tcW w:w="5100" w:type="dxa"/>
            <w:vAlign w:val="bottom"/>
            <w:gridSpan w:val="3"/>
            <w:shd w:val="clear" w:color="auto" w:fill="EEECE1"/>
          </w:tcPr>
          <w:p>
            <w:pPr>
              <w:spacing w:after="0" w:line="195" w:lineRule="exact"/>
              <w:rPr>
                <w:sz w:val="20"/>
                <w:szCs w:val="20"/>
                <w:color w:val="auto"/>
              </w:rPr>
            </w:pPr>
            <w:r>
              <w:rPr>
                <w:rFonts w:ascii="Arial" w:cs="Arial" w:eastAsia="Arial" w:hAnsi="Arial"/>
                <w:sz w:val="18"/>
                <w:szCs w:val="18"/>
                <w:color w:val="auto"/>
              </w:rPr>
              <w:t>First Lien Leverage Ratio</w:t>
            </w:r>
          </w:p>
        </w:tc>
        <w:tc>
          <w:tcPr>
            <w:tcW w:w="3520" w:type="dxa"/>
            <w:vAlign w:val="bottom"/>
            <w:gridSpan w:val="4"/>
            <w:shd w:val="clear" w:color="auto" w:fill="EEECE1"/>
          </w:tcPr>
          <w:p>
            <w:pPr>
              <w:jc w:val="center"/>
              <w:ind w:left="890"/>
              <w:spacing w:after="0" w:line="195" w:lineRule="exact"/>
              <w:rPr>
                <w:sz w:val="20"/>
                <w:szCs w:val="20"/>
                <w:color w:val="auto"/>
              </w:rPr>
            </w:pPr>
            <w:r>
              <w:rPr>
                <w:rFonts w:ascii="Arial" w:cs="Arial" w:eastAsia="Arial" w:hAnsi="Arial"/>
                <w:sz w:val="18"/>
                <w:szCs w:val="18"/>
                <w:color w:val="auto"/>
                <w:w w:val="92"/>
              </w:rPr>
              <w:t>Loans (including Swingline Loans)</w:t>
            </w:r>
          </w:p>
        </w:tc>
        <w:tc>
          <w:tcPr>
            <w:tcW w:w="220" w:type="dxa"/>
            <w:vAlign w:val="bottom"/>
            <w:tcBorders>
              <w:right w:val="single" w:sz="8" w:color="EEECE1"/>
            </w:tcBorders>
            <w:shd w:val="clear" w:color="auto" w:fill="EEECE1"/>
          </w:tcPr>
          <w:p>
            <w:pPr>
              <w:spacing w:after="0"/>
              <w:rPr>
                <w:sz w:val="19"/>
                <w:szCs w:val="19"/>
                <w:color w:val="auto"/>
              </w:rPr>
            </w:pPr>
          </w:p>
        </w:tc>
        <w:tc>
          <w:tcPr>
            <w:tcW w:w="200" w:type="dxa"/>
            <w:vAlign w:val="bottom"/>
            <w:shd w:val="clear" w:color="auto" w:fill="EEECE1"/>
          </w:tcPr>
          <w:p>
            <w:pPr>
              <w:spacing w:after="0"/>
              <w:rPr>
                <w:sz w:val="19"/>
                <w:szCs w:val="19"/>
                <w:color w:val="auto"/>
              </w:rPr>
            </w:pPr>
          </w:p>
        </w:tc>
        <w:tc>
          <w:tcPr>
            <w:tcW w:w="2100" w:type="dxa"/>
            <w:vAlign w:val="bottom"/>
            <w:gridSpan w:val="5"/>
            <w:shd w:val="clear" w:color="auto" w:fill="EEECE1"/>
          </w:tcPr>
          <w:p>
            <w:pPr>
              <w:jc w:val="center"/>
              <w:ind w:right="400"/>
              <w:spacing w:after="0" w:line="195" w:lineRule="exact"/>
              <w:rPr>
                <w:sz w:val="20"/>
                <w:szCs w:val="20"/>
                <w:color w:val="auto"/>
              </w:rPr>
            </w:pPr>
            <w:r>
              <w:rPr>
                <w:rFonts w:ascii="Arial" w:cs="Arial" w:eastAsia="Arial" w:hAnsi="Arial"/>
                <w:sz w:val="18"/>
                <w:szCs w:val="18"/>
                <w:color w:val="auto"/>
                <w:w w:val="94"/>
              </w:rPr>
              <w:t>Initial Revolving Loans</w:t>
            </w:r>
          </w:p>
        </w:tc>
      </w:tr>
      <w:tr>
        <w:trPr>
          <w:trHeight w:val="188"/>
        </w:trPr>
        <w:tc>
          <w:tcPr>
            <w:tcW w:w="100" w:type="dxa"/>
            <w:vAlign w:val="bottom"/>
            <w:tcBorders>
              <w:top w:val="single" w:sz="8" w:color="EEECE1"/>
            </w:tcBorders>
          </w:tcPr>
          <w:p>
            <w:pPr>
              <w:spacing w:after="0"/>
              <w:rPr>
                <w:sz w:val="16"/>
                <w:szCs w:val="16"/>
                <w:color w:val="auto"/>
              </w:rPr>
            </w:pPr>
          </w:p>
        </w:tc>
        <w:tc>
          <w:tcPr>
            <w:tcW w:w="80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8"/>
                <w:szCs w:val="18"/>
                <w:color w:val="auto"/>
                <w:w w:val="88"/>
              </w:rPr>
              <w:t>Category 1</w:t>
            </w:r>
          </w:p>
        </w:tc>
        <w:tc>
          <w:tcPr>
            <w:tcW w:w="1040" w:type="dxa"/>
            <w:vAlign w:val="bottom"/>
            <w:tcBorders>
              <w:top w:val="single" w:sz="8" w:color="auto"/>
            </w:tcBorders>
          </w:tcPr>
          <w:p>
            <w:pPr>
              <w:spacing w:after="0"/>
              <w:rPr>
                <w:sz w:val="16"/>
                <w:szCs w:val="16"/>
                <w:color w:val="auto"/>
              </w:rPr>
            </w:pPr>
          </w:p>
        </w:tc>
        <w:tc>
          <w:tcPr>
            <w:tcW w:w="3260" w:type="dxa"/>
            <w:vAlign w:val="bottom"/>
            <w:tcBorders>
              <w:top w:val="single" w:sz="8" w:color="EEECE1"/>
            </w:tcBorders>
          </w:tcPr>
          <w:p>
            <w:pPr>
              <w:spacing w:after="0"/>
              <w:rPr>
                <w:sz w:val="16"/>
                <w:szCs w:val="16"/>
                <w:color w:val="auto"/>
              </w:rPr>
            </w:pPr>
          </w:p>
        </w:tc>
        <w:tc>
          <w:tcPr>
            <w:tcW w:w="980" w:type="dxa"/>
            <w:vAlign w:val="bottom"/>
            <w:tcBorders>
              <w:top w:val="single" w:sz="8" w:color="EEECE1"/>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EEECE1"/>
            </w:tcBorders>
          </w:tcPr>
          <w:p>
            <w:pPr>
              <w:spacing w:after="0"/>
              <w:rPr>
                <w:sz w:val="16"/>
                <w:szCs w:val="16"/>
                <w:color w:val="auto"/>
              </w:rPr>
            </w:pPr>
          </w:p>
        </w:tc>
        <w:tc>
          <w:tcPr>
            <w:tcW w:w="200" w:type="dxa"/>
            <w:vAlign w:val="bottom"/>
            <w:tcBorders>
              <w:top w:val="single" w:sz="8" w:color="EEECE1"/>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EEECE1"/>
            </w:tcBorders>
          </w:tcPr>
          <w:p>
            <w:pPr>
              <w:spacing w:after="0"/>
              <w:rPr>
                <w:sz w:val="16"/>
                <w:szCs w:val="16"/>
                <w:color w:val="auto"/>
              </w:rPr>
            </w:pPr>
          </w:p>
        </w:tc>
        <w:tc>
          <w:tcPr>
            <w:tcW w:w="160" w:type="dxa"/>
            <w:vAlign w:val="bottom"/>
            <w:tcBorders>
              <w:top w:val="single" w:sz="8" w:color="EEECE1"/>
            </w:tcBorders>
          </w:tcPr>
          <w:p>
            <w:pPr>
              <w:spacing w:after="0"/>
              <w:rPr>
                <w:sz w:val="16"/>
                <w:szCs w:val="16"/>
                <w:color w:val="auto"/>
              </w:rPr>
            </w:pPr>
          </w:p>
        </w:tc>
      </w:tr>
      <w:tr>
        <w:trPr>
          <w:trHeight w:val="262"/>
        </w:trPr>
        <w:tc>
          <w:tcPr>
            <w:tcW w:w="100" w:type="dxa"/>
            <w:vAlign w:val="bottom"/>
          </w:tcPr>
          <w:p>
            <w:pPr>
              <w:spacing w:after="0"/>
              <w:rPr>
                <w:sz w:val="22"/>
                <w:szCs w:val="22"/>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Greater than 2.50:1.00</w:t>
            </w:r>
          </w:p>
        </w:tc>
        <w:tc>
          <w:tcPr>
            <w:tcW w:w="3480" w:type="dxa"/>
            <w:vAlign w:val="bottom"/>
            <w:gridSpan w:val="3"/>
          </w:tcPr>
          <w:p>
            <w:pPr>
              <w:jc w:val="center"/>
              <w:ind w:left="930"/>
              <w:spacing w:after="0"/>
              <w:rPr>
                <w:sz w:val="20"/>
                <w:szCs w:val="20"/>
                <w:color w:val="auto"/>
              </w:rPr>
            </w:pPr>
            <w:r>
              <w:rPr>
                <w:rFonts w:ascii="Arial" w:cs="Arial" w:eastAsia="Arial" w:hAnsi="Arial"/>
                <w:sz w:val="18"/>
                <w:szCs w:val="18"/>
                <w:color w:val="auto"/>
                <w:w w:val="90"/>
              </w:rPr>
              <w:t>1.50%</w:t>
            </w:r>
          </w:p>
        </w:tc>
        <w:tc>
          <w:tcPr>
            <w:tcW w:w="40" w:type="dxa"/>
            <w:vAlign w:val="bottom"/>
          </w:tcPr>
          <w:p>
            <w:pPr>
              <w:spacing w:after="0"/>
              <w:rPr>
                <w:sz w:val="22"/>
                <w:szCs w:val="22"/>
                <w:color w:val="auto"/>
              </w:rPr>
            </w:pPr>
          </w:p>
        </w:tc>
        <w:tc>
          <w:tcPr>
            <w:tcW w:w="198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2.50%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1"/>
        </w:trPr>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w w:val="88"/>
              </w:rPr>
              <w:t>Category 2</w:t>
            </w:r>
          </w:p>
        </w:tc>
        <w:tc>
          <w:tcPr>
            <w:tcW w:w="43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2"/>
        </w:trPr>
        <w:tc>
          <w:tcPr>
            <w:tcW w:w="100" w:type="dxa"/>
            <w:vAlign w:val="bottom"/>
          </w:tcPr>
          <w:p>
            <w:pPr>
              <w:spacing w:after="0"/>
              <w:rPr>
                <w:sz w:val="22"/>
                <w:szCs w:val="22"/>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Less than or equal to 2.50:1.00 and greater than 2.00:1.00</w:t>
            </w:r>
          </w:p>
        </w:tc>
        <w:tc>
          <w:tcPr>
            <w:tcW w:w="3480" w:type="dxa"/>
            <w:vAlign w:val="bottom"/>
            <w:gridSpan w:val="3"/>
          </w:tcPr>
          <w:p>
            <w:pPr>
              <w:jc w:val="center"/>
              <w:ind w:left="930"/>
              <w:spacing w:after="0"/>
              <w:rPr>
                <w:sz w:val="20"/>
                <w:szCs w:val="20"/>
                <w:color w:val="auto"/>
              </w:rPr>
            </w:pPr>
            <w:r>
              <w:rPr>
                <w:rFonts w:ascii="Arial" w:cs="Arial" w:eastAsia="Arial" w:hAnsi="Arial"/>
                <w:sz w:val="18"/>
                <w:szCs w:val="18"/>
                <w:color w:val="auto"/>
                <w:w w:val="90"/>
              </w:rPr>
              <w:t>1.25%</w:t>
            </w:r>
          </w:p>
        </w:tc>
        <w:tc>
          <w:tcPr>
            <w:tcW w:w="40" w:type="dxa"/>
            <w:vAlign w:val="bottom"/>
          </w:tcPr>
          <w:p>
            <w:pPr>
              <w:spacing w:after="0"/>
              <w:rPr>
                <w:sz w:val="22"/>
                <w:szCs w:val="22"/>
                <w:color w:val="auto"/>
              </w:rPr>
            </w:pPr>
          </w:p>
        </w:tc>
        <w:tc>
          <w:tcPr>
            <w:tcW w:w="198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2.25%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1"/>
        </w:trPr>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w w:val="88"/>
              </w:rPr>
              <w:t>Category 3</w:t>
            </w:r>
          </w:p>
        </w:tc>
        <w:tc>
          <w:tcPr>
            <w:tcW w:w="43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2"/>
        </w:trPr>
        <w:tc>
          <w:tcPr>
            <w:tcW w:w="100" w:type="dxa"/>
            <w:vAlign w:val="bottom"/>
          </w:tcPr>
          <w:p>
            <w:pPr>
              <w:spacing w:after="0"/>
              <w:rPr>
                <w:sz w:val="22"/>
                <w:szCs w:val="22"/>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Less than or equal to 2.00:1.00</w:t>
            </w:r>
          </w:p>
        </w:tc>
        <w:tc>
          <w:tcPr>
            <w:tcW w:w="3480" w:type="dxa"/>
            <w:vAlign w:val="bottom"/>
            <w:gridSpan w:val="3"/>
          </w:tcPr>
          <w:p>
            <w:pPr>
              <w:jc w:val="center"/>
              <w:ind w:left="930"/>
              <w:spacing w:after="0"/>
              <w:rPr>
                <w:sz w:val="20"/>
                <w:szCs w:val="20"/>
                <w:color w:val="auto"/>
              </w:rPr>
            </w:pPr>
            <w:r>
              <w:rPr>
                <w:rFonts w:ascii="Arial" w:cs="Arial" w:eastAsia="Arial" w:hAnsi="Arial"/>
                <w:sz w:val="18"/>
                <w:szCs w:val="18"/>
                <w:color w:val="auto"/>
                <w:w w:val="90"/>
              </w:rPr>
              <w:t>1.00%</w:t>
            </w:r>
          </w:p>
        </w:tc>
        <w:tc>
          <w:tcPr>
            <w:tcW w:w="40" w:type="dxa"/>
            <w:vAlign w:val="bottom"/>
          </w:tcPr>
          <w:p>
            <w:pPr>
              <w:spacing w:after="0"/>
              <w:rPr>
                <w:sz w:val="22"/>
                <w:szCs w:val="22"/>
                <w:color w:val="auto"/>
              </w:rPr>
            </w:pPr>
          </w:p>
        </w:tc>
        <w:tc>
          <w:tcPr>
            <w:tcW w:w="198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2.00%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0" w:lineRule="exact"/>
        <w:rPr>
          <w:sz w:val="20"/>
          <w:szCs w:val="20"/>
          <w:color w:val="auto"/>
        </w:rPr>
      </w:pPr>
    </w:p>
    <w:p>
      <w:pPr>
        <w:spacing w:after="0" w:line="229" w:lineRule="exact"/>
        <w:rPr>
          <w:sz w:val="20"/>
          <w:szCs w:val="20"/>
          <w:color w:val="auto"/>
        </w:rPr>
      </w:pPr>
    </w:p>
    <w:p>
      <w:pPr>
        <w:ind w:firstLine="756"/>
        <w:spacing w:after="0" w:line="275" w:lineRule="auto"/>
        <w:tabs>
          <w:tab w:leader="none" w:pos="11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Swingline Loan, the rate per annum applicable to the relevant Class of Loans set forth under the caption “ABR Spread for Initial Revolving Loans (including Swingline Loans),” as the case may be, based upon the First Lien Leverage Ratio;</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until the first Adjustment Date following the completion of the first full Fiscal Quarter ended after the Closing Date, the “Applicable Rate” for any Initial Term Loan, Initial Revolving Loan or Swingline Loan shall be the applicable rate per annum set forth in such clause above in the corresponding </w:t>
      </w:r>
      <w:r>
        <w:rPr>
          <w:rFonts w:ascii="Arial" w:cs="Arial" w:eastAsia="Arial" w:hAnsi="Arial"/>
          <w:sz w:val="18"/>
          <w:szCs w:val="18"/>
          <w:u w:val="single" w:color="auto"/>
          <w:color w:val="auto"/>
        </w:rPr>
        <w:t>Category 1</w:t>
      </w:r>
      <w:r>
        <w:rPr>
          <w:rFonts w:ascii="Arial" w:cs="Arial" w:eastAsia="Arial" w:hAnsi="Arial"/>
          <w:sz w:val="18"/>
          <w:szCs w:val="18"/>
          <w:color w:val="auto"/>
        </w:rPr>
        <w:t>.</w:t>
      </w:r>
    </w:p>
    <w:p>
      <w:pPr>
        <w:spacing w:after="0" w:line="182"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 xml:space="preserve">The Applicable Rate shall be adjusted quarterly on a prospective basis on each Adjustment Date based upon the First Lien Leverage Ratio in accordance with the table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financial statements are not delivered when required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the “Applicable Rate” for any Initial Term Loan, Initial Revolving Loan or Swingline Loan shall be the rate per annum set forth above in Category 1 until such financial statements are delivered in compliance with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applicable. The Applicable Rate for any Term Loans or Revolving Loans of any Class other than the Initial Term Loans and Initial Revolving Loans shall be as set forth in the documentation relating to such other Class.</w:t>
      </w:r>
    </w:p>
    <w:p>
      <w:pPr>
        <w:spacing w:after="0" w:line="15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Revolving Credit Percentage</w:t>
      </w:r>
      <w:r>
        <w:rPr>
          <w:rFonts w:ascii="Arial" w:cs="Arial" w:eastAsia="Arial" w:hAnsi="Arial"/>
          <w:sz w:val="17"/>
          <w:szCs w:val="17"/>
          <w:color w:val="auto"/>
        </w:rPr>
        <w:t xml:space="preserve">” means, with respect to any Revolving Lender at any time, the percentage of the Total Revolving Credit Commitment at such time represented by such Revolving Lender’s Revolving Credit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the Applicable Revolving Credit Percentage shall be determined based upon the Revolving Credit Commitments (or the Revolving Credit Commitments of such Class) most recently in effect, giving effect to any assignments thereof.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63" w:name="page64"/>
    <w:bookmarkEnd w:id="63"/>
    <w:p>
      <w:pPr>
        <w:ind w:firstLine="7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w:t>
      </w:r>
    </w:p>
    <w:p>
      <w:pPr>
        <w:spacing w:after="0" w:line="1" w:lineRule="exact"/>
        <w:rPr>
          <w:sz w:val="20"/>
          <w:szCs w:val="20"/>
          <w:color w:val="auto"/>
        </w:rPr>
      </w:pPr>
    </w:p>
    <w:p>
      <w:pPr>
        <w:ind w:left="760" w:right="860" w:hanging="753"/>
        <w:spacing w:after="0" w:line="490"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Lender, (b) any Affiliate of such Lender or (c) any entity or any Affiliate of any entity that administers, advises or manages such Lender. “</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the preamble to this Agreement.</w:t>
      </w: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any other form approved by the Administrative Agent and the Borrower.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at any time, an amount equal to, without duplication:</w:t>
      </w:r>
    </w:p>
    <w:p>
      <w:pPr>
        <w:spacing w:after="0" w:line="223" w:lineRule="exact"/>
        <w:rPr>
          <w:sz w:val="20"/>
          <w:szCs w:val="20"/>
          <w:color w:val="auto"/>
        </w:rPr>
      </w:pPr>
    </w:p>
    <w:p>
      <w:pPr>
        <w:ind w:left="1840" w:hanging="335"/>
        <w:spacing w:after="0"/>
        <w:tabs>
          <w:tab w:leader="none" w:pos="1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2" w:lineRule="exact"/>
        <w:rPr>
          <w:rFonts w:ascii="Arial" w:cs="Arial" w:eastAsia="Arial" w:hAnsi="Arial"/>
          <w:sz w:val="18"/>
          <w:szCs w:val="18"/>
          <w:color w:val="auto"/>
        </w:rPr>
      </w:pPr>
    </w:p>
    <w:p>
      <w:pPr>
        <w:ind w:left="2600" w:hanging="346"/>
        <w:spacing w:after="0"/>
        <w:tabs>
          <w:tab w:leader="none" w:pos="2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greater of $94,000,000 and 40% of Consolidated Adjusted EBITDA as of the end of the most recently ended Test</w:t>
      </w:r>
    </w:p>
    <w:p>
      <w:pPr>
        <w:spacing w:after="0" w:line="45"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 xml:space="preserve">Period; </w:t>
      </w:r>
      <w:r>
        <w:rPr>
          <w:rFonts w:ascii="Arial" w:cs="Arial" w:eastAsia="Arial" w:hAnsi="Arial"/>
          <w:sz w:val="18"/>
          <w:szCs w:val="18"/>
          <w:u w:val="single" w:color="auto"/>
          <w:color w:val="auto"/>
        </w:rPr>
        <w:t>plus</w:t>
      </w:r>
    </w:p>
    <w:p>
      <w:pPr>
        <w:spacing w:after="0" w:line="208" w:lineRule="exact"/>
        <w:rPr>
          <w:rFonts w:ascii="Arial" w:cs="Arial" w:eastAsia="Arial" w:hAnsi="Arial"/>
          <w:sz w:val="16"/>
          <w:szCs w:val="16"/>
          <w:color w:val="auto"/>
        </w:rPr>
      </w:pPr>
    </w:p>
    <w:p>
      <w:pPr>
        <w:jc w:val="both"/>
        <w:ind w:left="1500" w:firstLine="754"/>
        <w:spacing w:after="0" w:line="277" w:lineRule="auto"/>
        <w:tabs>
          <w:tab w:leader="none" w:pos="2588"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Retained Excess Cash Flow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Retained Excess Cash Flow Amount shall not be available for any Restricted Payment pursuant to </w:t>
      </w:r>
      <w:r>
        <w:rPr>
          <w:rFonts w:ascii="Arial" w:cs="Arial" w:eastAsia="Arial" w:hAnsi="Arial"/>
          <w:sz w:val="17"/>
          <w:szCs w:val="17"/>
          <w:u w:val="single" w:color="auto"/>
          <w:color w:val="auto"/>
        </w:rPr>
        <w:t>Section 6.04(a)(iii)(A)</w:t>
      </w:r>
      <w:r>
        <w:rPr>
          <w:rFonts w:ascii="Arial" w:cs="Arial" w:eastAsia="Arial" w:hAnsi="Arial"/>
          <w:sz w:val="17"/>
          <w:szCs w:val="17"/>
          <w:color w:val="auto"/>
        </w:rPr>
        <w:t xml:space="preserve"> or Restricted Debt Payment pursuant to </w:t>
      </w:r>
      <w:r>
        <w:rPr>
          <w:rFonts w:ascii="Arial" w:cs="Arial" w:eastAsia="Arial" w:hAnsi="Arial"/>
          <w:sz w:val="17"/>
          <w:szCs w:val="17"/>
          <w:u w:val="single" w:color="auto"/>
          <w:color w:val="auto"/>
        </w:rPr>
        <w:t>Section 6.04(b)(vi)(A)</w:t>
      </w:r>
      <w:r>
        <w:rPr>
          <w:rFonts w:ascii="Arial" w:cs="Arial" w:eastAsia="Arial" w:hAnsi="Arial"/>
          <w:sz w:val="17"/>
          <w:szCs w:val="17"/>
          <w:color w:val="auto"/>
        </w:rPr>
        <w:t xml:space="preserve"> unless no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exists at the time of declaration of such Restricted Payment or the time of delivery of irrevocable notice with respect to such Restricted Debt Payment, as applicable; </w:t>
      </w:r>
      <w:r>
        <w:rPr>
          <w:rFonts w:ascii="Arial" w:cs="Arial" w:eastAsia="Arial" w:hAnsi="Arial"/>
          <w:sz w:val="17"/>
          <w:szCs w:val="17"/>
          <w:u w:val="single" w:color="auto"/>
          <w:color w:val="auto"/>
        </w:rPr>
        <w:t>plus</w:t>
      </w:r>
    </w:p>
    <w:p>
      <w:pPr>
        <w:spacing w:after="0" w:line="172" w:lineRule="exact"/>
        <w:rPr>
          <w:rFonts w:ascii="Arial" w:cs="Arial" w:eastAsia="Arial" w:hAnsi="Arial"/>
          <w:sz w:val="17"/>
          <w:szCs w:val="17"/>
          <w:color w:val="auto"/>
        </w:rPr>
      </w:pPr>
    </w:p>
    <w:p>
      <w:pPr>
        <w:jc w:val="both"/>
        <w:ind w:left="1500" w:firstLine="754"/>
        <w:spacing w:after="0" w:line="287" w:lineRule="auto"/>
        <w:tabs>
          <w:tab w:leader="none" w:pos="25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the amount of any capital contribution in respect of Qualified Capital Stock or the proceeds of any issuance of Qualified Capital Stock after the Closing Date (other than any amounts (x) constituting a Cure Amount, an Available Excluded Contribution Amount or a Contribution Indebtedness Amount, (y) received from the Borrower or any Restricted Subsidiary or (z) consisting of the proceeds of any loan or advance made pursuant to </w:t>
      </w:r>
      <w:r>
        <w:rPr>
          <w:rFonts w:ascii="Arial" w:cs="Arial" w:eastAsia="Arial" w:hAnsi="Arial"/>
          <w:sz w:val="16"/>
          <w:szCs w:val="16"/>
          <w:u w:val="single" w:color="auto"/>
          <w:color w:val="auto"/>
        </w:rPr>
        <w:t>Section 6.06(h)(ii)</w:t>
      </w:r>
      <w:r>
        <w:rPr>
          <w:rFonts w:ascii="Arial" w:cs="Arial" w:eastAsia="Arial" w:hAnsi="Arial"/>
          <w:sz w:val="16"/>
          <w:szCs w:val="16"/>
          <w:color w:val="auto"/>
        </w:rPr>
        <w:t xml:space="preserve">) received as Cash equity by the Borrower or any of its Restricted Subsidiaries, plus the fair market value, as reasonably determined by the Borrower, of Cash Equivalents, marketable securities or other property received by the Borrower or any Restricted Subsidiary as a capital contribution in respect of Qualified Capital Stock or in return for any issuance of Qualified Capital Stock (other than any amounts (x) constituting a Cure Amount, an Available Excluded Contribution Amount or a Contribution Indebtedness Amount or (y) received from the Borrower or any Restricted Subsidiary), in each case, during the period from and including the day immediately following the Closing Date through and including such time; </w:t>
      </w:r>
      <w:r>
        <w:rPr>
          <w:rFonts w:ascii="Arial" w:cs="Arial" w:eastAsia="Arial" w:hAnsi="Arial"/>
          <w:sz w:val="16"/>
          <w:szCs w:val="16"/>
          <w:u w:val="single" w:color="auto"/>
          <w:color w:val="auto"/>
        </w:rPr>
        <w:t>plus</w:t>
      </w:r>
    </w:p>
    <w:p>
      <w:pPr>
        <w:spacing w:after="0" w:line="169" w:lineRule="exact"/>
        <w:rPr>
          <w:rFonts w:ascii="Arial" w:cs="Arial" w:eastAsia="Arial" w:hAnsi="Arial"/>
          <w:sz w:val="16"/>
          <w:szCs w:val="16"/>
          <w:color w:val="auto"/>
        </w:rPr>
      </w:pPr>
    </w:p>
    <w:p>
      <w:pPr>
        <w:jc w:val="both"/>
        <w:ind w:left="1500" w:firstLine="754"/>
        <w:spacing w:after="0" w:line="270" w:lineRule="auto"/>
        <w:tabs>
          <w:tab w:leader="none" w:pos="2582"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any Indebtedness or Disqualified Capital Stock, in each case, of the Borrower or any Restricted Subsidiary issued after the Closing Date (other than Indebtedness or such Disqualified Capital Stock issued to the Borrower or any Restricted Subsidiary), which has been converted into or exchanged for Capital Stock of the Borrower, any Restricted Subsidiary or any Parent Company that does not constitute Disqualified Capital Stock, together with the fair market value of any Cash Equivalents and the fair market value (as reasonably determined by the Borrower) of any assets received by the Borrower or such Restricted Subsidiary upon such exchange or conversion, in each case, during the period from and including the day immediately following the Closing Date through and including such time; </w:t>
      </w:r>
      <w:r>
        <w:rPr>
          <w:rFonts w:ascii="Arial" w:cs="Arial" w:eastAsia="Arial" w:hAnsi="Arial"/>
          <w:sz w:val="17"/>
          <w:szCs w:val="17"/>
          <w:u w:val="single" w:color="auto"/>
          <w:color w:val="auto"/>
        </w:rPr>
        <w:t>plus</w:t>
      </w:r>
    </w:p>
    <w:p>
      <w:pPr>
        <w:spacing w:after="0" w:line="180" w:lineRule="exact"/>
        <w:rPr>
          <w:rFonts w:ascii="Arial" w:cs="Arial" w:eastAsia="Arial" w:hAnsi="Arial"/>
          <w:sz w:val="17"/>
          <w:szCs w:val="17"/>
          <w:color w:val="auto"/>
        </w:rPr>
      </w:pPr>
    </w:p>
    <w:p>
      <w:pPr>
        <w:jc w:val="both"/>
        <w:ind w:left="1500" w:firstLine="754"/>
        <w:spacing w:after="0" w:line="262" w:lineRule="auto"/>
        <w:tabs>
          <w:tab w:leader="none" w:pos="25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Arial" w:cs="Arial" w:eastAsia="Arial" w:hAnsi="Arial"/>
          <w:sz w:val="18"/>
          <w:szCs w:val="18"/>
          <w:u w:val="single" w:color="auto"/>
          <w:color w:val="auto"/>
        </w:rPr>
        <w:t>Section 6.06(r)(i)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ind w:left="1500" w:firstLine="754"/>
        <w:spacing w:after="0" w:line="275" w:lineRule="auto"/>
        <w:tabs>
          <w:tab w:leader="none" w:pos="258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the extent not already reflected as a return of capital with respect to such Investment for purposes of determining the amount of such Investment (pursuant to the definition thereof),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4" w:name="page65"/>
    <w:bookmarkEnd w:id="64"/>
    <w:p>
      <w:pPr>
        <w:jc w:val="both"/>
        <w:ind w:left="1500"/>
        <w:spacing w:after="0" w:line="258" w:lineRule="auto"/>
        <w:rPr>
          <w:sz w:val="20"/>
          <w:szCs w:val="20"/>
          <w:color w:val="auto"/>
        </w:rPr>
      </w:pPr>
      <w:r>
        <w:rPr>
          <w:rFonts w:ascii="Arial" w:cs="Arial" w:eastAsia="Arial" w:hAnsi="Arial"/>
          <w:sz w:val="18"/>
          <w:szCs w:val="18"/>
          <w:color w:val="auto"/>
        </w:rPr>
        <w:t xml:space="preserve">proceeds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Arial" w:cs="Arial" w:eastAsia="Arial" w:hAnsi="Arial"/>
          <w:sz w:val="18"/>
          <w:szCs w:val="18"/>
          <w:u w:val="single" w:color="auto"/>
          <w:color w:val="auto"/>
        </w:rPr>
        <w:t>Section 6.06(r)(i)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85" w:lineRule="exact"/>
        <w:rPr>
          <w:sz w:val="20"/>
          <w:szCs w:val="20"/>
          <w:color w:val="auto"/>
        </w:rPr>
      </w:pPr>
    </w:p>
    <w:p>
      <w:pPr>
        <w:jc w:val="both"/>
        <w:ind w:left="1500" w:firstLine="754"/>
        <w:spacing w:after="0" w:line="253" w:lineRule="auto"/>
        <w:tabs>
          <w:tab w:leader="none" w:pos="29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 amount equal to the sum of (A) the amount of any Investments by the Borrower or any Restricted Subsidiary pursuant to </w:t>
      </w:r>
      <w:r>
        <w:rPr>
          <w:rFonts w:ascii="Arial" w:cs="Arial" w:eastAsia="Arial" w:hAnsi="Arial"/>
          <w:sz w:val="18"/>
          <w:szCs w:val="18"/>
          <w:u w:val="single" w:color="auto"/>
          <w:color w:val="auto"/>
        </w:rPr>
        <w:t>Section 6.06(r)(i)</w:t>
      </w:r>
      <w:r>
        <w:rPr>
          <w:rFonts w:ascii="Arial" w:cs="Arial" w:eastAsia="Arial" w:hAnsi="Arial"/>
          <w:sz w:val="18"/>
          <w:szCs w:val="18"/>
          <w:color w:val="auto"/>
        </w:rPr>
        <w:t xml:space="preserve"> in any Unrestricted Subsidiary (in an amount not to exceed the original amount of such Investment) that has been re-designated as a Restricted Subsidiary or has been merged, consolidated or amalgamated with or into, or is liquidated, wound up or dissolved into, the Borrower or any Restricted Subsidiary and (B) the fair market value (as reasonably determined by the Borrower) of the assets of any Unrestricted Subsidiary that have been transferred, conveyed or otherwise distributed (in an amount not to exceed the original amount of the Investment pursuant to </w:t>
      </w:r>
      <w:r>
        <w:rPr>
          <w:rFonts w:ascii="Arial" w:cs="Arial" w:eastAsia="Arial" w:hAnsi="Arial"/>
          <w:sz w:val="18"/>
          <w:szCs w:val="18"/>
          <w:u w:val="single" w:color="auto"/>
          <w:color w:val="auto"/>
        </w:rPr>
        <w:t>Section 6.06(r)(i)</w:t>
      </w:r>
      <w:r>
        <w:rPr>
          <w:rFonts w:ascii="Arial" w:cs="Arial" w:eastAsia="Arial" w:hAnsi="Arial"/>
          <w:sz w:val="18"/>
          <w:szCs w:val="18"/>
          <w:color w:val="auto"/>
        </w:rPr>
        <w:t xml:space="preserve"> in such Unrestricted Subsidiary) to the Borrower or any Restricted Subsidiary, in each case, during the period from and including the day immediately following the Closing Date through and including such time; </w:t>
      </w:r>
      <w:r>
        <w:rPr>
          <w:rFonts w:ascii="Arial" w:cs="Arial" w:eastAsia="Arial" w:hAnsi="Arial"/>
          <w:sz w:val="18"/>
          <w:szCs w:val="18"/>
          <w:u w:val="single" w:color="auto"/>
          <w:color w:val="auto"/>
        </w:rPr>
        <w:t>plus</w:t>
      </w:r>
    </w:p>
    <w:p>
      <w:pPr>
        <w:spacing w:after="0" w:line="189" w:lineRule="exact"/>
        <w:rPr>
          <w:rFonts w:ascii="Arial" w:cs="Arial" w:eastAsia="Arial" w:hAnsi="Arial"/>
          <w:sz w:val="18"/>
          <w:szCs w:val="18"/>
          <w:color w:val="auto"/>
        </w:rPr>
      </w:pPr>
    </w:p>
    <w:p>
      <w:pPr>
        <w:ind w:left="2940" w:hanging="686"/>
        <w:spacing w:after="0"/>
        <w:tabs>
          <w:tab w:leader="none" w:pos="2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the amount of any Declined Proceeds; </w:t>
      </w:r>
      <w:r>
        <w:rPr>
          <w:rFonts w:ascii="Arial" w:cs="Arial" w:eastAsia="Arial" w:hAnsi="Arial"/>
          <w:sz w:val="18"/>
          <w:szCs w:val="18"/>
          <w:u w:val="single" w:color="auto"/>
          <w:color w:val="auto"/>
        </w:rPr>
        <w:t>minus</w:t>
      </w:r>
    </w:p>
    <w:p>
      <w:pPr>
        <w:spacing w:after="0" w:line="222" w:lineRule="exact"/>
        <w:rPr>
          <w:rFonts w:ascii="Arial" w:cs="Arial" w:eastAsia="Arial" w:hAnsi="Arial"/>
          <w:sz w:val="18"/>
          <w:szCs w:val="18"/>
          <w:color w:val="auto"/>
        </w:rPr>
      </w:pPr>
    </w:p>
    <w:p>
      <w:pPr>
        <w:jc w:val="both"/>
        <w:ind w:left="760" w:firstLine="745"/>
        <w:spacing w:after="0" w:line="272" w:lineRule="auto"/>
        <w:tabs>
          <w:tab w:leader="none" w:pos="18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an amount equal to the sum of (i) Restricted Payments made pursuant to </w:t>
      </w:r>
      <w:r>
        <w:rPr>
          <w:rFonts w:ascii="Arial" w:cs="Arial" w:eastAsia="Arial" w:hAnsi="Arial"/>
          <w:sz w:val="17"/>
          <w:szCs w:val="17"/>
          <w:u w:val="single" w:color="auto"/>
          <w:color w:val="auto"/>
        </w:rPr>
        <w:t>Section 6.04(a)(iii)(A)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Restricted Debt Payments made pursuant to </w:t>
      </w:r>
      <w:r>
        <w:rPr>
          <w:rFonts w:ascii="Arial" w:cs="Arial" w:eastAsia="Arial" w:hAnsi="Arial"/>
          <w:sz w:val="17"/>
          <w:szCs w:val="17"/>
          <w:u w:val="single" w:color="auto"/>
          <w:color w:val="auto"/>
        </w:rPr>
        <w:t>Section 6.04(b)(vi)(A)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Investments made pursuant to </w:t>
      </w:r>
      <w:r>
        <w:rPr>
          <w:rFonts w:ascii="Arial" w:cs="Arial" w:eastAsia="Arial" w:hAnsi="Arial"/>
          <w:sz w:val="17"/>
          <w:szCs w:val="17"/>
          <w:u w:val="single" w:color="auto"/>
          <w:color w:val="auto"/>
        </w:rPr>
        <w:t>Section 6.06(r)(i)</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the amount of Liens and Indebtedness incurred and Investments and Restricted Debt Payments made in reliance on the portion of the Available RP Capacity Amount arising from the ability to make Restricted Payments pursuant to </w:t>
      </w:r>
      <w:r>
        <w:rPr>
          <w:rFonts w:ascii="Arial" w:cs="Arial" w:eastAsia="Arial" w:hAnsi="Arial"/>
          <w:sz w:val="17"/>
          <w:szCs w:val="17"/>
          <w:u w:val="single" w:color="auto"/>
          <w:color w:val="auto"/>
        </w:rPr>
        <w:t>Section 6.04(a)(iii)(A) plus (v) the amount of Indebtedness incurred pursuant to</w:t>
      </w:r>
      <w:r>
        <w:rPr>
          <w:rFonts w:ascii="Arial" w:cs="Arial" w:eastAsia="Arial" w:hAnsi="Arial"/>
          <w:sz w:val="17"/>
          <w:szCs w:val="17"/>
          <w:color w:val="auto"/>
        </w:rPr>
        <w:t xml:space="preserve"> Section 6.01(v) plus (vi) the amount of Liens incurred pursuant to </w:t>
      </w:r>
      <w:r>
        <w:rPr>
          <w:rFonts w:ascii="Arial" w:cs="Arial" w:eastAsia="Arial" w:hAnsi="Arial"/>
          <w:sz w:val="17"/>
          <w:szCs w:val="17"/>
          <w:u w:val="single" w:color="auto"/>
          <w:color w:val="auto"/>
        </w:rPr>
        <w:t>Section 6.01(t)</w:t>
      </w:r>
      <w:r>
        <w:rPr>
          <w:rFonts w:ascii="Arial" w:cs="Arial" w:eastAsia="Arial" w:hAnsi="Arial"/>
          <w:sz w:val="17"/>
          <w:szCs w:val="17"/>
          <w:color w:val="auto"/>
        </w:rPr>
        <w:t xml:space="preserve"> (unless securing Indebtedness incurred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6.01(v))</w:t>
      </w:r>
      <w:r>
        <w:rPr>
          <w:rFonts w:ascii="Arial" w:cs="Arial" w:eastAsia="Arial" w:hAnsi="Arial"/>
          <w:sz w:val="17"/>
          <w:szCs w:val="17"/>
          <w:color w:val="auto"/>
        </w:rPr>
        <w:t>, in each case, after the Closing Date and prior to such time or contemporaneously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-177165</wp:posOffset>
            </wp:positionV>
            <wp:extent cx="2311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Excluded Contribution Amount</w:t>
      </w:r>
      <w:r>
        <w:rPr>
          <w:rFonts w:ascii="Arial" w:cs="Arial" w:eastAsia="Arial" w:hAnsi="Arial"/>
          <w:sz w:val="18"/>
          <w:szCs w:val="18"/>
          <w:color w:val="auto"/>
        </w:rPr>
        <w:t>” means the aggregate amount of Cash or Cash Equivalents or the fair market value of other assets (as reasonably determined by the Borrower, but excluding any Cure Amount) received by the Borrower or any of its Restricted Subsidiaries after the Closing Date from:</w:t>
      </w:r>
    </w:p>
    <w:p>
      <w:pPr>
        <w:spacing w:after="0" w:line="182" w:lineRule="exact"/>
        <w:rPr>
          <w:sz w:val="20"/>
          <w:szCs w:val="20"/>
          <w:color w:val="auto"/>
        </w:rPr>
      </w:pPr>
    </w:p>
    <w:p>
      <w:pPr>
        <w:ind w:left="760" w:firstLine="745"/>
        <w:spacing w:after="0" w:line="275" w:lineRule="auto"/>
        <w:tabs>
          <w:tab w:leader="none" w:pos="18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contributions in respect of Qualified Capital Stock of the Borrower (other than any amounts received from any Restricted Subsidiary of the Borrower), and</w:t>
      </w:r>
    </w:p>
    <w:p>
      <w:pPr>
        <w:spacing w:after="0" w:line="170" w:lineRule="exact"/>
        <w:rPr>
          <w:rFonts w:ascii="Arial" w:cs="Arial" w:eastAsia="Arial" w:hAnsi="Arial"/>
          <w:sz w:val="18"/>
          <w:szCs w:val="18"/>
          <w:color w:val="auto"/>
        </w:rPr>
      </w:pPr>
    </w:p>
    <w:p>
      <w:pPr>
        <w:jc w:val="both"/>
        <w:ind w:left="760" w:firstLine="745"/>
        <w:spacing w:after="0" w:line="262" w:lineRule="auto"/>
        <w:tabs>
          <w:tab w:leader="none" w:pos="18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sale of Qualified Capital Stock of the Borrower (other than (x) to any Restricted Subsidiary of the Borrower, (y) pursuant to any management equity plan or stock option plan or any other management or employee benefit plan or (z) with the proceeds of any loan or advance made pursuant to </w:t>
      </w:r>
      <w:r>
        <w:rPr>
          <w:rFonts w:ascii="Arial" w:cs="Arial" w:eastAsia="Arial" w:hAnsi="Arial"/>
          <w:sz w:val="18"/>
          <w:szCs w:val="18"/>
          <w:u w:val="single" w:color="auto"/>
          <w:color w:val="auto"/>
        </w:rPr>
        <w:t>Section 6.06(h)(ii)</w:t>
      </w:r>
      <w:r>
        <w:rPr>
          <w:rFonts w:ascii="Arial" w:cs="Arial" w:eastAsia="Arial" w:hAnsi="Arial"/>
          <w:sz w:val="18"/>
          <w:szCs w:val="18"/>
          <w:color w:val="auto"/>
        </w:rPr>
        <w: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each case, designated as an Available Excluded Contribution Amount pursuant to a certificate of a Responsible Officer on or promptly after the date on which the relevant capital contribution is made or the relevant proceeds are received, as the case may be, and which are excluded from the calculation of the Available Amount.</w:t>
      </w:r>
    </w:p>
    <w:p>
      <w:pPr>
        <w:spacing w:after="0" w:line="182"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RP Capacity Amount</w:t>
      </w:r>
      <w:r>
        <w:rPr>
          <w:rFonts w:ascii="Arial" w:cs="Arial" w:eastAsia="Arial" w:hAnsi="Arial"/>
          <w:sz w:val="16"/>
          <w:szCs w:val="16"/>
          <w:color w:val="auto"/>
        </w:rPr>
        <w:t xml:space="preserve">” means the amount of Restricted Payments that may be made at the time of determination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w:t>
      </w:r>
      <w:r>
        <w:rPr>
          <w:rFonts w:ascii="Arial" w:cs="Arial" w:eastAsia="Arial" w:hAnsi="Arial"/>
          <w:sz w:val="16"/>
          <w:szCs w:val="16"/>
          <w:color w:val="auto"/>
        </w:rPr>
        <w:t xml:space="preserve">, minus the sum of the amount of the Available RP Capacity Amount utilized by the Borrower or any Restricted Subsidiary to (A) make Restricted Payments in reliance on </w:t>
      </w:r>
      <w:r>
        <w:rPr>
          <w:rFonts w:ascii="Arial" w:cs="Arial" w:eastAsia="Arial" w:hAnsi="Arial"/>
          <w:sz w:val="16"/>
          <w:szCs w:val="16"/>
          <w:u w:val="single" w:color="auto"/>
          <w:color w:val="auto"/>
        </w:rPr>
        <w:t>Sections 6.04(a)(ii)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w:t>
      </w:r>
      <w:r>
        <w:rPr>
          <w:rFonts w:ascii="Arial" w:cs="Arial" w:eastAsia="Arial" w:hAnsi="Arial"/>
          <w:sz w:val="16"/>
          <w:szCs w:val="16"/>
          <w:color w:val="auto"/>
        </w:rPr>
        <w:t xml:space="preserve">, (B) incur Liens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6.02(hh)</w:t>
      </w:r>
      <w:r>
        <w:rPr>
          <w:rFonts w:ascii="Arial" w:cs="Arial" w:eastAsia="Arial" w:hAnsi="Arial"/>
          <w:sz w:val="16"/>
          <w:szCs w:val="16"/>
          <w:color w:val="auto"/>
        </w:rPr>
        <w:t xml:space="preserve"> (other than as set forth therein with respect to Liens securing Indebtedness incurred under </w:t>
      </w:r>
      <w:r>
        <w:rPr>
          <w:rFonts w:ascii="Arial" w:cs="Arial" w:eastAsia="Arial" w:hAnsi="Arial"/>
          <w:sz w:val="16"/>
          <w:szCs w:val="16"/>
          <w:u w:val="single" w:color="auto"/>
          <w:color w:val="auto"/>
        </w:rPr>
        <w:t>Section 6.01(bb)</w:t>
      </w:r>
      <w:r>
        <w:rPr>
          <w:rFonts w:ascii="Arial" w:cs="Arial" w:eastAsia="Arial" w:hAnsi="Arial"/>
          <w:sz w:val="16"/>
          <w:szCs w:val="16"/>
          <w:color w:val="auto"/>
        </w:rPr>
        <w:t xml:space="preserve">), (C) make Investments pursuant to </w:t>
      </w:r>
      <w:r>
        <w:rPr>
          <w:rFonts w:ascii="Arial" w:cs="Arial" w:eastAsia="Arial" w:hAnsi="Arial"/>
          <w:sz w:val="16"/>
          <w:szCs w:val="16"/>
          <w:u w:val="single" w:color="auto"/>
          <w:color w:val="auto"/>
        </w:rPr>
        <w:t>Section 6.06(x)</w:t>
      </w:r>
      <w:r>
        <w:rPr>
          <w:rFonts w:ascii="Arial" w:cs="Arial" w:eastAsia="Arial" w:hAnsi="Arial"/>
          <w:sz w:val="16"/>
          <w:szCs w:val="16"/>
          <w:color w:val="auto"/>
        </w:rPr>
        <w:t xml:space="preserve">, (D) incur Indebtedness pursuant to </w:t>
      </w:r>
      <w:r>
        <w:rPr>
          <w:rFonts w:ascii="Arial" w:cs="Arial" w:eastAsia="Arial" w:hAnsi="Arial"/>
          <w:sz w:val="16"/>
          <w:szCs w:val="16"/>
          <w:u w:val="single" w:color="auto"/>
          <w:color w:val="auto"/>
        </w:rPr>
        <w:t>Section 6.01(bb)</w:t>
      </w:r>
      <w:r>
        <w:rPr>
          <w:rFonts w:ascii="Arial" w:cs="Arial" w:eastAsia="Arial" w:hAnsi="Arial"/>
          <w:sz w:val="16"/>
          <w:szCs w:val="16"/>
          <w:color w:val="auto"/>
        </w:rPr>
        <w:t xml:space="preserve"> and (E) make Restricted Debt Payments pursuant to </w:t>
      </w:r>
      <w:r>
        <w:rPr>
          <w:rFonts w:ascii="Arial" w:cs="Arial" w:eastAsia="Arial" w:hAnsi="Arial"/>
          <w:sz w:val="16"/>
          <w:szCs w:val="16"/>
          <w:u w:val="single" w:color="auto"/>
          <w:color w:val="auto"/>
        </w:rPr>
        <w:t>Section 6.04(b)(viii)</w:t>
      </w:r>
      <w:r>
        <w:rPr>
          <w:rFonts w:ascii="Arial" w:cs="Arial" w:eastAsia="Arial" w:hAnsi="Arial"/>
          <w:sz w:val="16"/>
          <w:szCs w:val="16"/>
          <w:color w:val="auto"/>
        </w:rPr>
        <w:t>.</w:t>
      </w:r>
    </w:p>
    <w:p>
      <w:pPr>
        <w:spacing w:after="0" w:line="15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5" w:name="page66"/>
    <w:bookmarkEnd w:id="65"/>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w:t>
      </w:r>
      <w:r>
        <w:rPr>
          <w:rFonts w:ascii="Arial" w:cs="Arial" w:eastAsia="Arial" w:hAnsi="Arial"/>
          <w:sz w:val="17"/>
          <w:szCs w:val="17"/>
          <w:color w:val="auto"/>
        </w:rPr>
        <w:t>” means each and any of the following bank services provided to any Loan Party (a) under any arrangement that is in effect on the Closing Date between any Loan Party and a counterparty that is (or is an Affiliate of) the Administrative Agent, any Lender or any Arranger as of the Closing Date, (b) under any arrangement that is entered into on or after the Closing Date by any Loan Party with any counterparty that is (or is an Affiliate of) the Administrative Agent, any Lender or any Arranger at the time such arrangement is entered into or (c) under any arrangement that is in effect on the Closing Date or entered into after the Closing Date by any Loan Party with any counterparty designated as a “Banking Services Bank” by written notice executed by the Borrower and such counterparty to the Administrative Agent in a form reasonably acceptable to the Administrative Agent: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82"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Obligations</w:t>
      </w:r>
      <w:r>
        <w:rPr>
          <w:rFonts w:ascii="Arial" w:cs="Arial" w:eastAsia="Arial" w:hAnsi="Arial"/>
          <w:sz w:val="16"/>
          <w:szCs w:val="16"/>
          <w:color w:val="auto"/>
        </w:rPr>
        <w:t xml:space="preserve">” means any and all obligations of any Loan Party, whether absolute or contingent and however and whenever created, arising, evidenced or acquired (including all renewals, extensions and modifications thereof and substitutions therefor), in connection with Banking Services, in each case, that have been designated to the Administrative Agent in writing by the Borrower as being Banking Services Obligations for the purposes of the Loan Documents, it being understood that each counterparty thereto shall be deemed (A) to appoint the Administrative Agent as its agent under the applicable Loan Documents and (B) to agree to be bound by the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as if it were a Lender.</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xml:space="preserve">” means Title 11 of the United States Code (11 U.S.C. § 101 </w:t>
      </w:r>
      <w:r>
        <w:rPr>
          <w:rFonts w:ascii="Arial" w:cs="Arial" w:eastAsia="Arial" w:hAnsi="Arial"/>
          <w:sz w:val="16"/>
          <w:szCs w:val="16"/>
          <w:i w:val="1"/>
          <w:iCs w:val="1"/>
          <w:color w:val="auto"/>
        </w:rPr>
        <w:t>et seq</w:t>
      </w:r>
      <w:r>
        <w:rPr>
          <w:rFonts w:ascii="Arial" w:cs="Arial" w:eastAsia="Arial" w:hAnsi="Arial"/>
          <w:sz w:val="16"/>
          <w:szCs w:val="16"/>
          <w:color w:val="auto"/>
        </w:rPr>
        <w:t>.), as it has been, or may be, amended, from time to time.</w:t>
      </w:r>
    </w:p>
    <w:p>
      <w:pPr>
        <w:spacing w:after="0" w:line="2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shall mean a certification regarding beneficial ownership or control as required by the Beneficial Ownership Regulation.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shall mean 31 C.F.R. § 1010.230.</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w:t>
      </w:r>
      <w:r>
        <w:rPr>
          <w:rFonts w:ascii="Arial" w:cs="Arial" w:eastAsia="Arial" w:hAnsi="Arial"/>
          <w:sz w:val="18"/>
          <w:szCs w:val="18"/>
          <w:color w:val="auto"/>
        </w:rPr>
        <w:t>” has the meaning assigned to such term in the preamble to this Credit Agreement.</w:t>
      </w:r>
    </w:p>
    <w:p>
      <w:pPr>
        <w:spacing w:after="0" w:line="22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Bona Fide Debt Fund</w:t>
      </w:r>
      <w:r>
        <w:rPr>
          <w:rFonts w:ascii="Arial" w:cs="Arial" w:eastAsia="Arial" w:hAnsi="Arial"/>
          <w:sz w:val="17"/>
          <w:szCs w:val="17"/>
          <w:color w:val="auto"/>
        </w:rPr>
        <w:t>” means any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which is managed, sponsored or advised by any Person controlling, controlled by or under common control with (a) any competitor of the Borrower and/or any of its subsidiaries or (b) any Affiliate of such competitor, but, in each case, with respect to which no personnel involved with any investment in such Person or the management, control or operation of such Person (i) directly or indirectly makes, has the right to make or participates with others in making any investment decisions, or otherwise causing the direction of the investment policies, with respect to such debt fund, investment vehicle, regulated bank entity or unregulated entity or (ii) has access to any information (other than information that is publicly available) relating to Holdings, the Borrower or its subsidiaries or any entity that forms a part of any of their respective businesses; it being understood and agreed that the term “Bona Fide Debt Fund” shall not include any Person that is a Disqualified Lending Institution.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6" w:name="page67"/>
    <w:bookmarkEnd w:id="66"/>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(a) CCC Intelligent Solutions Inc. and (b) any Successor Borrower.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any Loans of the same Type and Class made, converted or continued on the same date and, in the case of LIBO Rate Loans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SOFR Loans</w:t>
      </w:r>
      <w:r>
        <w:rPr>
          <w:rFonts w:ascii="Arial" w:cs="Arial" w:eastAsia="Arial" w:hAnsi="Arial"/>
          <w:sz w:val="18"/>
          <w:szCs w:val="18"/>
          <w:color w:val="0000FF"/>
        </w:rPr>
        <w:t xml:space="preserve"> </w:t>
      </w:r>
      <w:r>
        <w:rPr>
          <w:rFonts w:ascii="Arial" w:cs="Arial" w:eastAsia="Arial" w:hAnsi="Arial"/>
          <w:sz w:val="18"/>
          <w:szCs w:val="18"/>
          <w:color w:val="000000"/>
        </w:rPr>
        <w:t>and RFR Loans, as to which a single Interest Period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-180340</wp:posOffset>
            </wp:positionV>
            <wp:extent cx="266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15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that is reasonably acceptable to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85"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New York City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w:t>
      </w:r>
      <w:r>
        <w:rPr>
          <w:rFonts w:ascii="Arial" w:cs="Arial" w:eastAsia="Arial" w:hAnsi="Arial"/>
          <w:sz w:val="16"/>
          <w:szCs w:val="16"/>
          <w:color w:val="FF0000"/>
          <w:strike w:val="1"/>
        </w:rPr>
        <w:t>when used in connection with a LIBO Rate Loan, the term “Business Day” shall also exclude any day on</w:t>
      </w:r>
      <w:r>
        <w:rPr>
          <w:rFonts w:ascii="Arial" w:cs="Arial" w:eastAsia="Arial" w:hAnsi="Arial"/>
          <w:sz w:val="16"/>
          <w:szCs w:val="16"/>
          <w:color w:val="auto"/>
        </w:rPr>
        <w:t xml:space="preserve"> </w:t>
      </w:r>
      <w:r>
        <w:rPr>
          <w:rFonts w:ascii="Arial" w:cs="Arial" w:eastAsia="Arial" w:hAnsi="Arial"/>
          <w:sz w:val="16"/>
          <w:szCs w:val="16"/>
          <w:color w:val="FF0000"/>
          <w:strike w:val="1"/>
        </w:rPr>
        <w:t>which banks are not open for dealings in Dollar deposits in the London interbank market</w:t>
      </w:r>
      <w:r>
        <w:rPr>
          <w:rFonts w:ascii="Arial" w:cs="Arial" w:eastAsia="Arial" w:hAnsi="Arial"/>
          <w:sz w:val="16"/>
          <w:szCs w:val="16"/>
          <w:u w:val="single" w:color="auto"/>
          <w:color w:val="0000FF"/>
        </w:rPr>
        <w:t>[reserved]</w:t>
      </w:r>
      <w:r>
        <w:rPr>
          <w:rFonts w:ascii="Arial" w:cs="Arial" w:eastAsia="Arial" w:hAnsi="Arial"/>
          <w:sz w:val="16"/>
          <w:szCs w:val="16"/>
          <w:color w:val="000000"/>
        </w:rPr>
        <w:t>, (y) if such day relates to any interest rate settings as to a</w:t>
      </w:r>
      <w:r>
        <w:rPr>
          <w:rFonts w:ascii="Arial" w:cs="Arial" w:eastAsia="Arial" w:hAnsi="Arial"/>
          <w:sz w:val="16"/>
          <w:szCs w:val="16"/>
          <w:color w:val="FF0000"/>
        </w:rPr>
        <w:t xml:space="preserve"> </w:t>
      </w:r>
      <w:r>
        <w:rPr>
          <w:rFonts w:ascii="Arial" w:cs="Arial" w:eastAsia="Arial" w:hAnsi="Arial"/>
          <w:sz w:val="16"/>
          <w:szCs w:val="16"/>
          <w:color w:val="000000"/>
        </w:rPr>
        <w:t>LIBO Rate Loan denominated in Euro, any fundings, disbursements, settlements and payments in Euro in respect of any such LIBO Rate Loan, or any other dealings in Euro to be carried out pursuant to this Agreement in respect of any such LIBO Rate Loan, means a Business Day that is also a TARGET Day and</w:t>
      </w:r>
    </w:p>
    <w:p>
      <w:pPr>
        <w:spacing w:after="0" w:line="1" w:lineRule="exact"/>
        <w:rPr>
          <w:sz w:val="20"/>
          <w:szCs w:val="20"/>
          <w:color w:val="auto"/>
        </w:rPr>
      </w:pPr>
    </w:p>
    <w:p>
      <w:pPr>
        <w:jc w:val="both"/>
        <w:ind w:firstLine="7"/>
        <w:spacing w:after="0" w:line="253"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RFR Loan, any fundings, disbursements, settlements and payments in respect of any such RFR Loan, or any other dealings to be carried out pursuant to this Agreement in respect of any such RFR Loan, means any day except for a Saturday, a Sunday or a day on which banks are closed for general business in London.</w:t>
      </w:r>
    </w:p>
    <w:p>
      <w:pPr>
        <w:spacing w:after="0" w:line="19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the Borrower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for the Borrower and its Restricted Subsidiaries for such period.</w:t>
      </w:r>
    </w:p>
    <w:p>
      <w:pPr>
        <w:spacing w:after="0" w:line="185"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the amount of obligations attributable to any Capital Lease shall be the amount thereof accounted for as a liability in accordance with GAAP.</w:t>
      </w:r>
    </w:p>
    <w:p>
      <w:pPr>
        <w:spacing w:after="0" w:line="16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Restricted Subsidiary of the Borrower that is subject to regulation as an insurance company (or any Restricted Subsidiary thereof).</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a credit balance in any Deposit Account, in each case determined in accordance with GAAP.</w:t>
      </w:r>
    </w:p>
    <w:p>
      <w:pPr>
        <w:spacing w:after="0" w:line="22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7" w:name="page68"/>
    <w:bookmarkEnd w:id="67"/>
    <w:p>
      <w:pPr>
        <w:jc w:val="both"/>
        <w:spacing w:after="0" w:line="267" w:lineRule="auto"/>
        <w:rPr>
          <w:sz w:val="20"/>
          <w:szCs w:val="20"/>
          <w:color w:val="auto"/>
        </w:rPr>
      </w:pPr>
      <w:r>
        <w:rPr>
          <w:rFonts w:ascii="Arial" w:cs="Arial" w:eastAsia="Arial" w:hAnsi="Arial"/>
          <w:sz w:val="17"/>
          <w:szCs w:val="17"/>
          <w:color w:val="auto"/>
        </w:rPr>
        <w:t xml:space="preserve">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$100,000,000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$100,000,000; (f) shares of any money market mutual fund that has (i) substantially all of its assets invested in the types of investments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(ii) net assets of not less than $250,000,000 and (iii) a rating of at least A-2 from S&amp;P or at least P-2 from Moody’s; and (g) solely with respect to any Captive Insurance Subsidiary, any investment that such Captive Insurance Subsidiary is not prohibited to make in accordance with applicable law.</w:t>
      </w:r>
    </w:p>
    <w:p>
      <w:pPr>
        <w:spacing w:after="0" w:line="18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 xml:space="preserve">The term “Cash Equivalents” shall also include (x) Investments of the type and maturity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and in this paragraph.</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the Bank of England’s Bank Rate as published by the Bank of England from time to time.</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in relation to the Central Bank Rate prevailing at close of business on any Business Day, the 20% trimmed arithmetic mean of the Central Bank Rate Spreads for the five (5) most immediately preceding Business Days for which Daily Simple RFR is available.</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Spread</w:t>
      </w:r>
      <w:r>
        <w:rPr>
          <w:rFonts w:ascii="Arial" w:cs="Arial" w:eastAsia="Arial" w:hAnsi="Arial"/>
          <w:sz w:val="18"/>
          <w:szCs w:val="18"/>
          <w:color w:val="auto"/>
        </w:rPr>
        <w:t>” means, in relation to any Business Day, the difference (expressed as a percentage rate per annum) between (x) Daily Simple RFR for such Business Day and (y) the Central Bank Rate prevailing at close of business on such Business Day.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means any direct or indirect Domestic Subsidiary that has no material assets other than the Capital Stock or Indebtedness of one or more Foreign Subsidiaries that are CFCs or CFC Holdcos.</w:t>
      </w:r>
    </w:p>
    <w:p>
      <w:pPr>
        <w:spacing w:after="0" w:line="17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treaty, rule or regulation after the Closing Date, (b) any change in any law, treaty, rule or regulation or in the interpretation or application thereof by any Governmental Authority after the Closing Date or (c) compliance by any Lender or any Issuing Bank (or, for purposes of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be deemed to be a Change in Law, regardless of the date enacted, adopted, issued or implemented.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8" w:name="page69"/>
    <w:bookmarkEnd w:id="68"/>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earliest to occur of:</w:t>
      </w:r>
    </w:p>
    <w:p>
      <w:pPr>
        <w:spacing w:after="0" w:line="223" w:lineRule="exact"/>
        <w:rPr>
          <w:sz w:val="20"/>
          <w:szCs w:val="20"/>
          <w:color w:val="auto"/>
        </w:rPr>
      </w:pPr>
    </w:p>
    <w:p>
      <w:pPr>
        <w:jc w:val="both"/>
        <w:ind w:left="760" w:firstLine="745"/>
        <w:spacing w:after="0" w:line="254" w:lineRule="auto"/>
        <w:tabs>
          <w:tab w:leader="none" w:pos="18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acquisition by any Person or group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and (ii) one or more Permitted Holders), of Capital Stock representing more than the greater of (x) 35% of the total voting power of all of the outstanding voting stock of Holdings and (y) the percentage of the total voting power of all of the outstanding voting stock of Holdings owned, directly or indirectly, beneficially by the Permitted Holders; and</w:t>
      </w:r>
    </w:p>
    <w:p>
      <w:pPr>
        <w:spacing w:after="0" w:line="190" w:lineRule="exact"/>
        <w:rPr>
          <w:rFonts w:ascii="Arial" w:cs="Arial" w:eastAsia="Arial" w:hAnsi="Arial"/>
          <w:sz w:val="18"/>
          <w:szCs w:val="18"/>
          <w:color w:val="auto"/>
        </w:rPr>
      </w:pPr>
    </w:p>
    <w:p>
      <w:pPr>
        <w:ind w:left="1840" w:hanging="335"/>
        <w:spacing w:after="0"/>
        <w:tabs>
          <w:tab w:leader="none" w:pos="1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ceasing to be a direct or indirect Wholly-Owned Subsidiary of Holdings.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w:t>
      </w:r>
      <w:r>
        <w:rPr>
          <w:rFonts w:ascii="Arial" w:cs="Arial" w:eastAsia="Arial" w:hAnsi="Arial"/>
          <w:sz w:val="18"/>
          <w:szCs w:val="18"/>
          <w:color w:val="auto"/>
        </w:rPr>
        <w:t>” means any fee, loss, charge, expense, cost, accrual or reserve of any kind.</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xml:space="preserve">,” when used with respect to (a) any Loan or Borrowing, refers to whether such Loan, or the Loans comprising such Borrowing, are Initial Term Loans, Additional Term Loans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9.02(c)(i)</w:t>
      </w:r>
      <w:r>
        <w:rPr>
          <w:rFonts w:ascii="Arial" w:cs="Arial" w:eastAsia="Arial" w:hAnsi="Arial"/>
          <w:sz w:val="17"/>
          <w:szCs w:val="17"/>
          <w:color w:val="auto"/>
        </w:rPr>
        <w:t xml:space="preserve">, Initial Revolving Loans or Additional Revolving Loans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9.02(c)(ii)</w:t>
      </w:r>
      <w:r>
        <w:rPr>
          <w:rFonts w:ascii="Arial" w:cs="Arial" w:eastAsia="Arial" w:hAnsi="Arial"/>
          <w:sz w:val="17"/>
          <w:szCs w:val="17"/>
          <w:color w:val="auto"/>
        </w:rPr>
        <w:t xml:space="preserve"> or Swingline Loans, (b) any Commitment, refers to whether such Commitment is an Initial Term Loan Commitment, an Additional Term Loan Commitment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9.02(c)(i)</w:t>
      </w:r>
      <w:r>
        <w:rPr>
          <w:rFonts w:ascii="Arial" w:cs="Arial" w:eastAsia="Arial" w:hAnsi="Arial"/>
          <w:sz w:val="17"/>
          <w:szCs w:val="17"/>
          <w:color w:val="auto"/>
        </w:rPr>
        <w:t xml:space="preserve">, an Initial Revolving Credit Commitment or an Additional Revolving Credit Commitment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9.02(c)(ii)</w:t>
      </w:r>
      <w:r>
        <w:rPr>
          <w:rFonts w:ascii="Arial" w:cs="Arial" w:eastAsia="Arial" w:hAnsi="Arial"/>
          <w:sz w:val="17"/>
          <w:szCs w:val="17"/>
          <w:color w:val="auto"/>
        </w:rPr>
        <w:t xml:space="preserve"> or a commitment to make Swingline Loans, (c) any Lender, refers to whether such Lender has a Loan or Commitment of a particular Class and (d) any Revolving Credit Exposure, refers to whether such Revolving Credit Exposure is attributable to a Revolving Credit Commitment of a particular Class.</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September 21, 2021,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were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Refinancing</w:t>
      </w:r>
      <w:r>
        <w:rPr>
          <w:rFonts w:ascii="Arial" w:cs="Arial" w:eastAsia="Arial" w:hAnsi="Arial"/>
          <w:sz w:val="18"/>
          <w:szCs w:val="18"/>
          <w:color w:val="auto"/>
        </w:rPr>
        <w:t>” means the refinancing or repayment of all indebtedness for borrowed money (other than contingent indemnification, cash management, hedging and other similar obligations) under that certain First Lien Credit Agreement, dated as of April 27, 2017 (as amended, restated, amended and restated, supplemented or otherwise modified from time to time as of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by and among Holdings, the Borrower, Jefferies Finance LLC, as administrative agent, and the lenders from time to time party thereto (and termination of all related guarantees and security).</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“CME” means CME Group Benchmark Administration Limited.</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3"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w:t>
      </w:r>
    </w:p>
    <w:p>
      <w:pPr>
        <w:spacing w:after="0" w:line="14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xml:space="preserve">” means, at any time, subject to (x) the applicable limitations set forth in this Agreement and/or any other Loan Document and (y) the time periods (and extensions thereof)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 the requirement that the Administrative Agent shall have received in the case of any Restricted Subsidiary that is required to become a Loan Party after the Closing Date (including by ceasing to be an Excluded Subsidiary):</w:t>
      </w:r>
    </w:p>
    <w:p>
      <w:pPr>
        <w:spacing w:after="0" w:line="185" w:lineRule="exact"/>
        <w:rPr>
          <w:sz w:val="20"/>
          <w:szCs w:val="20"/>
          <w:color w:val="auto"/>
        </w:rPr>
      </w:pPr>
    </w:p>
    <w:p>
      <w:pPr>
        <w:ind w:left="760" w:firstLine="745"/>
        <w:spacing w:after="0" w:line="275" w:lineRule="auto"/>
        <w:tabs>
          <w:tab w:leader="none" w:pos="18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a joinder to the Loan Guaranty in substantially the form attached as an exhibit thereto, (B) a supplement to the Security Agreement in substantially the form attached as an exhibit thereto, (C) if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9" w:name="page70"/>
    <w:bookmarkEnd w:id="69"/>
    <w:p>
      <w:pPr>
        <w:jc w:val="both"/>
        <w:ind w:left="760"/>
        <w:spacing w:after="0" w:line="255" w:lineRule="auto"/>
        <w:rPr>
          <w:sz w:val="20"/>
          <w:szCs w:val="20"/>
          <w:color w:val="auto"/>
        </w:rPr>
      </w:pPr>
      <w:r>
        <w:rPr>
          <w:rFonts w:ascii="Arial" w:cs="Arial" w:eastAsia="Arial" w:hAnsi="Arial"/>
          <w:sz w:val="18"/>
          <w:szCs w:val="18"/>
          <w:color w:val="auto"/>
        </w:rPr>
        <w:t xml:space="preserve">the respective Restricted Subsidiary required to comply with the requirements set forth in this definition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owns registrations of or applications for U.S. Patents, Trademarks, Copyrights, an Intellectual Property Security Agreement in substantially the form attached as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hereto, (D) a completed Perfection Certificate or Perfection Certificate Supplement, as applicable, and a certificate of a type described in </w:t>
      </w:r>
      <w:r>
        <w:rPr>
          <w:rFonts w:ascii="Arial" w:cs="Arial" w:eastAsia="Arial" w:hAnsi="Arial"/>
          <w:sz w:val="18"/>
          <w:szCs w:val="18"/>
          <w:u w:val="single" w:color="auto"/>
          <w:color w:val="auto"/>
        </w:rPr>
        <w:t>Section 4.01(d)(i)</w:t>
      </w:r>
      <w:r>
        <w:rPr>
          <w:rFonts w:ascii="Arial" w:cs="Arial" w:eastAsia="Arial" w:hAnsi="Arial"/>
          <w:sz w:val="18"/>
          <w:szCs w:val="18"/>
          <w:color w:val="auto"/>
        </w:rPr>
        <w:t xml:space="preserve"> and (E) Uniform Commercial Code financing statements in appropriate form for filing in such jurisdictions as the Administrative Agent may reasonably request; and</w:t>
      </w:r>
    </w:p>
    <w:p>
      <w:pPr>
        <w:spacing w:after="0" w:line="190" w:lineRule="exact"/>
        <w:rPr>
          <w:sz w:val="20"/>
          <w:szCs w:val="20"/>
          <w:color w:val="auto"/>
        </w:rPr>
      </w:pPr>
    </w:p>
    <w:p>
      <w:pPr>
        <w:ind w:left="760" w:firstLine="745"/>
        <w:spacing w:after="0" w:line="275" w:lineRule="auto"/>
        <w:tabs>
          <w:tab w:leader="none" w:pos="18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each item of Collateral that such Restricted Subsidiary is required to deliver under the Security Agreement (which, for the avoidance of doubt, shall be delivered within the time periods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760" w:firstLine="745"/>
        <w:spacing w:after="0" w:line="258" w:lineRule="auto"/>
        <w:tabs>
          <w:tab w:leader="none" w:pos="19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a Subsidiary that is organized in a jurisdiction other than the United States becomes a Guarantor, such Loan Party shall grant a perfected lien on substantially all of its assets pursuant to an arrangement reasonably agreed between the Administrative Agent and the Borrower subject to customary limitations and exclusions in such jurisdiction as reasonably agreed between the Administrative Agent and the Borrower.</w:t>
      </w:r>
    </w:p>
    <w:p>
      <w:pPr>
        <w:spacing w:after="0" w:line="18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(i) the Security Agreement, (ii) [reserved], (iii) each Intellectual Property Security Agreement, (iv) any supplement to any of the foregoing delivered to the Administrative Agent pursuant to the definition of “Collateral and Guarantee Requirement,” (v) the Perfection Certificate (including any Perfection Certificate delivered to the Administrative Agent pursuant to the definition of “Collateral and Guarantee Requirement”) and any Perfection Certificate Supplement and (vi) each of the other instruments and documents pursuant to which any Loan Party grants (or purports to grant) a Lien on any Collateral as security for payment of the Secured Obligations.</w:t>
      </w:r>
    </w:p>
    <w:p>
      <w:pPr>
        <w:spacing w:after="0" w:line="174"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Letter of Credit</w:t>
      </w:r>
      <w:r>
        <w:rPr>
          <w:rFonts w:ascii="Arial" w:cs="Arial" w:eastAsia="Arial" w:hAnsi="Arial"/>
          <w:sz w:val="17"/>
          <w:szCs w:val="17"/>
          <w:color w:val="auto"/>
        </w:rPr>
        <w:t>” means any Letter of Credit issued for the purpose of providing the primary payment mechanism in connection with the purchase of any materials, goods or services by the Borrower or any of its subsidiaries in the ordinary course of business of such Person.</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has the meaning set forth in Article 9 of the UCC.</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such Lender’s Initial Term Loan Commitment, Initial Revolving Credit Commitment and Additional Commitment, as applicable, in effect as of such time.</w:t>
      </w:r>
    </w:p>
    <w:p>
      <w:pPr>
        <w:spacing w:after="0" w:line="17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xml:space="preserve">” means, on any date (a) with respect to the Initial Revolving Credit Commitments, the applicable rate per annum set forth below based upon the First Lien Leverage Ratio and (b) with respect to Additional Revolving Credit Commitments of any Class, the rate or rates per annum specified in the applicable Refinancing Amendment, Incremental Facility Amendment or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first Adjustment Date following the completion of at least one full Fiscal Quarter after the Closing Date, the “Commitment Fee Rate” shall be the applicable rate per annum set forth in Category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 w:type="dxa"/>
            <w:vAlign w:val="bottom"/>
            <w:shd w:val="clear" w:color="auto" w:fill="EEECE1"/>
          </w:tcPr>
          <w:p>
            <w:pPr>
              <w:spacing w:after="0"/>
              <w:rPr>
                <w:sz w:val="20"/>
                <w:szCs w:val="20"/>
                <w:color w:val="auto"/>
              </w:rPr>
            </w:pPr>
          </w:p>
        </w:tc>
        <w:tc>
          <w:tcPr>
            <w:tcW w:w="7900" w:type="dxa"/>
            <w:vAlign w:val="bottom"/>
            <w:gridSpan w:val="3"/>
            <w:shd w:val="clear" w:color="auto" w:fill="EEECE1"/>
          </w:tcPr>
          <w:p>
            <w:pPr>
              <w:spacing w:after="0"/>
              <w:rPr>
                <w:sz w:val="20"/>
                <w:szCs w:val="20"/>
                <w:color w:val="auto"/>
              </w:rPr>
            </w:pPr>
            <w:r>
              <w:rPr>
                <w:rFonts w:ascii="Arial" w:cs="Arial" w:eastAsia="Arial" w:hAnsi="Arial"/>
                <w:sz w:val="18"/>
                <w:szCs w:val="18"/>
                <w:color w:val="auto"/>
              </w:rPr>
              <w:t>First Lien Leverage Ratio</w:t>
            </w:r>
          </w:p>
        </w:tc>
        <w:tc>
          <w:tcPr>
            <w:tcW w:w="3240" w:type="dxa"/>
            <w:vAlign w:val="bottom"/>
            <w:gridSpan w:val="2"/>
            <w:shd w:val="clear" w:color="auto" w:fill="EEECE1"/>
          </w:tcPr>
          <w:p>
            <w:pPr>
              <w:spacing w:after="0"/>
              <w:rPr>
                <w:sz w:val="20"/>
                <w:szCs w:val="20"/>
                <w:color w:val="auto"/>
              </w:rPr>
            </w:pPr>
            <w:r>
              <w:rPr>
                <w:rFonts w:ascii="Arial" w:cs="Arial" w:eastAsia="Arial" w:hAnsi="Arial"/>
                <w:sz w:val="18"/>
                <w:szCs w:val="18"/>
                <w:color w:val="auto"/>
              </w:rPr>
              <w:t>Commitment Fee Rate</w:t>
            </w:r>
          </w:p>
        </w:tc>
      </w:tr>
      <w:tr>
        <w:trPr>
          <w:trHeight w:val="188"/>
        </w:trPr>
        <w:tc>
          <w:tcPr>
            <w:tcW w:w="100" w:type="dxa"/>
            <w:vAlign w:val="bottom"/>
            <w:tcBorders>
              <w:top w:val="single" w:sz="8" w:color="EEECE1"/>
            </w:tcBorders>
          </w:tcPr>
          <w:p>
            <w:pPr>
              <w:spacing w:after="0"/>
              <w:rPr>
                <w:sz w:val="16"/>
                <w:szCs w:val="16"/>
                <w:color w:val="auto"/>
              </w:rPr>
            </w:pPr>
          </w:p>
        </w:tc>
        <w:tc>
          <w:tcPr>
            <w:tcW w:w="80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8"/>
                <w:szCs w:val="18"/>
                <w:color w:val="auto"/>
                <w:w w:val="88"/>
              </w:rPr>
              <w:t>Category 1</w:t>
            </w:r>
          </w:p>
        </w:tc>
        <w:tc>
          <w:tcPr>
            <w:tcW w:w="1040" w:type="dxa"/>
            <w:vAlign w:val="bottom"/>
            <w:tcBorders>
              <w:top w:val="single" w:sz="8" w:color="auto"/>
            </w:tcBorders>
          </w:tcPr>
          <w:p>
            <w:pPr>
              <w:spacing w:after="0"/>
              <w:rPr>
                <w:sz w:val="16"/>
                <w:szCs w:val="16"/>
                <w:color w:val="auto"/>
              </w:rPr>
            </w:pPr>
          </w:p>
        </w:tc>
        <w:tc>
          <w:tcPr>
            <w:tcW w:w="6060" w:type="dxa"/>
            <w:vAlign w:val="bottom"/>
            <w:tcBorders>
              <w:top w:val="single" w:sz="8" w:color="EEECE1"/>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620" w:type="dxa"/>
            <w:vAlign w:val="bottom"/>
            <w:tcBorders>
              <w:top w:val="single" w:sz="8" w:color="EEECE1"/>
            </w:tcBorders>
          </w:tcPr>
          <w:p>
            <w:pPr>
              <w:spacing w:after="0"/>
              <w:rPr>
                <w:sz w:val="16"/>
                <w:szCs w:val="16"/>
                <w:color w:val="auto"/>
              </w:rPr>
            </w:pPr>
          </w:p>
        </w:tc>
      </w:tr>
      <w:tr>
        <w:trPr>
          <w:trHeight w:val="262"/>
        </w:trPr>
        <w:tc>
          <w:tcPr>
            <w:tcW w:w="100" w:type="dxa"/>
            <w:vAlign w:val="bottom"/>
          </w:tcPr>
          <w:p>
            <w:pPr>
              <w:spacing w:after="0"/>
              <w:rPr>
                <w:sz w:val="22"/>
                <w:szCs w:val="22"/>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Greater than 2.50:1.00</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0.50%</w:t>
            </w:r>
          </w:p>
        </w:tc>
        <w:tc>
          <w:tcPr>
            <w:tcW w:w="1620" w:type="dxa"/>
            <w:vAlign w:val="bottom"/>
          </w:tcPr>
          <w:p>
            <w:pPr>
              <w:spacing w:after="0"/>
              <w:rPr>
                <w:sz w:val="22"/>
                <w:szCs w:val="22"/>
                <w:color w:val="auto"/>
              </w:rPr>
            </w:pPr>
          </w:p>
        </w:tc>
      </w:tr>
      <w:tr>
        <w:trPr>
          <w:trHeight w:val="201"/>
        </w:trPr>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w w:val="88"/>
              </w:rPr>
              <w:t>Category 2</w:t>
            </w:r>
          </w:p>
        </w:tc>
        <w:tc>
          <w:tcPr>
            <w:tcW w:w="710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2"/>
        </w:trPr>
        <w:tc>
          <w:tcPr>
            <w:tcW w:w="100" w:type="dxa"/>
            <w:vAlign w:val="bottom"/>
          </w:tcPr>
          <w:p>
            <w:pPr>
              <w:spacing w:after="0"/>
              <w:rPr>
                <w:sz w:val="22"/>
                <w:szCs w:val="22"/>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Equal to or less than 2.50:1.00 and greater than 2.00:1.00</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0.375%</w:t>
            </w:r>
          </w:p>
        </w:tc>
        <w:tc>
          <w:tcPr>
            <w:tcW w:w="1620" w:type="dxa"/>
            <w:vAlign w:val="bottom"/>
          </w:tcPr>
          <w:p>
            <w:pPr>
              <w:spacing w:after="0"/>
              <w:rPr>
                <w:sz w:val="22"/>
                <w:szCs w:val="22"/>
                <w:color w:val="auto"/>
              </w:rPr>
            </w:pPr>
          </w:p>
        </w:tc>
      </w:tr>
      <w:tr>
        <w:trPr>
          <w:trHeight w:val="201"/>
        </w:trPr>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w w:val="88"/>
              </w:rPr>
              <w:t>Category 3</w:t>
            </w:r>
          </w:p>
        </w:tc>
        <w:tc>
          <w:tcPr>
            <w:tcW w:w="710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2"/>
        </w:trPr>
        <w:tc>
          <w:tcPr>
            <w:tcW w:w="100" w:type="dxa"/>
            <w:vAlign w:val="bottom"/>
          </w:tcPr>
          <w:p>
            <w:pPr>
              <w:spacing w:after="0"/>
              <w:rPr>
                <w:sz w:val="22"/>
                <w:szCs w:val="22"/>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Equal to or less than 2.00:1.00</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0.25%</w:t>
            </w:r>
          </w:p>
        </w:tc>
        <w:tc>
          <w:tcPr>
            <w:tcW w:w="1620" w:type="dxa"/>
            <w:vAlign w:val="bottom"/>
          </w:tcPr>
          <w:p>
            <w:pPr>
              <w:spacing w:after="0"/>
              <w:rPr>
                <w:sz w:val="22"/>
                <w:szCs w:val="22"/>
                <w:color w:val="auto"/>
              </w:rPr>
            </w:pPr>
          </w:p>
        </w:tc>
      </w:tr>
    </w:tbl>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Commitment Fee Rate with respect to the Initial Revolving Credit Commitment shall be adjusted quarterly on a prospective basis on each Adjustment Date based upon the First Lien Leverage Ratio in accordance with the table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financial statements are not delivered when required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the Commitment Fee Rate shall be the rate per annum set forth above in Category 1 until such financial statements are delivered in compliance with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0" w:name="page71"/>
    <w:bookmarkEnd w:id="70"/>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means the Schedule attached hereto as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competitor of the Borrower and/or any of its Subsidiaries.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means, with respect to any Person on a consolidated basis for any period, the sum of:</w:t>
      </w:r>
    </w:p>
    <w:p>
      <w:pPr>
        <w:spacing w:after="0" w:line="223" w:lineRule="exact"/>
        <w:rPr>
          <w:sz w:val="20"/>
          <w:szCs w:val="20"/>
          <w:color w:val="auto"/>
        </w:rPr>
      </w:pPr>
    </w:p>
    <w:p>
      <w:pPr>
        <w:ind w:left="1840" w:hanging="335"/>
        <w:spacing w:after="0"/>
        <w:tabs>
          <w:tab w:leader="none" w:pos="1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222" w:lineRule="exact"/>
        <w:rPr>
          <w:rFonts w:ascii="Arial" w:cs="Arial" w:eastAsia="Arial" w:hAnsi="Arial"/>
          <w:sz w:val="18"/>
          <w:szCs w:val="18"/>
          <w:color w:val="auto"/>
        </w:rPr>
      </w:pPr>
    </w:p>
    <w:p>
      <w:pPr>
        <w:jc w:val="both"/>
        <w:ind w:left="760" w:firstLine="745"/>
        <w:spacing w:after="0" w:line="274" w:lineRule="auto"/>
        <w:tabs>
          <w:tab w:leader="none" w:pos="1839"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to the extent not otherwise included in the determination of Consolidated Net Income for such period, the amount of any proceeds of any business interruption insurance policy in an amount representing the earnings for the applicable period that such proceeds are intended to replace (whether or not then received so long as such Person in good faith expects to receive such proceeds within the next four Fiscal Quarters (it being understood that to the extent such proceeds are not actually received within such four Fiscal Quarter period, such proceeds shall be deducted in calculating Consolidated Adjusted EBITDA for such Fiscal Quarters)); </w:t>
      </w:r>
      <w:r>
        <w:rPr>
          <w:rFonts w:ascii="Arial" w:cs="Arial" w:eastAsia="Arial" w:hAnsi="Arial"/>
          <w:sz w:val="17"/>
          <w:szCs w:val="17"/>
          <w:u w:val="single" w:color="auto"/>
          <w:color w:val="auto"/>
        </w:rPr>
        <w:t>plus</w:t>
      </w:r>
    </w:p>
    <w:p>
      <w:pPr>
        <w:spacing w:after="0" w:line="174" w:lineRule="exact"/>
        <w:rPr>
          <w:rFonts w:ascii="Arial" w:cs="Arial" w:eastAsia="Arial" w:hAnsi="Arial"/>
          <w:sz w:val="17"/>
          <w:szCs w:val="17"/>
          <w:color w:val="auto"/>
        </w:rPr>
      </w:pPr>
    </w:p>
    <w:p>
      <w:pPr>
        <w:ind w:left="1840" w:hanging="335"/>
        <w:spacing w:after="0"/>
        <w:tabs>
          <w:tab w:leader="none" w:pos="1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without duplication, those amounts which, in the determination of Consolidated Net Income for such period, have been deducted</w:t>
      </w:r>
    </w:p>
    <w:p>
      <w:pPr>
        <w:spacing w:after="0" w:line="45"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for:</w:t>
      </w:r>
    </w:p>
    <w:p>
      <w:pPr>
        <w:spacing w:after="0" w:line="208" w:lineRule="exact"/>
        <w:rPr>
          <w:rFonts w:ascii="Arial" w:cs="Arial" w:eastAsia="Arial" w:hAnsi="Arial"/>
          <w:sz w:val="16"/>
          <w:szCs w:val="16"/>
          <w:color w:val="auto"/>
        </w:rPr>
      </w:pPr>
    </w:p>
    <w:p>
      <w:pPr>
        <w:ind w:left="2580" w:hanging="326"/>
        <w:spacing w:after="0"/>
        <w:tabs>
          <w:tab w:leader="none" w:pos="2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222" w:lineRule="exact"/>
        <w:rPr>
          <w:rFonts w:ascii="Arial" w:cs="Arial" w:eastAsia="Arial" w:hAnsi="Arial"/>
          <w:sz w:val="18"/>
          <w:szCs w:val="18"/>
          <w:color w:val="auto"/>
        </w:rPr>
      </w:pPr>
    </w:p>
    <w:p>
      <w:pPr>
        <w:ind w:left="2580" w:hanging="326"/>
        <w:spacing w:after="0"/>
        <w:tabs>
          <w:tab w:leader="none" w:pos="2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Charges related to any de novo facility, including construction, pre-opening and start-up period;</w:t>
      </w:r>
    </w:p>
    <w:p>
      <w:pPr>
        <w:spacing w:after="0" w:line="222" w:lineRule="exact"/>
        <w:rPr>
          <w:rFonts w:ascii="Arial" w:cs="Arial" w:eastAsia="Arial" w:hAnsi="Arial"/>
          <w:sz w:val="18"/>
          <w:szCs w:val="18"/>
          <w:color w:val="auto"/>
        </w:rPr>
      </w:pPr>
    </w:p>
    <w:p>
      <w:pPr>
        <w:jc w:val="both"/>
        <w:ind w:left="1500" w:firstLine="754"/>
        <w:spacing w:after="0" w:line="258" w:lineRule="auto"/>
        <w:tabs>
          <w:tab w:leader="none" w:pos="2599" w:val="left"/>
        </w:tabs>
        <w:numPr>
          <w:ilvl w:val="1"/>
          <w:numId w:val="54"/>
        </w:numPr>
        <w:rPr>
          <w:rFonts w:ascii="Arial" w:cs="Arial" w:eastAsia="Arial" w:hAnsi="Arial"/>
          <w:sz w:val="18"/>
          <w:szCs w:val="18"/>
          <w:color w:val="auto"/>
        </w:rPr>
      </w:pPr>
      <w:r>
        <w:rPr>
          <w:rFonts w:ascii="Arial" w:cs="Arial" w:eastAsia="Arial" w:hAnsi="Arial"/>
          <w:sz w:val="18"/>
          <w:szCs w:val="18"/>
          <w:color w:val="auto"/>
        </w:rPr>
        <w:t>Taxes paid and any provision for Taxes, including income, capital, federal, state, local,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w:t>
      </w:r>
    </w:p>
    <w:p>
      <w:pPr>
        <w:spacing w:after="0" w:line="184" w:lineRule="exact"/>
        <w:rPr>
          <w:rFonts w:ascii="Arial" w:cs="Arial" w:eastAsia="Arial" w:hAnsi="Arial"/>
          <w:sz w:val="18"/>
          <w:szCs w:val="18"/>
          <w:color w:val="auto"/>
        </w:rPr>
      </w:pPr>
    </w:p>
    <w:p>
      <w:pPr>
        <w:ind w:left="1500" w:firstLine="754"/>
        <w:spacing w:after="0" w:line="305" w:lineRule="auto"/>
        <w:tabs>
          <w:tab w:leader="none" w:pos="257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 all depreciation, amortization (including, without limitation, amortization of goodwill, software and other intangible assets), (B) all impairment Charges (including any bad debt expense) and (C) all asset write-offs and/or write-downs;</w:t>
      </w:r>
    </w:p>
    <w:p>
      <w:pPr>
        <w:spacing w:after="0" w:line="148" w:lineRule="exact"/>
        <w:rPr>
          <w:rFonts w:ascii="Arial" w:cs="Arial" w:eastAsia="Arial" w:hAnsi="Arial"/>
          <w:sz w:val="17"/>
          <w:szCs w:val="17"/>
          <w:color w:val="auto"/>
        </w:rPr>
      </w:pPr>
    </w:p>
    <w:p>
      <w:pPr>
        <w:jc w:val="both"/>
        <w:ind w:left="1500" w:firstLine="754"/>
        <w:spacing w:after="0" w:line="258" w:lineRule="auto"/>
        <w:tabs>
          <w:tab w:leader="none" w:pos="2586"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any earn-out and contingent consideration obligations (including to the extent accounted for as bonuses, compensation or otherwise) incurred in connection with the Transactions and/or any acquisition and/or other Investment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which is paid or accrued during such period and in connection with any similar acquisition or other Investment completed prior to the Closing Date and, in each case, adjustments thereof;</w:t>
      </w:r>
    </w:p>
    <w:p>
      <w:pPr>
        <w:spacing w:after="0" w:line="184" w:lineRule="exact"/>
        <w:rPr>
          <w:rFonts w:ascii="Arial" w:cs="Arial" w:eastAsia="Arial" w:hAnsi="Arial"/>
          <w:sz w:val="18"/>
          <w:szCs w:val="18"/>
          <w:color w:val="auto"/>
        </w:rPr>
      </w:pPr>
    </w:p>
    <w:p>
      <w:pPr>
        <w:jc w:val="both"/>
        <w:ind w:left="1500" w:firstLine="754"/>
        <w:spacing w:after="0" w:line="277" w:lineRule="auto"/>
        <w:tabs>
          <w:tab w:leader="none" w:pos="2584"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non-cash Charge, including the excess of GAAP rent expense over actual cash rent paid during such period due to the use of straight line rent for GAAP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1" w:name="page72"/>
    <w:bookmarkEnd w:id="71"/>
    <w:p>
      <w:pPr>
        <w:ind w:left="380"/>
        <w:spacing w:after="0"/>
        <w:rPr>
          <w:sz w:val="20"/>
          <w:szCs w:val="20"/>
          <w:color w:val="auto"/>
        </w:rPr>
      </w:pPr>
      <w:r>
        <w:rPr>
          <w:rFonts w:ascii="Arial" w:cs="Arial" w:eastAsia="Arial" w:hAnsi="Arial"/>
          <w:sz w:val="18"/>
          <w:szCs w:val="18"/>
          <w:color w:val="auto"/>
        </w:rPr>
        <w:t>in respect thereof in such future period shall be subtracted from Consolidated Adjusted EBITDA to such extent);</w:t>
      </w:r>
    </w:p>
    <w:p>
      <w:pPr>
        <w:spacing w:after="0" w:line="223" w:lineRule="exact"/>
        <w:rPr>
          <w:sz w:val="20"/>
          <w:szCs w:val="20"/>
          <w:color w:val="auto"/>
        </w:rPr>
      </w:pPr>
    </w:p>
    <w:p>
      <w:pPr>
        <w:jc w:val="both"/>
        <w:ind w:left="380" w:firstLine="754"/>
        <w:spacing w:after="0" w:line="219" w:lineRule="exact"/>
        <w:tabs>
          <w:tab w:leader="none" w:pos="1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non</w:t>
      </w:r>
      <w:r>
        <w:rPr>
          <w:rFonts w:ascii="MS PGothic" w:cs="MS PGothic" w:eastAsia="MS PGothic" w:hAnsi="MS PGothic"/>
          <w:sz w:val="18"/>
          <w:szCs w:val="18"/>
          <w:color w:val="auto"/>
        </w:rPr>
        <w:t>‑</w:t>
      </w:r>
      <w:r>
        <w:rPr>
          <w:rFonts w:ascii="Arial" w:cs="Arial" w:eastAsia="Arial" w:hAnsi="Arial"/>
          <w:sz w:val="18"/>
          <w:szCs w:val="18"/>
          <w:color w:val="auto"/>
        </w:rPr>
        <w:t>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w:t>
      </w:r>
    </w:p>
    <w:p>
      <w:pPr>
        <w:spacing w:after="0" w:line="202" w:lineRule="exact"/>
        <w:rPr>
          <w:rFonts w:ascii="Arial" w:cs="Arial" w:eastAsia="Arial" w:hAnsi="Arial"/>
          <w:sz w:val="18"/>
          <w:szCs w:val="18"/>
          <w:color w:val="auto"/>
        </w:rPr>
      </w:pPr>
    </w:p>
    <w:p>
      <w:pPr>
        <w:jc w:val="both"/>
        <w:ind w:left="380" w:firstLine="754"/>
        <w:spacing w:after="0" w:line="286" w:lineRule="auto"/>
        <w:tabs>
          <w:tab w:leader="none" w:pos="18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 Transaction Costs, (B) Charges incurred (1) in connection with any transaction (in each case, regardless of whether consummated), and whether or not permitted under this Agreement, including any incurrence, issuance or offering of Capital Stock or Indebtedness (including at any Parent Company),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and/or (2) in connection with the IPO, (C) the amount of any Charge that is actually reimbursed or reimbursable by third parties pursuant to indemnification or reimbursement provisions or similar agreements or insurance;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respect of any Charge that is added back in reliance on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relevant Person in good faith expects to receive reimbursement for such fee, cost, expense or reserve within the next four Fiscal Quarters (it being understood that to the extent any reimbursement amount is not actually received within such four Fiscal Quarter period, such reimbursement amount shall be deducted in calculating Consolidated Adjusted EBITDA for such Fiscal Quarters) and/or (D) Public Company Costs;</w:t>
      </w:r>
    </w:p>
    <w:p>
      <w:pPr>
        <w:spacing w:after="0" w:line="168" w:lineRule="exact"/>
        <w:rPr>
          <w:rFonts w:ascii="Arial" w:cs="Arial" w:eastAsia="Arial" w:hAnsi="Arial"/>
          <w:sz w:val="16"/>
          <w:szCs w:val="16"/>
          <w:color w:val="auto"/>
        </w:rPr>
      </w:pPr>
    </w:p>
    <w:p>
      <w:pPr>
        <w:ind w:left="380" w:firstLine="754"/>
        <w:spacing w:after="0" w:line="275" w:lineRule="auto"/>
        <w:tabs>
          <w:tab w:leader="none" w:pos="14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Charge or deduction that is associated with any Restricted Subsidiary and attributable to any non-controlling interest and/or minority interest of any third party;</w:t>
      </w:r>
    </w:p>
    <w:p>
      <w:pPr>
        <w:spacing w:after="0" w:line="170" w:lineRule="exact"/>
        <w:rPr>
          <w:rFonts w:ascii="Arial" w:cs="Arial" w:eastAsia="Arial" w:hAnsi="Arial"/>
          <w:sz w:val="18"/>
          <w:szCs w:val="18"/>
          <w:color w:val="auto"/>
        </w:rPr>
      </w:pPr>
    </w:p>
    <w:p>
      <w:pPr>
        <w:jc w:val="both"/>
        <w:ind w:left="380" w:firstLine="754"/>
        <w:spacing w:after="0" w:line="268" w:lineRule="auto"/>
        <w:tabs>
          <w:tab w:leader="none" w:pos="14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without duplication of any amount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the amount of (A) any Charge to the extent that a corresponding amount is received in cash by such Person from a Person other than such Person or any Restricted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 a deduction in the applicable future period for any amount so added back to the extent not so reimbursed within the next four Fiscal Quarters) or (ii) without duplication of amounts included in a prior period under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above, to the extent such Charge is covered by insurance proceeds received in cash during such period (it being understood that if the amount received in cash under any such agreement in any period exceeds the amount of Charge paid during such period then such excess amounts received may be carried forward and applied against any Charge in any future period);</w:t>
      </w:r>
    </w:p>
    <w:p>
      <w:pPr>
        <w:spacing w:after="0" w:line="182" w:lineRule="exact"/>
        <w:rPr>
          <w:rFonts w:ascii="Arial" w:cs="Arial" w:eastAsia="Arial" w:hAnsi="Arial"/>
          <w:sz w:val="17"/>
          <w:szCs w:val="17"/>
          <w:color w:val="auto"/>
        </w:rPr>
      </w:pPr>
    </w:p>
    <w:p>
      <w:pPr>
        <w:jc w:val="both"/>
        <w:ind w:left="380" w:firstLine="754"/>
        <w:spacing w:after="0" w:line="295" w:lineRule="auto"/>
        <w:tabs>
          <w:tab w:leader="none" w:pos="1461"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amount of management, monitoring, consulting, transaction and advisory fees and related indemnities and expenses (including reimbursements) pursuant to any sponsor management agreement and payments made to any Investor (and/or its Affiliates or management companies) for any financial advisory, financing, underwriting or placement services or in respect of other investment banking activities and payments to outside directors of the Borrower or a Parent Company actually paid by or on behalf of, or accrued by, such Person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payment is permitted under this Agreement;</w:t>
      </w:r>
    </w:p>
    <w:p>
      <w:pPr>
        <w:spacing w:after="0" w:line="159" w:lineRule="exact"/>
        <w:rPr>
          <w:rFonts w:ascii="Arial" w:cs="Arial" w:eastAsia="Arial" w:hAnsi="Arial"/>
          <w:sz w:val="16"/>
          <w:szCs w:val="16"/>
          <w:color w:val="auto"/>
        </w:rPr>
      </w:pPr>
    </w:p>
    <w:p>
      <w:pPr>
        <w:jc w:val="both"/>
        <w:ind w:left="380" w:firstLine="754"/>
        <w:spacing w:after="0" w:line="255" w:lineRule="auto"/>
        <w:tabs>
          <w:tab w:leader="none" w:pos="18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Charge attributable to the undertaking and/or implementation of new initiatives, business optimization activities, cost savings initiatives, cost rationalization programs, operating expense reductions and/or other synergies and/or similar initiatives and/or programs (including, without limitation, in connection with any integration, restructuring or transition, any reconstruction, decommissioning, recommissioning or reconfiguration of fixed assets for alternative uses, any facility opening and/or pre-opening) including the following: any inventory optimization</w:t>
      </w:r>
    </w:p>
    <w:p>
      <w:pPr>
        <w:spacing w:after="0" w:line="1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72" w:name="page73"/>
    <w:bookmarkEnd w:id="72"/>
    <w:p>
      <w:pPr>
        <w:jc w:val="both"/>
        <w:ind w:left="380"/>
        <w:spacing w:after="0" w:line="269" w:lineRule="auto"/>
        <w:rPr>
          <w:sz w:val="20"/>
          <w:szCs w:val="20"/>
          <w:color w:val="auto"/>
        </w:rPr>
      </w:pPr>
      <w:r>
        <w:rPr>
          <w:rFonts w:ascii="Arial" w:cs="Arial" w:eastAsia="Arial" w:hAnsi="Arial"/>
          <w:sz w:val="17"/>
          <w:szCs w:val="17"/>
          <w:color w:val="auto"/>
        </w:rPr>
        <w:t xml:space="preserve">program and/or any curtailment, any business optimization Charge, any restructuring Charge (including any Charge relating to any Tax restructuring), any Charge relating to the closure or consolidation of any facility (including but not limited to rent termination costs, moving costs and legal costs), any systems implementation Charge, any severance Charge, any Charge relating to entry into a new market, any Charge relating to any strategic initiative, any signing Charge, any retention or completion bonus, any expansion and/or relocation Charge, any Charge associated with any modification to any pension and post-retirement employee benefit plan, any software development Charge, any Charge associated with new systems design, any implementation Charge and/or any project startup Charge, any Charge in connection with new operations, any Charge in connection with unused warehouse space, any Charge relating to a new contract, any consulting Charge and/or any corporate development Charge; </w:t>
      </w:r>
      <w:r>
        <w:rPr>
          <w:rFonts w:ascii="Arial" w:cs="Arial" w:eastAsia="Arial" w:hAnsi="Arial"/>
          <w:sz w:val="17"/>
          <w:szCs w:val="17"/>
          <w:u w:val="single" w:color="auto"/>
          <w:color w:val="auto"/>
        </w:rPr>
        <w:t>plus</w:t>
      </w:r>
    </w:p>
    <w:p>
      <w:pPr>
        <w:spacing w:after="0" w:line="182" w:lineRule="exact"/>
        <w:rPr>
          <w:sz w:val="20"/>
          <w:szCs w:val="20"/>
          <w:color w:val="auto"/>
        </w:rPr>
      </w:pPr>
    </w:p>
    <w:p>
      <w:pPr>
        <w:jc w:val="both"/>
        <w:ind w:left="380" w:firstLine="754"/>
        <w:spacing w:after="0" w:line="262" w:lineRule="auto"/>
        <w:tabs>
          <w:tab w:leader="none" w:pos="1826"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any Charge incurred or accrued in connection with any single or one-time event, including, without limitation, in connection with (A) the IPO and/or any acquisition consummated after the Closing Date and/or (B) the closing, consolidation or reconfiguration of any facility during such period;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360" w:firstLine="745"/>
        <w:spacing w:after="0" w:line="284" w:lineRule="auto"/>
        <w:tabs>
          <w:tab w:leader="none" w:pos="71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to the extent not included in Consolidated Net Income for such period, cash actually received (or any netting arrangement resulting in reduced cash expenditures) during such period so long as the non-cash income or gain was deducted in the calculation of Consolidated Adjusted EBITDA (including any component definition) for such period or any previous period and not added back; </w:t>
      </w:r>
      <w:r>
        <w:rPr>
          <w:rFonts w:ascii="Arial" w:cs="Arial" w:eastAsia="Arial" w:hAnsi="Arial"/>
          <w:sz w:val="17"/>
          <w:szCs w:val="17"/>
          <w:u w:val="single" w:color="auto"/>
          <w:color w:val="auto"/>
        </w:rPr>
        <w:t>plus</w:t>
      </w:r>
    </w:p>
    <w:p>
      <w:pPr>
        <w:spacing w:after="0" w:line="166" w:lineRule="exact"/>
        <w:rPr>
          <w:rFonts w:ascii="Arial" w:cs="Arial" w:eastAsia="Arial" w:hAnsi="Arial"/>
          <w:sz w:val="17"/>
          <w:szCs w:val="17"/>
          <w:color w:val="auto"/>
        </w:rPr>
      </w:pPr>
    </w:p>
    <w:p>
      <w:pPr>
        <w:jc w:val="both"/>
        <w:ind w:left="-360" w:firstLine="745"/>
        <w:spacing w:after="0" w:line="287" w:lineRule="auto"/>
        <w:tabs>
          <w:tab w:leader="none" w:pos="7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full pro forma “run rate” cost savings, operating expense reductions, operational improvements and synergies (net of actual amounts realized) that are reasonably identifiable and factually supportable (in the good faith determination of such Person, as certified by a Responsible Officer of such Person in the Compliance Certificate required by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to be delivered in connection with the financial statements for such period) related to (A) the Transactions, (B) any Investment, Disposition, operating improvement, restructuring, cost savings initiative, any similar initiative (including the renegotiation of contracts and other arrangements) and/or specified transaction consummated prior to the Closing Date and (C) any Investment, Disposition, operating improvement, restructuring, cost savings initiative, any similar initiative (including the renegotiation of contracts and other arrangements) and/or specified transaction consummated after the Closing Date; in each case of (A), (B) and (C), projected by such Person in good faith to result from actions that have been taken or with respect to which substantial steps have been taken or are expected to be taken (in the good faith determination of such Person) within 24 months of the event giving rise thereto (for the avoidance of doubt including in connection with any of the foregoing, or actions taken, prior to the Closing Date); </w:t>
      </w:r>
      <w:r>
        <w:rPr>
          <w:rFonts w:ascii="Arial" w:cs="Arial" w:eastAsia="Arial" w:hAnsi="Arial"/>
          <w:sz w:val="16"/>
          <w:szCs w:val="16"/>
          <w:u w:val="single" w:color="auto"/>
          <w:color w:val="auto"/>
        </w:rPr>
        <w:t>plus</w:t>
      </w:r>
    </w:p>
    <w:p>
      <w:pPr>
        <w:spacing w:after="0" w:line="178" w:lineRule="exact"/>
        <w:rPr>
          <w:rFonts w:ascii="Arial" w:cs="Arial" w:eastAsia="Arial" w:hAnsi="Arial"/>
          <w:sz w:val="16"/>
          <w:szCs w:val="16"/>
          <w:color w:val="auto"/>
        </w:rPr>
      </w:pPr>
    </w:p>
    <w:p>
      <w:pPr>
        <w:jc w:val="both"/>
        <w:ind w:left="-360" w:firstLine="745"/>
        <w:spacing w:after="0" w:line="284" w:lineRule="auto"/>
        <w:tabs>
          <w:tab w:leader="none" w:pos="73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full pro forma “run rate” amount of incremental annual value from (i) increased pricing or volume initiatives and/or (ii) the entry into new agreements with new customers or, if generating incremental contract value, new agreements (or amendments to existing agreements) with existing customers during the such period had such new contracts been effective as of the beginning of such period; </w:t>
      </w:r>
      <w:r>
        <w:rPr>
          <w:rFonts w:ascii="Arial" w:cs="Arial" w:eastAsia="Arial" w:hAnsi="Arial"/>
          <w:sz w:val="17"/>
          <w:szCs w:val="17"/>
          <w:u w:val="single" w:color="auto"/>
          <w:color w:val="auto"/>
        </w:rPr>
        <w:t>plus</w:t>
      </w:r>
    </w:p>
    <w:p>
      <w:pPr>
        <w:spacing w:after="0" w:line="166" w:lineRule="exact"/>
        <w:rPr>
          <w:rFonts w:ascii="Arial" w:cs="Arial" w:eastAsia="Arial" w:hAnsi="Arial"/>
          <w:sz w:val="17"/>
          <w:szCs w:val="17"/>
          <w:color w:val="auto"/>
        </w:rPr>
      </w:pPr>
    </w:p>
    <w:p>
      <w:pPr>
        <w:jc w:val="both"/>
        <w:ind w:left="-360" w:firstLine="745"/>
        <w:spacing w:after="0" w:line="299" w:lineRule="auto"/>
        <w:tabs>
          <w:tab w:leader="none" w:pos="7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any other adjustments, exclusions and add-backs of the nature and type set forth in (i) any lender presentation and/or the Information Memorandum delivered to the Lead Arrangers prior to the Closing Date, (ii) the financial model delivered to the Lead Arrangers prior to the Closing Date and (iii) addbacks and adjustments of the type set forth in any quality of earnings analysis prepared by independent registered public accountants of recognized national standing or any other accounting firm reasonably acceptable to the Administrative Agent and delivered to the Administrative Agent in connection with any Permitted Acquisition, permitted investment or other specified transactions; </w:t>
      </w:r>
      <w:r>
        <w:rPr>
          <w:rFonts w:ascii="Arial" w:cs="Arial" w:eastAsia="Arial" w:hAnsi="Arial"/>
          <w:sz w:val="16"/>
          <w:szCs w:val="16"/>
          <w:u w:val="single" w:color="auto"/>
          <w:color w:val="auto"/>
        </w:rPr>
        <w:t>plus</w:t>
      </w:r>
    </w:p>
    <w:p>
      <w:pPr>
        <w:spacing w:after="0" w:line="157" w:lineRule="exact"/>
        <w:rPr>
          <w:rFonts w:ascii="Arial" w:cs="Arial" w:eastAsia="Arial" w:hAnsi="Arial"/>
          <w:sz w:val="16"/>
          <w:szCs w:val="16"/>
          <w:color w:val="auto"/>
        </w:rPr>
      </w:pPr>
    </w:p>
    <w:p>
      <w:pPr>
        <w:ind w:left="-360" w:firstLine="745"/>
        <w:spacing w:after="0" w:line="275" w:lineRule="auto"/>
        <w:tabs>
          <w:tab w:leader="none" w:pos="7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Securitization Assets and related assets to any Securitization Subsidiary in connection with a Qualified Securitization Financing;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720" w:hanging="335"/>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losses attributable to China operations; </w:t>
      </w:r>
      <w:r>
        <w:rPr>
          <w:rFonts w:ascii="Arial" w:cs="Arial" w:eastAsia="Arial" w:hAnsi="Arial"/>
          <w:sz w:val="18"/>
          <w:szCs w:val="18"/>
          <w:u w:val="single" w:color="auto"/>
          <w:color w:val="auto"/>
        </w:rPr>
        <w:t>plus</w:t>
      </w: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73" w:name="page74"/>
    <w:bookmarkEnd w:id="73"/>
    <w:p>
      <w:pPr>
        <w:jc w:val="both"/>
        <w:ind w:left="760" w:firstLine="745"/>
        <w:spacing w:after="0" w:line="284" w:lineRule="auto"/>
        <w:tabs>
          <w:tab w:leader="none" w:pos="185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amount of any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 </w:t>
      </w:r>
      <w:r>
        <w:rPr>
          <w:rFonts w:ascii="Arial" w:cs="Arial" w:eastAsia="Arial" w:hAnsi="Arial"/>
          <w:sz w:val="17"/>
          <w:szCs w:val="17"/>
          <w:u w:val="single" w:color="auto"/>
          <w:color w:val="auto"/>
        </w:rPr>
        <w:t>minus</w:t>
      </w:r>
    </w:p>
    <w:p>
      <w:pPr>
        <w:spacing w:after="0" w:line="166" w:lineRule="exact"/>
        <w:rPr>
          <w:rFonts w:ascii="Arial" w:cs="Arial" w:eastAsia="Arial" w:hAnsi="Arial"/>
          <w:sz w:val="17"/>
          <w:szCs w:val="17"/>
          <w:color w:val="auto"/>
        </w:rPr>
      </w:pPr>
    </w:p>
    <w:p>
      <w:pPr>
        <w:jc w:val="both"/>
        <w:ind w:left="760" w:firstLine="745"/>
        <w:spacing w:after="0" w:line="219" w:lineRule="exact"/>
        <w:tabs>
          <w:tab w:leader="none" w:pos="18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amount which, in the determination of Consolidated Net Income for such period, has been added for any non</w:t>
      </w:r>
      <w:r>
        <w:rPr>
          <w:rFonts w:ascii="MS PGothic" w:cs="MS PGothic" w:eastAsia="MS PGothic" w:hAnsi="MS PGothic"/>
          <w:sz w:val="18"/>
          <w:szCs w:val="18"/>
          <w:color w:val="auto"/>
        </w:rPr>
        <w:t>‑</w:t>
      </w:r>
      <w:r>
        <w:rPr>
          <w:rFonts w:ascii="Arial" w:cs="Arial" w:eastAsia="Arial" w:hAnsi="Arial"/>
          <w:sz w:val="18"/>
          <w:szCs w:val="18"/>
          <w:color w:val="auto"/>
        </w:rPr>
        <w:t>cash income or non</w:t>
      </w:r>
      <w:r>
        <w:rPr>
          <w:rFonts w:ascii="MS PGothic" w:cs="MS PGothic" w:eastAsia="MS PGothic" w:hAnsi="MS PGothic"/>
          <w:sz w:val="18"/>
          <w:szCs w:val="18"/>
          <w:color w:val="auto"/>
        </w:rPr>
        <w:t>‑</w:t>
      </w:r>
      <w:r>
        <w:rPr>
          <w:rFonts w:ascii="Arial" w:cs="Arial" w:eastAsia="Arial" w:hAnsi="Arial"/>
          <w:sz w:val="18"/>
          <w:szCs w:val="18"/>
          <w:color w:val="auto"/>
        </w:rPr>
        <w:t>cash gain, all as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18"/>
          <w:szCs w:val="18"/>
          <w:u w:val="single" w:color="auto"/>
          <w:color w:val="auto"/>
        </w:rPr>
        <w:t>minus</w:t>
      </w:r>
    </w:p>
    <w:p>
      <w:pPr>
        <w:spacing w:after="0" w:line="202" w:lineRule="exact"/>
        <w:rPr>
          <w:rFonts w:ascii="Arial" w:cs="Arial" w:eastAsia="Arial" w:hAnsi="Arial"/>
          <w:sz w:val="18"/>
          <w:szCs w:val="18"/>
          <w:color w:val="auto"/>
        </w:rPr>
      </w:pPr>
    </w:p>
    <w:p>
      <w:pPr>
        <w:jc w:val="both"/>
        <w:ind w:left="760" w:firstLine="745"/>
        <w:spacing w:after="0" w:line="220" w:lineRule="exact"/>
        <w:tabs>
          <w:tab w:leader="none" w:pos="18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any cash payment made during such period in respect of any noncash accrual, reserve or other non</w:t>
      </w:r>
      <w:r>
        <w:rPr>
          <w:rFonts w:ascii="MS PGothic" w:cs="MS PGothic" w:eastAsia="MS PGothic" w:hAnsi="MS PGothic"/>
          <w:sz w:val="18"/>
          <w:szCs w:val="18"/>
          <w:color w:val="auto"/>
        </w:rPr>
        <w:t>‑</w:t>
      </w:r>
      <w:r>
        <w:rPr>
          <w:rFonts w:ascii="Arial" w:cs="Arial" w:eastAsia="Arial" w:hAnsi="Arial"/>
          <w:sz w:val="18"/>
          <w:szCs w:val="18"/>
          <w:color w:val="auto"/>
        </w:rPr>
        <w:t>cash Charge that is accounted for in a prior period which was added to Consolidated Net Income to determine Consolidated Adjusted EBITDA for such prior period and which does not otherwise reduce Consolidated Net Income for the current period.</w:t>
      </w:r>
    </w:p>
    <w:p>
      <w:pPr>
        <w:spacing w:after="0" w:line="20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Notwithstanding anything to the contrary herein, it is agreed that for the purpose of calculating the Total Leverage Ratio, the First Lien Leverage Ratio, the Secured Leverage Ratio and the Interest Coverage Ratio for any period that includes the Fiscal Quarters ended September 30, 2020, December 31, 2020, March 31, 2021 or June 30, 2021 or the twelve month period ended June 30, 2021, (i) Consolidated Adjusted EBITDA for the Fiscal Quarter ended September 30, 2020 shall be deemed to be $54,905,414.86 (ii) Consolidated Adjusted EBITDA for the Fiscal Quarter ended December 31, 2020 shall be deemed to be $59,474,833.16, (iii) Consolidated Adjusted EBITDA for the Fiscal Quarter ended March 31, 2021 shall be deemed to be $57,087,887.55,</w:t>
      </w:r>
    </w:p>
    <w:p>
      <w:pPr>
        <w:spacing w:after="0" w:line="1" w:lineRule="exact"/>
        <w:rPr>
          <w:sz w:val="20"/>
          <w:szCs w:val="20"/>
          <w:color w:val="auto"/>
        </w:rPr>
      </w:pPr>
    </w:p>
    <w:p>
      <w:pPr>
        <w:jc w:val="both"/>
        <w:ind w:firstLine="7"/>
        <w:spacing w:after="0" w:line="252"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Adjusted EBITDA for the Fiscal Quarter ended June 30, 2021 shall be deemed to be $63,531,864.43 and (v) Consolidated Adjusted EBITDA for the twelve month period ended June 30, 2021 shall be deemed to be $235,000,000, in each case, as may be subject to any adjustment set forth in the definition of “Pro Forma Basis” for any four-quarter period with respect to any acquisitions, dispositions or conversions occurring after the Closing Date.</w:t>
      </w:r>
    </w:p>
    <w:p>
      <w:pPr>
        <w:spacing w:after="0" w:line="19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Debt</w:t>
      </w:r>
      <w:r>
        <w:rPr>
          <w:rFonts w:ascii="Arial" w:cs="Arial" w:eastAsia="Arial" w:hAnsi="Arial"/>
          <w:sz w:val="18"/>
          <w:szCs w:val="18"/>
          <w:color w:val="auto"/>
        </w:rPr>
        <w:t>” means, as to any Person at any date of determination, the aggregate principal amount of Consolidated Total Debt outstanding on such date that is secured by a first priority Lien on the Collateral.</w:t>
      </w:r>
    </w:p>
    <w:p>
      <w:pPr>
        <w:spacing w:after="0" w:line="171" w:lineRule="exact"/>
        <w:rPr>
          <w:sz w:val="20"/>
          <w:szCs w:val="20"/>
          <w:color w:val="auto"/>
        </w:rPr>
      </w:pPr>
    </w:p>
    <w:p>
      <w:pPr>
        <w:jc w:val="both"/>
        <w:ind w:firstLine="749"/>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respect to any Person for any period, the sum of (a) consolidated total interest expense of such Person and its Restricted Subsidiaries for such period, whether paid or accrued and whether or not capitalized, (including, without limitation (and without duplication), amortization of any debt issuance cost and/or original issue discount, any premium paid to obtain payment, financial assurance or similar bonds, any interest capitalized during construction, any non</w:t>
      </w:r>
      <w:r>
        <w:rPr>
          <w:rFonts w:ascii="MS PGothic" w:cs="MS PGothic" w:eastAsia="MS PGothic" w:hAnsi="MS PGothic"/>
          <w:sz w:val="16"/>
          <w:szCs w:val="16"/>
          <w:color w:val="auto"/>
        </w:rPr>
        <w:t>‑</w:t>
      </w:r>
      <w:r>
        <w:rPr>
          <w:rFonts w:ascii="Arial" w:cs="Arial" w:eastAsia="Arial" w:hAnsi="Arial"/>
          <w:sz w:val="16"/>
          <w:szCs w:val="16"/>
          <w:color w:val="auto"/>
        </w:rPr>
        <w:t xml:space="preserve">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and any cost associated with any surety bond in connection with financing activities (whether amortized or immediately expensed))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cash dividend paid or payable in respect of Disqualified Capital Stock during such period other than to such Person or any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w:t>
      </w:r>
    </w:p>
    <w:p>
      <w:pPr>
        <w:spacing w:after="0" w:line="20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in respect of any period and as determined for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on a consolidated basis, an amount equal to the sum of net income, determined in accordance with GAAP, but excluding:</w:t>
      </w:r>
    </w:p>
    <w:p>
      <w:pPr>
        <w:spacing w:after="0" w:line="171" w:lineRule="exact"/>
        <w:rPr>
          <w:sz w:val="20"/>
          <w:szCs w:val="20"/>
          <w:color w:val="auto"/>
        </w:rPr>
      </w:pPr>
    </w:p>
    <w:p>
      <w:pPr>
        <w:jc w:val="both"/>
        <w:ind w:left="760" w:firstLine="745"/>
        <w:spacing w:after="0" w:line="284" w:lineRule="auto"/>
        <w:tabs>
          <w:tab w:leader="none" w:pos="1844"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the income of any person (other than a Restricted Subsidiary of the Subject Person) in which any other Person (other than the Subject Person or any of its Restricted Subsidiaries) has a joint interest, except to the extent of the amount of dividends or distributions or other payments (including any ordinary course dividend, distribution or other payment) paid in cash (or to the extent converted into cash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4" w:name="page75"/>
    <w:bookmarkEnd w:id="74"/>
    <w:p>
      <w:pPr>
        <w:jc w:val="both"/>
        <w:ind w:left="4"/>
        <w:spacing w:after="0" w:line="258" w:lineRule="auto"/>
        <w:rPr>
          <w:sz w:val="20"/>
          <w:szCs w:val="20"/>
          <w:color w:val="auto"/>
        </w:rPr>
      </w:pPr>
      <w:r>
        <w:rPr>
          <w:rFonts w:ascii="Arial" w:cs="Arial" w:eastAsia="Arial" w:hAnsi="Arial"/>
          <w:sz w:val="18"/>
          <w:szCs w:val="18"/>
          <w:color w:val="auto"/>
        </w:rPr>
        <w:t>within 180 days after receipt)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spacing w:after="0" w:line="185" w:lineRule="exact"/>
        <w:rPr>
          <w:sz w:val="20"/>
          <w:szCs w:val="20"/>
          <w:color w:val="auto"/>
        </w:rPr>
      </w:pPr>
    </w:p>
    <w:p>
      <w:pPr>
        <w:ind w:left="4" w:firstLine="745"/>
        <w:spacing w:after="0" w:line="275" w:lineRule="auto"/>
        <w:tabs>
          <w:tab w:leader="none" w:pos="108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gain or Charge attributable to any asset Disposition (including asset retirement costs and including abandonments of assets) or of returned surplus assets, in each case, outside the ordinary course of business,</w:t>
      </w:r>
    </w:p>
    <w:p>
      <w:pPr>
        <w:spacing w:after="0" w:line="170" w:lineRule="exact"/>
        <w:rPr>
          <w:rFonts w:ascii="Arial" w:cs="Arial" w:eastAsia="Arial" w:hAnsi="Arial"/>
          <w:sz w:val="18"/>
          <w:szCs w:val="18"/>
          <w:color w:val="auto"/>
        </w:rPr>
      </w:pPr>
    </w:p>
    <w:p>
      <w:pPr>
        <w:jc w:val="both"/>
        <w:ind w:left="4" w:firstLine="745"/>
        <w:spacing w:after="0" w:line="262" w:lineRule="auto"/>
        <w:tabs>
          <w:tab w:leader="none" w:pos="10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(i) any gain or Charge from (A) any extraordinary item (as determined in good faith by such Person) and/or (B) any nonrecurring, infrequently occurring or unusual item (as determined in good faith by such Person) and/or (ii) any Charge associated with and/or payment of any actual or prospective legal settlement, fine, judgment or order,</w:t>
      </w:r>
    </w:p>
    <w:p>
      <w:pPr>
        <w:spacing w:after="0" w:line="182" w:lineRule="exact"/>
        <w:rPr>
          <w:rFonts w:ascii="Arial" w:cs="Arial" w:eastAsia="Arial" w:hAnsi="Arial"/>
          <w:sz w:val="18"/>
          <w:szCs w:val="18"/>
          <w:color w:val="auto"/>
        </w:rPr>
      </w:pPr>
    </w:p>
    <w:p>
      <w:pPr>
        <w:jc w:val="both"/>
        <w:ind w:left="4" w:firstLine="745"/>
        <w:spacing w:after="0" w:line="289" w:lineRule="auto"/>
        <w:tabs>
          <w:tab w:leader="none" w:pos="1078"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net gain or Charge with respect to (i) any disposed, abandoned, divested and/or discontinued asset, property or operation (other than, at the option of the Borrower, any asset, property or operation pending the disposal, abandonment, divestiture and/or termination thereof),</w:t>
      </w:r>
    </w:p>
    <w:p>
      <w:pPr>
        <w:spacing w:after="0" w:line="1" w:lineRule="exact"/>
        <w:rPr>
          <w:rFonts w:ascii="Arial" w:cs="Arial" w:eastAsia="Arial" w:hAnsi="Arial"/>
          <w:sz w:val="16"/>
          <w:szCs w:val="16"/>
          <w:color w:val="auto"/>
        </w:rPr>
      </w:pPr>
    </w:p>
    <w:p>
      <w:pPr>
        <w:jc w:val="both"/>
        <w:ind w:left="4" w:hanging="4"/>
        <w:spacing w:after="0" w:line="253" w:lineRule="auto"/>
        <w:tabs>
          <w:tab w:leader="none" w:pos="28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disposal, abandonment, divestiture and/or discontinuation of any asset, property or operation (other than, at the option of such Person, relating to assets or properties held for sale or pending the divestiture or termination thereof) and/or (iii) any facility that has been closed during such period,</w:t>
      </w:r>
    </w:p>
    <w:p>
      <w:pPr>
        <w:spacing w:after="0" w:line="190" w:lineRule="exact"/>
        <w:rPr>
          <w:rFonts w:ascii="Arial" w:cs="Arial" w:eastAsia="Arial" w:hAnsi="Arial"/>
          <w:sz w:val="18"/>
          <w:szCs w:val="18"/>
          <w:color w:val="auto"/>
        </w:rPr>
      </w:pPr>
    </w:p>
    <w:p>
      <w:pPr>
        <w:jc w:val="both"/>
        <w:ind w:left="4" w:firstLine="745"/>
        <w:spacing w:after="0" w:line="262" w:lineRule="auto"/>
        <w:tabs>
          <w:tab w:leader="none" w:pos="10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net income or Charge (less all fees and expenses or charges related thereto) or write-off or amortization made of any deferred financing cost and/or premium paid or other Charge, in each case attributable to the early extinguishment of Indebtedness (and the termination of any associated Hedge Agreement),</w:t>
      </w:r>
    </w:p>
    <w:p>
      <w:pPr>
        <w:spacing w:after="0" w:line="182" w:lineRule="exact"/>
        <w:rPr>
          <w:rFonts w:ascii="Arial" w:cs="Arial" w:eastAsia="Arial" w:hAnsi="Arial"/>
          <w:sz w:val="18"/>
          <w:szCs w:val="18"/>
          <w:color w:val="auto"/>
        </w:rPr>
      </w:pPr>
    </w:p>
    <w:p>
      <w:pPr>
        <w:jc w:val="both"/>
        <w:ind w:left="4" w:firstLine="745"/>
        <w:spacing w:after="0" w:line="288" w:lineRule="auto"/>
        <w:tabs>
          <w:tab w:leader="none" w:pos="1099" w:val="left"/>
        </w:tabs>
        <w:numPr>
          <w:ilvl w:val="1"/>
          <w:numId w:val="62"/>
        </w:numPr>
        <w:rPr>
          <w:rFonts w:ascii="Arial" w:cs="Arial" w:eastAsia="Arial" w:hAnsi="Arial"/>
          <w:sz w:val="16"/>
          <w:szCs w:val="16"/>
          <w:color w:val="auto"/>
        </w:rPr>
      </w:pPr>
      <w:r>
        <w:rPr>
          <w:rFonts w:ascii="Arial" w:cs="Arial" w:eastAsia="Arial" w:hAnsi="Arial"/>
          <w:sz w:val="16"/>
          <w:szCs w:val="16"/>
          <w:color w:val="auto"/>
        </w:rPr>
        <w:t>(i) any Charge incurred as a result of, in connection with or pursuant to any management equity plan, profits interest or stock option plan or any other management or employee benefit plan or agreement, any pension plan (including any post-employment benefic scheme which has been agreed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of Holdings (or any other Parent Company), the Borrower and/or any Restricted Subsidiary, in each case under this subclause (ii), to the extent that any cash Charge is funded with net cash proceeds contributed to relevant Person as a capital contribution or as a result of the sale or issuance of Qualified Capital Stock (other than any amount included in the calculation of the Available Amount pursuant to clause (a)(iii) of the definition thereof),</w:t>
      </w:r>
    </w:p>
    <w:p>
      <w:pPr>
        <w:spacing w:after="0" w:line="168" w:lineRule="exact"/>
        <w:rPr>
          <w:rFonts w:ascii="Arial" w:cs="Arial" w:eastAsia="Arial" w:hAnsi="Arial"/>
          <w:sz w:val="16"/>
          <w:szCs w:val="16"/>
          <w:color w:val="auto"/>
        </w:rPr>
      </w:pPr>
    </w:p>
    <w:p>
      <w:pPr>
        <w:jc w:val="both"/>
        <w:ind w:left="4" w:firstLine="745"/>
        <w:spacing w:after="0" w:line="255" w:lineRule="auto"/>
        <w:tabs>
          <w:tab w:leader="none" w:pos="10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that is required to be established, adjusted or incurred, as applicable, as a result of such acquisition in accordance with GAAP or (iii) as a result of any change in, or the adoption or modification of, accounting principles and/or policies in accordance with GAAP,</w:t>
      </w:r>
    </w:p>
    <w:p>
      <w:pPr>
        <w:spacing w:after="0" w:line="190" w:lineRule="exact"/>
        <w:rPr>
          <w:rFonts w:ascii="Arial" w:cs="Arial" w:eastAsia="Arial" w:hAnsi="Arial"/>
          <w:sz w:val="18"/>
          <w:szCs w:val="18"/>
          <w:color w:val="auto"/>
        </w:rPr>
      </w:pPr>
    </w:p>
    <w:p>
      <w:pPr>
        <w:jc w:val="both"/>
        <w:ind w:left="4" w:firstLine="745"/>
        <w:spacing w:after="0" w:line="269" w:lineRule="auto"/>
        <w:tabs>
          <w:tab w:leader="none" w:pos="1097" w:val="left"/>
        </w:tabs>
        <w:numPr>
          <w:ilvl w:val="1"/>
          <w:numId w:val="62"/>
        </w:numPr>
        <w:rPr>
          <w:rFonts w:ascii="Arial" w:cs="Arial" w:eastAsia="Arial" w:hAnsi="Arial"/>
          <w:sz w:val="17"/>
          <w:szCs w:val="17"/>
          <w:color w:val="auto"/>
        </w:rPr>
      </w:pPr>
      <w:r>
        <w:rPr>
          <w:rFonts w:ascii="Arial" w:cs="Arial" w:eastAsia="Arial" w:hAnsi="Arial"/>
          <w:sz w:val="17"/>
          <w:szCs w:val="17"/>
          <w:color w:val="auto"/>
        </w:rPr>
        <w:t>(A) the effects of adjustments (including the effects of such adjustments pushed down to the relevant Person and its Restricted Subsidiaries) in such Person’s consolidated financial statements in component amounts required or permitted by GAAP (including, without limitation, in the inventory, property and equipment, leases, rights fee arrangements, software, goodwill, intangible asset, in-process research and development, deferred revenue, advanced billing and debt line items thereof), resulting from the application of purchase accounting in relation to the Transactions or any consummated acquisition or recapitalization accounting or the amortization or write-off of any amounts thereof, net of Taxes, and (B) the cumulative effect of changes in, or the adoption or modification of, accounting principles or policies made in such period in accordance with GAAP which affect Consolidated Net Income (except that, if the Borrower determines in good faith that the cumulative effects thereof are not material to the interests of the Lenders, the effects of</w:t>
      </w:r>
    </w:p>
    <w:p>
      <w:pPr>
        <w:spacing w:after="0" w:line="182"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75" w:name="page76"/>
    <w:bookmarkEnd w:id="75"/>
    <w:p>
      <w:pPr>
        <w:ind w:left="760"/>
        <w:spacing w:after="0" w:line="275" w:lineRule="auto"/>
        <w:rPr>
          <w:sz w:val="20"/>
          <w:szCs w:val="20"/>
          <w:color w:val="auto"/>
        </w:rPr>
      </w:pPr>
      <w:r>
        <w:rPr>
          <w:rFonts w:ascii="Arial" w:cs="Arial" w:eastAsia="Arial" w:hAnsi="Arial"/>
          <w:sz w:val="18"/>
          <w:szCs w:val="18"/>
          <w:color w:val="auto"/>
        </w:rPr>
        <w:t>any change, adoption or modification of any such principles or policies may be included in any subsequent period after the Fiscal Quarter in which such change, adoption or modification was made),</w:t>
      </w:r>
    </w:p>
    <w:p>
      <w:pPr>
        <w:spacing w:after="0" w:line="171" w:lineRule="exact"/>
        <w:rPr>
          <w:sz w:val="20"/>
          <w:szCs w:val="20"/>
          <w:color w:val="auto"/>
        </w:rPr>
      </w:pPr>
    </w:p>
    <w:p>
      <w:pPr>
        <w:ind w:left="1840" w:hanging="335"/>
        <w:spacing w:after="0"/>
        <w:tabs>
          <w:tab w:leader="none" w:pos="1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jc w:val="both"/>
        <w:ind w:left="760" w:firstLine="745"/>
        <w:spacing w:after="0" w:line="310" w:lineRule="auto"/>
        <w:tabs>
          <w:tab w:leader="none" w:pos="1842"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solely for the purpose of calculating Excess Cash Flow, the income or loss of any Person accrued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w:t>
      </w:r>
    </w:p>
    <w:p>
      <w:pPr>
        <w:spacing w:after="0" w:line="146" w:lineRule="exact"/>
        <w:rPr>
          <w:rFonts w:ascii="Arial" w:cs="Arial" w:eastAsia="Arial" w:hAnsi="Arial"/>
          <w:sz w:val="16"/>
          <w:szCs w:val="16"/>
          <w:color w:val="auto"/>
        </w:rPr>
      </w:pPr>
    </w:p>
    <w:p>
      <w:pPr>
        <w:jc w:val="both"/>
        <w:ind w:left="760" w:firstLine="745"/>
        <w:spacing w:after="0" w:line="270" w:lineRule="auto"/>
        <w:tabs>
          <w:tab w:leader="none" w:pos="1866"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 any realized or unrealized gain or loss in respect of (x) any obligation under any Hedge Agreement not entered into for speculative purposes as determined in accordance with GAAP and/or (y) any other derivative instrument pursuant to, in the case of this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Financial Accounting Standards Board’s Accounting Standards Codification No. 815-Derivatives and Hedging, (ii) any realized or unrealized foreign currency exchange gain or loss (including any currency re-measurement of Indebtedness, any net gain or loss resulting from Hedge Agreements for currency exchange risk resulting from any intercompany Indebtedness, any foreign currency translation or transaction or any other currency-related risk);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to the contrary herein, realized gains and losses in respect of any Designated Operational FX Hedge shall be included in the calculation of Consolidated Net Income, and</w:t>
      </w:r>
    </w:p>
    <w:p>
      <w:pPr>
        <w:spacing w:after="0" w:line="180" w:lineRule="exact"/>
        <w:rPr>
          <w:rFonts w:ascii="Arial" w:cs="Arial" w:eastAsia="Arial" w:hAnsi="Arial"/>
          <w:sz w:val="17"/>
          <w:szCs w:val="17"/>
          <w:color w:val="auto"/>
        </w:rPr>
      </w:pPr>
    </w:p>
    <w:p>
      <w:pPr>
        <w:ind w:left="760" w:firstLine="745"/>
        <w:spacing w:after="0" w:line="275" w:lineRule="auto"/>
        <w:tabs>
          <w:tab w:leader="none" w:pos="18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deferred Tax expense associated with any tax deduction or net operating loss arising as a result of the Transactions, or the release of any valuation allowance related to any such item.</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Debt</w:t>
      </w:r>
      <w:r>
        <w:rPr>
          <w:rFonts w:ascii="Arial" w:cs="Arial" w:eastAsia="Arial" w:hAnsi="Arial"/>
          <w:sz w:val="18"/>
          <w:szCs w:val="18"/>
          <w:color w:val="auto"/>
        </w:rPr>
        <w:t>” means, as to any Person at any date of determination, the aggregate principal amount of Consolidated Total Debt outstanding on such date that is secured by a Lien on the Collateral.</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all amounts that would, in conformity with GAAP, be set forth opposite the caption “total assets” (or any like caption) on a consolidated balance sheet of the applicable Person at such date.</w:t>
      </w:r>
    </w:p>
    <w:p>
      <w:pPr>
        <w:spacing w:after="0" w:line="17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Indebtedness of such Person represented by notes, bonds and similar instruments and excluding, for the avoidance of doubt, undrawn letters of credit) and Capital Leases and purchase money Indebtedness, as such amount may be adjusted to reflect the net effect (as determined by the Borrower in good faith) of any Hedge Agreement entered into in respect of the currency exchange risk relating to such third party debt for borrowed money (including all obligations owing under such Hedge Agreement or other derivative instrument), calculated on a mark-to-market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Total Debt” shall be calculated (i) net of the Unrestricted Cash Amount and (ii) excluding (x) any Qualified Securitization Financing and (y)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an Unrestricted Cash Amount.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means, as at any date of determination, the excess of Current Assets over Current Liabilities.</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Indebtedness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6.01(r)</w:t>
      </w:r>
      <w:r>
        <w:rPr>
          <w:rFonts w:ascii="Arial" w:cs="Arial" w:eastAsia="Arial" w:hAnsi="Arial"/>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6" w:name="page77"/>
    <w:bookmarkEnd w:id="76"/>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spacing w:after="0" w:line="19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xml:space="preserve">” means each of (i) the making of a Revolving Loan or Swingline Loan (other than any Revolving Loan resulting from the application of </w:t>
      </w:r>
      <w:r>
        <w:rPr>
          <w:rFonts w:ascii="Arial" w:cs="Arial" w:eastAsia="Arial" w:hAnsi="Arial"/>
          <w:sz w:val="18"/>
          <w:szCs w:val="18"/>
          <w:u w:val="single" w:color="auto"/>
          <w:color w:val="auto"/>
        </w:rPr>
        <w:t>Section 2.04(b)</w:t>
      </w:r>
      <w:r>
        <w:rPr>
          <w:rFonts w:ascii="Arial" w:cs="Arial" w:eastAsia="Arial" w:hAnsi="Arial"/>
          <w:sz w:val="18"/>
          <w:szCs w:val="18"/>
          <w:color w:val="auto"/>
        </w:rPr>
        <w:t>) or (ii) the issuance, amendment, modification, renewal or extension of any Letter of Credit (other than any such amendment, modification, renewal or extension that does not increase the Stated Amount of the relevant Letter of Credit).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Facility and the Term Facility.</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at any date,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management fees receivables).</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Liabilities</w:t>
      </w:r>
      <w:r>
        <w:rPr>
          <w:rFonts w:ascii="Arial" w:cs="Arial" w:eastAsia="Arial" w:hAnsi="Arial"/>
          <w:sz w:val="17"/>
          <w:szCs w:val="17"/>
          <w:color w:val="auto"/>
        </w:rPr>
        <w:t>” means, at any date, all liabilities of the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or unpaid acquisition, disposition or refinancing related expenses and deferred purchase price holdbacks, (vii) accruals relating to restructuring reserves, (viii) liabilities in respect of funds of third parties on deposit with the Borrower and/or any Restricted Subsidiary, (ix) management fees payables, (x) the current portion of any Capital Lease obligation, (xi) the current portion of any other long term liability for Indebtedness, (xii) accrued settlement costs, (xiii) non-cash compensation costs and expenses and (xiv) any other liabilities that are not Indebtedness and will not be settled in Cash or Cash Equivalents during the next succeeding twelve month period after such date.</w:t>
      </w:r>
    </w:p>
    <w:p>
      <w:pPr>
        <w:spacing w:after="0" w:line="178"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xml:space="preserve">”), an interest rate per annum equal to the greater of (a) (x) SONIA for the day that is 5 Business Days (or such other period as determined by the Borrower and the Administrative </w:t>
      </w:r>
      <w:r>
        <w:rPr>
          <w:rFonts w:ascii="Arial" w:cs="Arial" w:eastAsia="Arial" w:hAnsi="Arial"/>
          <w:sz w:val="16"/>
          <w:szCs w:val="16"/>
          <w:u w:val="single" w:color="auto"/>
          <w:color w:val="0000FF"/>
        </w:rPr>
        <w:t>Agent</w:t>
      </w:r>
      <w:r>
        <w:rPr>
          <w:rFonts w:ascii="Arial" w:cs="Arial" w:eastAsia="Arial" w:hAnsi="Arial"/>
          <w:sz w:val="16"/>
          <w:szCs w:val="16"/>
          <w:color w:val="auto"/>
        </w:rPr>
        <w:t xml:space="preserve"> based on then prevailing market conventions) prior to</w:t>
      </w:r>
    </w:p>
    <w:p>
      <w:pPr>
        <w:spacing w:after="0" w:line="1" w:lineRule="exact"/>
        <w:rPr>
          <w:sz w:val="20"/>
          <w:szCs w:val="20"/>
          <w:color w:val="auto"/>
        </w:rPr>
      </w:pPr>
    </w:p>
    <w:p>
      <w:pPr>
        <w:jc w:val="both"/>
        <w:ind w:firstLine="7"/>
        <w:spacing w:after="0" w:line="287" w:lineRule="auto"/>
        <w:tabs>
          <w:tab w:leader="none" w:pos="216"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such RFR Interest Day is a Business Day, such RFR Interest Day or (ii) if such RFR Interest Day is not a Business Day, the Business Day immediately preceding such RFR Interest Day (such Business Day determined pursuant to each of subclauses (i) and (ii), the “</w:t>
      </w:r>
      <w:r>
        <w:rPr>
          <w:rFonts w:ascii="Arial" w:cs="Arial" w:eastAsia="Arial" w:hAnsi="Arial"/>
          <w:sz w:val="16"/>
          <w:szCs w:val="16"/>
          <w:u w:val="single" w:color="auto"/>
          <w:color w:val="auto"/>
        </w:rPr>
        <w:t>RFR Lookback Day</w:t>
      </w:r>
      <w:r>
        <w:rPr>
          <w:rFonts w:ascii="Arial" w:cs="Arial" w:eastAsia="Arial" w:hAnsi="Arial"/>
          <w:sz w:val="16"/>
          <w:szCs w:val="16"/>
          <w:color w:val="auto"/>
        </w:rPr>
        <w:t xml:space="preserve">”), (y) if SONIA is not available for the RFR Lookback Day determined pursuant to clause (x) above, the Daily Simple RFR for such RFR Lookback Day shall be the percentage rate per annum which is the aggregate of (I) the Central Bank Rate for such RFR Lookback Day and (II) the applicable Central Bank Rate Adjustment or (z) if clause (y) applies but the Central Bank Rate for the applicable RFR Lookback Day is not available, the Daily Simple RFR for such RFR Lookback Day shall be the percentage rate per annum which is the aggregate of (I) the most recent Central Bank Rate for a Business Day which is no more than five Business Days before that RFR Lookback Day and (II) the applicable Central Bank </w:t>
      </w:r>
      <w:r>
        <w:rPr>
          <w:rFonts w:ascii="Arial" w:cs="Arial" w:eastAsia="Arial" w:hAnsi="Arial"/>
          <w:sz w:val="16"/>
          <w:szCs w:val="16"/>
          <w:u w:val="single" w:color="auto"/>
          <w:color w:val="0000FF"/>
        </w:rPr>
        <w:t>Rate</w:t>
      </w:r>
      <w:r>
        <w:rPr>
          <w:rFonts w:ascii="Arial" w:cs="Arial" w:eastAsia="Arial" w:hAnsi="Arial"/>
          <w:sz w:val="16"/>
          <w:szCs w:val="16"/>
          <w:color w:val="auto"/>
        </w:rPr>
        <w:t xml:space="preserve"> Adjustment and (b) 0%.</w:t>
      </w:r>
    </w:p>
    <w:p>
      <w:pPr>
        <w:spacing w:after="0" w:line="165"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Fund Affiliate</w:t>
      </w:r>
      <w:r>
        <w:rPr>
          <w:rFonts w:ascii="Arial" w:cs="Arial" w:eastAsia="Arial" w:hAnsi="Arial"/>
          <w:sz w:val="18"/>
          <w:szCs w:val="18"/>
          <w:color w:val="auto"/>
        </w:rPr>
        <w:t>” means any Affiliate of Advent (other than a natural Person) that is a bona fide debt fund or investment vehicle that is primarily engaged in, or advises funds or other investment vehicles that are engaged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7" w:name="page78"/>
    <w:bookmarkEnd w:id="77"/>
    <w:p>
      <w:pPr>
        <w:jc w:val="both"/>
        <w:spacing w:after="0" w:line="262" w:lineRule="auto"/>
        <w:rPr>
          <w:sz w:val="20"/>
          <w:szCs w:val="20"/>
          <w:color w:val="auto"/>
        </w:rPr>
      </w:pPr>
      <w:r>
        <w:rPr>
          <w:rFonts w:ascii="Arial" w:cs="Arial" w:eastAsia="Arial" w:hAnsi="Arial"/>
          <w:sz w:val="18"/>
          <w:szCs w:val="18"/>
          <w:color w:val="auto"/>
        </w:rPr>
        <w:t>in, making, purchasing, holding or otherwise investing in commercial loans, bonds and similar extensions of credit in the ordinary course, in each case with respect to which the Persons making investment decisions for such applicable Affiliate are not primarily engaged in the making, acquiring or holding of equity investments in Holdings or any of its Subsidiaries.</w:t>
      </w:r>
    </w:p>
    <w:p>
      <w:pPr>
        <w:spacing w:after="0" w:line="18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2.11(b)(v)</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upon notice, lapse of time or both would become an Event of Default.</w:t>
      </w:r>
    </w:p>
    <w:p>
      <w:pPr>
        <w:spacing w:after="0" w:line="22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that has (a) defaulted in its obligations under this Agreement, including without limitation, (i) to make a Loan within two Business Days of the date required to be made by it hereunder or (ii) to fund its participation in a Letter of Credit or Swingline Loan required to be funded by it hereunder within two Business Days of the date such obligation arose or such Loan, Letter of Credit or Swingline Loan was required to be made or funded, unless, in the case of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notified the Administrative Agent, any Issuing Bank or the Swingline Lender or the Borrower in writing that it does not intend to satisfy any such obligation or has made a public statement to the effect that it does not intend to comply with its funding obligations under this Agreement or under agreements in which it commits to extend credit generally (unless such writing indicates that such position is based on such Lender’s good faith determination that a condition precedent (specifically identified and including the particular default, if any) to funding a Loan cannot be satisfied), (c) failed, within two Business Days after the request of the Administrative Agent or the Borrower, to confirm in writing that it will comply with the terms of this Agreement relating to its obligations to fund prospective Loans and participations in then outstanding Letters of Credit or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 become the subject of</w:t>
      </w:r>
    </w:p>
    <w:p>
      <w:pPr>
        <w:spacing w:after="0" w:line="9" w:lineRule="exact"/>
        <w:rPr>
          <w:sz w:val="20"/>
          <w:szCs w:val="20"/>
          <w:color w:val="auto"/>
        </w:rPr>
      </w:pPr>
    </w:p>
    <w:p>
      <w:pPr>
        <w:jc w:val="both"/>
        <w:ind w:firstLine="7"/>
        <w:spacing w:after="0" w:line="266" w:lineRule="auto"/>
        <w:tabs>
          <w:tab w:leader="none" w:pos="23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 bankruptcy or insolvency proceeding or (ii) a Bail-In Action,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the Borrower and the Administrative Agent have each determined that such Lender intends, and has all approvals required to enable it (in form and substance satisfactory to the Borrower and the Administrative Agent), to continue to perform its obligations as a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deemed to be a Defaulting Lender solely by virtue of the ownership or acquisition of any Capital Stock in such Lender or its parent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Transaction</w:t>
      </w:r>
      <w:r>
        <w:rPr>
          <w:rFonts w:ascii="Arial" w:cs="Arial" w:eastAsia="Arial" w:hAnsi="Arial"/>
          <w:sz w:val="18"/>
          <w:szCs w:val="18"/>
          <w:color w:val="auto"/>
        </w:rPr>
        <w:t>”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8" w:name="page79"/>
    <w:bookmarkEnd w:id="78"/>
    <w:p>
      <w:pPr>
        <w:jc w:val="both"/>
        <w:spacing w:after="0" w:line="258" w:lineRule="auto"/>
        <w:rPr>
          <w:sz w:val="20"/>
          <w:szCs w:val="20"/>
          <w:color w:val="auto"/>
        </w:rPr>
      </w:pPr>
      <w:r>
        <w:rPr>
          <w:rFonts w:ascii="Arial" w:cs="Arial" w:eastAsia="Arial" w:hAnsi="Arial"/>
          <w:sz w:val="18"/>
          <w:szCs w:val="18"/>
          <w:color w:val="auto"/>
        </w:rPr>
        <w:t xml:space="preserve">(including precious metal)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18"/>
          <w:szCs w:val="18"/>
          <w:u w:val="single" w:color="auto"/>
          <w:color w:val="auto"/>
        </w:rPr>
        <w:t>provided</w:t>
      </w:r>
      <w:r>
        <w:rPr>
          <w:rFonts w:ascii="Arial" w:cs="Arial" w:eastAsia="Arial" w:hAnsi="Arial"/>
          <w:sz w:val="18"/>
          <w:szCs w:val="18"/>
          <w:color w:val="auto"/>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xml:space="preserve">” means the fair market value (as determined by the Borrower in good faith) of non-Cash consideration received by the Borrower or any Restricted Subsidiary in connection with any Disposition pursuant to </w:t>
      </w:r>
      <w:r>
        <w:rPr>
          <w:rFonts w:ascii="Arial" w:cs="Arial" w:eastAsia="Arial" w:hAnsi="Arial"/>
          <w:sz w:val="18"/>
          <w:szCs w:val="18"/>
          <w:u w:val="single" w:color="auto"/>
          <w:color w:val="auto"/>
        </w:rPr>
        <w:t>Section 6.07(h)</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9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Operational FX Hedge</w:t>
      </w:r>
      <w:r>
        <w:rPr>
          <w:rFonts w:ascii="Arial" w:cs="Arial" w:eastAsia="Arial" w:hAnsi="Arial"/>
          <w:sz w:val="18"/>
          <w:szCs w:val="18"/>
          <w:color w:val="auto"/>
        </w:rPr>
        <w:t>” means any Hedge Agreement entered into for the purpose of hedging currency-related risks in respect of the revenues, cash flows or other balance sheet items of Holdings and/or any of its Subsidiaries and designated at the time entered into (or on or prior to the Closing Date, with respect to any Hedge Agreement entered into on or prior to the Closing Date) as a Designated Operational FX Hedge by the Borrower in a writing delivered to the Administrative Agent.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lease, sublease, or other disposition of any property of any Person.</w:t>
      </w:r>
    </w:p>
    <w:p>
      <w:pPr>
        <w:spacing w:after="0" w:line="22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91 days following the Latest Maturity Date at the time such Capital Stock is issued (it being understood that if any such redemption is in part, only such part coming into effect prior to 91 days following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91 days following the Latest Maturity Date at the time such Capital Stock is issued,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the Latest Maturity Date shall constitute Disqualified Capital Stock) or (d) provides for the scheduled payments of dividends in Cash on or prior to 91 days following the Latest Maturity Date at the time such Capital Stock is issued;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w:t>
      </w:r>
    </w:p>
    <w:p>
      <w:pPr>
        <w:spacing w:after="0" w:line="18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8"/>
          <w:szCs w:val="18"/>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Holdings, the Borrower or any Restricted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9" w:name="page80"/>
    <w:bookmarkEnd w:id="79"/>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means:</w:t>
      </w:r>
    </w:p>
    <w:p>
      <w:pPr>
        <w:spacing w:after="0" w:line="223" w:lineRule="exact"/>
        <w:rPr>
          <w:sz w:val="20"/>
          <w:szCs w:val="20"/>
          <w:color w:val="auto"/>
        </w:rPr>
      </w:pPr>
    </w:p>
    <w:p>
      <w:pPr>
        <w:jc w:val="both"/>
        <w:ind w:left="760" w:firstLine="745"/>
        <w:spacing w:after="0" w:line="254" w:lineRule="auto"/>
        <w:tabs>
          <w:tab w:leader="none" w:pos="18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 any Person identified in writing to the Arrangers on or prior to September 9, 2021, (ii) any person that is identified in writing to the Agent after the Closing Date (provided, that any person so identified after the Closing Date must be reasonably acceptable to the Administrative Agent), (iii) any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that is reasonably identifiable as an Affiliate of such Person on the basis of such Affiliate’s name and (iv) any other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(iii) above that is identified in a written notice to BofA (if prior to the Closing Date) or the Administrative Agent (if after the Closing Date) (each such person, a “</w:t>
      </w:r>
      <w:r>
        <w:rPr>
          <w:rFonts w:ascii="Arial" w:cs="Arial" w:eastAsia="Arial" w:hAnsi="Arial"/>
          <w:sz w:val="18"/>
          <w:szCs w:val="18"/>
          <w:u w:val="single" w:color="auto"/>
          <w:color w:val="auto"/>
        </w:rPr>
        <w:t>Disqualified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Lending Institution</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760" w:firstLine="745"/>
        <w:spacing w:after="0" w:line="253" w:lineRule="auto"/>
        <w:tabs>
          <w:tab w:leader="none" w:pos="18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 any Person that is or becomes a Company Competitor or any Affiliate of a Company Competitor (other than any Affiliate that is a Bona Fide Debt Fund) and is identified as such in writing to the Arrangers (if prior to the Closing Date) or the Administrative Agent (if after the Closing Date, in writing), (ii) any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(other than any Affiliate that is a Bona Fide Debt Fund) that is reasonably identifiable as an Affiliate of such Person on the basis of such Affiliate’s name and (iii) any other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that is identified in a written notice to BofA (if prior to the Closing Date) or to the Administrative Agent (if after the Closing Date) (it being understood and agreed that no Bona Fide Debt Fund may be designated as Disqualified Institution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 and/or</w:t>
      </w:r>
    </w:p>
    <w:p>
      <w:pPr>
        <w:spacing w:after="0" w:line="192" w:lineRule="exact"/>
        <w:rPr>
          <w:rFonts w:ascii="Arial" w:cs="Arial" w:eastAsia="Arial" w:hAnsi="Arial"/>
          <w:sz w:val="18"/>
          <w:szCs w:val="18"/>
          <w:color w:val="auto"/>
        </w:rPr>
      </w:pPr>
    </w:p>
    <w:p>
      <w:pPr>
        <w:ind w:left="760" w:firstLine="745"/>
        <w:spacing w:after="0" w:line="275" w:lineRule="auto"/>
        <w:tabs>
          <w:tab w:leader="none" w:pos="18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Affiliate of any Arranger (or any director (or equivalent manager), officer or employee of any Arranger or any Affiliate thereof) that is engaged as a principal primarily in private equity, mezzanine financing or venture capital.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it being understood and agreed that no written notice delivered pursuant to </w:t>
      </w:r>
      <w:r>
        <w:rPr>
          <w:rFonts w:ascii="Arial" w:cs="Arial" w:eastAsia="Arial" w:hAnsi="Arial"/>
          <w:sz w:val="18"/>
          <w:szCs w:val="18"/>
          <w:u w:val="single" w:color="auto"/>
          <w:color w:val="auto"/>
        </w:rPr>
        <w:t>clauses (a)(ii)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(b)(i)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(b)(iii)</w:t>
      </w:r>
      <w:r>
        <w:rPr>
          <w:rFonts w:ascii="Arial" w:cs="Arial" w:eastAsia="Arial" w:hAnsi="Arial"/>
          <w:sz w:val="18"/>
          <w:szCs w:val="18"/>
          <w:color w:val="auto"/>
        </w:rPr>
        <w:t xml:space="preserve"> above shall apply retroactively to disqualify any Person that has previously acquired an assignment or participation interest in any Loans.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Lending Institution</w:t>
      </w:r>
      <w:r>
        <w:rPr>
          <w:rFonts w:ascii="Arial" w:cs="Arial" w:eastAsia="Arial" w:hAnsi="Arial"/>
          <w:sz w:val="18"/>
          <w:szCs w:val="18"/>
          <w:color w:val="auto"/>
        </w:rPr>
        <w:t>” has the meaning assigned to such term in the definition of “Disqualified Institution.”</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9.05(f)(ii)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xml:space="preserve">” means, on any date of determination, (a) with respect to any amount denominated in Dollars, such amount, and (b) with respect to any amount in any Revolving Alternative Currency or any other currency, the equivalent in Dollars of such amount, determined by the Administrative Agent or the Issuing Bank, as applicable, pursuant to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using the Exchange Rate with respect to such currency at the time in effect under the provisions of such Section.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U.S.</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Restricted Subsidiary incorporated or organized under the laws of the U.S., any state thereof or the District of Columbia.</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Auction</w:t>
      </w:r>
      <w:r>
        <w:rPr>
          <w:rFonts w:ascii="Arial" w:cs="Arial" w:eastAsia="Arial" w:hAnsi="Arial"/>
          <w:sz w:val="18"/>
          <w:szCs w:val="18"/>
          <w:color w:val="auto"/>
        </w:rPr>
        <w:t xml:space="preserve">” has the meaning assigned to such term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hereto.</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0" w:name="page81"/>
    <w:bookmarkEnd w:id="80"/>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to any Indebtedness, the effective yield applicable thereto calculated by the Administrative Agent in consultation with the Borrower in a manner consistent with generally accepted financial practices, taking into account (a) interest rate margins, (b) interest rate floors (subject to the proviso set forth below), (c) any amendment to the relevant interest rate margins and interest rate floors effective subsequent to the Closing Date but prior to the applicable date of determination and (d) original issue discount and upfront or similar fees on customary terms paid by the Borrower (with upfront fees and original issue discount being equated to interest rate margins based on an assumed four-year average life to maturity or lesser remaining average life to maturity), but excluding (i) any prepayment premiums, arrangement, commitment, structuring, underwriting, ticking, unused line fees and/or amendment fees (regardless of whether any such fees are paid to or shared in whole or in part with any lender) and (ii) any other fee that is not paid by the Borrower generally to all relevant lenders ratably;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to the extent that </w:t>
      </w:r>
      <w:r>
        <w:rPr>
          <w:rFonts w:ascii="Arial" w:cs="Arial" w:eastAsia="Arial" w:hAnsi="Arial"/>
          <w:sz w:val="16"/>
          <w:szCs w:val="16"/>
          <w:color w:val="FF0000"/>
          <w:strike w:val="1"/>
        </w:rPr>
        <w:t>the Published LIBO Rate (with an Interest Period of three</w:t>
      </w:r>
      <w:r>
        <w:rPr>
          <w:rFonts w:ascii="Arial" w:cs="Arial" w:eastAsia="Arial" w:hAnsi="Arial"/>
          <w:sz w:val="16"/>
          <w:szCs w:val="16"/>
          <w:color w:val="auto"/>
        </w:rPr>
        <w:t xml:space="preserve"> </w:t>
      </w:r>
      <w:r>
        <w:rPr>
          <w:rFonts w:ascii="Arial" w:cs="Arial" w:eastAsia="Arial" w:hAnsi="Arial"/>
          <w:sz w:val="16"/>
          <w:szCs w:val="16"/>
          <w:color w:val="FF0000"/>
          <w:strike w:val="1"/>
        </w:rPr>
        <w:t>months)</w:t>
      </w:r>
      <w:r>
        <w:rPr>
          <w:rFonts w:ascii="Arial" w:cs="Arial" w:eastAsia="Arial" w:hAnsi="Arial"/>
          <w:sz w:val="16"/>
          <w:szCs w:val="16"/>
          <w:u w:val="single" w:color="auto"/>
          <w:color w:val="0000FF"/>
        </w:rPr>
        <w:t>Term SOFR</w:t>
      </w:r>
      <w:r>
        <w:rPr>
          <w:rFonts w:ascii="Arial" w:cs="Arial" w:eastAsia="Arial" w:hAnsi="Arial"/>
          <w:sz w:val="16"/>
          <w:szCs w:val="16"/>
          <w:color w:val="FF0000"/>
        </w:rPr>
        <w:t xml:space="preserve"> </w:t>
      </w:r>
      <w:r>
        <w:rPr>
          <w:rFonts w:ascii="Arial" w:cs="Arial" w:eastAsia="Arial" w:hAnsi="Arial"/>
          <w:sz w:val="16"/>
          <w:szCs w:val="16"/>
          <w:color w:val="000000"/>
        </w:rPr>
        <w:t>or Alternate Base Rate (without giving effect to any floor specified in the definition thereof) is less than any floor applicable to the</w:t>
      </w:r>
      <w:r>
        <w:rPr>
          <w:rFonts w:ascii="Arial" w:cs="Arial" w:eastAsia="Arial" w:hAnsi="Arial"/>
          <w:sz w:val="16"/>
          <w:szCs w:val="16"/>
          <w:color w:val="FF0000"/>
        </w:rPr>
        <w:t xml:space="preserve"> </w:t>
      </w:r>
      <w:r>
        <w:rPr>
          <w:rFonts w:ascii="Arial" w:cs="Arial" w:eastAsia="Arial" w:hAnsi="Arial"/>
          <w:sz w:val="16"/>
          <w:szCs w:val="16"/>
          <w:color w:val="000000"/>
        </w:rPr>
        <w:t xml:space="preserve">Term Loans in respect of which the Effective Yield is being calculated on the date on which the Effective Yield is determined, the amount of the resulting difference will be deemed added to the interest rate margin applicable to the relevant Indebtedness for purposes of calculating the Effective Yield and (B) to the extent that </w:t>
      </w:r>
      <w:r>
        <w:rPr>
          <w:rFonts w:ascii="Arial" w:cs="Arial" w:eastAsia="Arial" w:hAnsi="Arial"/>
          <w:sz w:val="16"/>
          <w:szCs w:val="16"/>
          <w:color w:val="FF0000"/>
          <w:strike w:val="1"/>
        </w:rPr>
        <w:t>the Published LIBO Rate (for a period of three months)</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or Alternate Base Rate (without giving effect to any floor specified in the definition thereof) is greater than any applicable floor on the date on which the Effective Yield is determined, the floor will be disregarded in calculating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Effective Yield.</w:t>
      </w:r>
    </w:p>
    <w:p>
      <w:pPr>
        <w:spacing w:after="0" w:line="21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7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w:t>
      </w:r>
      <w:r>
        <w:rPr>
          <w:rFonts w:ascii="Arial" w:cs="Arial" w:eastAsia="Arial" w:hAnsi="Arial"/>
          <w:sz w:val="18"/>
          <w:szCs w:val="18"/>
          <w:u w:val="single" w:color="auto"/>
          <w:color w:val="auto"/>
        </w:rPr>
        <w:t>Section 9.05(g)</w:t>
      </w:r>
      <w:r>
        <w:rPr>
          <w:rFonts w:ascii="Arial" w:cs="Arial" w:eastAsia="Arial" w:hAnsi="Arial"/>
          <w:sz w:val="18"/>
          <w:szCs w:val="18"/>
          <w:color w:val="auto"/>
        </w:rPr>
        <w:t xml:space="preserve">, any Affiliated Lender or any Debt Fund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event, “Eligible Assignee” shall not include (i) any natural person, (ii) any Disqualified Institution or (iii) except as permitted under </w:t>
      </w:r>
      <w:r>
        <w:rPr>
          <w:rFonts w:ascii="Arial" w:cs="Arial" w:eastAsia="Arial" w:hAnsi="Arial"/>
          <w:sz w:val="18"/>
          <w:szCs w:val="18"/>
          <w:u w:val="single" w:color="auto"/>
          <w:color w:val="auto"/>
        </w:rPr>
        <w:t>Section 9.05(g)</w:t>
      </w:r>
      <w:r>
        <w:rPr>
          <w:rFonts w:ascii="Arial" w:cs="Arial" w:eastAsia="Arial" w:hAnsi="Arial"/>
          <w:sz w:val="18"/>
          <w:szCs w:val="18"/>
          <w:color w:val="auto"/>
        </w:rPr>
        <w:t>, the Borrower or any of its Subsidiaries.</w:t>
      </w:r>
    </w:p>
    <w:p>
      <w:pPr>
        <w:spacing w:after="0" w:line="19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land surface and subsurface strata &amp; natural resources such as wetlands, flora and fauna.</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current or future applicable foreign or domestic, federal or state (or any subdivision of either of them), statutes, ordinances, orders, rules, regulations, judgments, Governmental Authorizations, or any other applicable requirements of Governmental Authorities and the common law relating to (a) environmental matters, including those relating to any Hazardous Materials Activity; or (b) the generation, use, storage, transportation or disposal of or exposure to Hazardous Materials, in any manner applicable to the Borrower or any of its Restricted Subsidiaries or any Facility.</w:t>
      </w:r>
    </w:p>
    <w:p>
      <w:pPr>
        <w:spacing w:after="0" w:line="19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1" w:name="page82"/>
    <w:bookmarkEnd w:id="81"/>
    <w:p>
      <w:pPr>
        <w:jc w:val="both"/>
        <w:spacing w:after="0" w:line="275" w:lineRule="auto"/>
        <w:rPr>
          <w:sz w:val="20"/>
          <w:szCs w:val="20"/>
          <w:color w:val="auto"/>
        </w:rPr>
      </w:pPr>
      <w:r>
        <w:rPr>
          <w:rFonts w:ascii="Arial" w:cs="Arial" w:eastAsia="Arial" w:hAnsi="Arial"/>
          <w:sz w:val="18"/>
          <w:szCs w:val="18"/>
          <w:color w:val="auto"/>
        </w:rPr>
        <w:t>threatened Release of any Hazardous Materials into the Environment or (e) any contract, agreement or other consensual arrangement pursuant to which liability is assumed or imposed with respect to any of the foregoing.</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is under common control with the Borrower or any Restricted Subsidiary and is treated as a single employer within the meaning of Section 414 of the Code or Section 4001 of ERISA.</w:t>
      </w:r>
    </w:p>
    <w:p>
      <w:pPr>
        <w:spacing w:after="0" w:line="17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the Borrower or any Restricted Subsidiary or any ERISA Affiliate from a Pension Plan subject to Section 4063 of ERISA during a plan year in which it was a substantial employer (as defined in Section 4001(a)(2) of ERISA) or a cessation of operations at any facility of the Borrower or any Restricted Subsidiary or any ERISA Affiliate as described in Section 4062(e) of ERISA, in each case, resulting in liability pursuant to Section 4063 of ERISA; (c) a complete or partial withdrawal by the Borrower or any Restricted Subsidiary or any ERISA Affiliate from a Multiemployer Plan resulting in the imposition of Withdrawal Liability on the Borrower or any Restricted Subsidiary or any ERISA Affiliate, notification of the Borrower or any Restricted Subsidiary or any ERISA Affiliate concerning the imposition of Withdrawal Liability or notification that a Multiemployer Plan is “insolvent” within the meaning of Section 4245 of ERISA or is in “reorganization” within the meaning of Section 4241 of ERISA; (d) the filing of a notice of intent to terminate a Pension Plan under Section 4041(c) of ERISA, the treatment of a Pension Plan amendment as a termination under Section 4041(c) of ERISA, the commencement of proceedings by the PBGC to terminate a Pension Plan or the receipt by the Borrower or any Restricted Subsidiary or any ERISA Affiliate of notice of the treatment of a Multiemployer Plan amendment as a termination under Section 4041A of ERISA or of notice of the commencement of proceedings by the PBGC to terminate a Multiemployer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the Borrower or any Restricted Subsidiary or any ERISA Affiliate, with respect to the termination of any Pension Plan; or (g) the conditions for imposition of a Lien under Section 303(k) of ERISA have been met with respect to any Pension Plan.</w:t>
      </w:r>
    </w:p>
    <w:p>
      <w:pPr>
        <w:spacing w:after="0" w:line="17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member states of the European Union that adopts or has adopted the Euro as its lawful currency in accordance with legislation of the European Union relating to Economic and Monetary Union.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Excess Cash Flow Period, any amount (if positive) equal to (without duplication):</w:t>
      </w:r>
    </w:p>
    <w:p>
      <w:pPr>
        <w:spacing w:after="0" w:line="223" w:lineRule="exact"/>
        <w:rPr>
          <w:sz w:val="20"/>
          <w:szCs w:val="20"/>
          <w:color w:val="auto"/>
        </w:rPr>
      </w:pPr>
    </w:p>
    <w:p>
      <w:pPr>
        <w:ind w:left="760" w:firstLine="745"/>
        <w:spacing w:after="0" w:line="275" w:lineRule="auto"/>
        <w:tabs>
          <w:tab w:leader="none" w:pos="18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Consolidated Adjusted EBITDA for such Excess Cash Flow Period (without giving effect to </w:t>
      </w:r>
      <w:r>
        <w:rPr>
          <w:rFonts w:ascii="Arial" w:cs="Arial" w:eastAsia="Arial" w:hAnsi="Arial"/>
          <w:sz w:val="18"/>
          <w:szCs w:val="18"/>
          <w:u w:val="single" w:color="auto"/>
          <w:color w:val="auto"/>
        </w:rPr>
        <w:t>clauses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the definition thereof, which amounts shall be deducted in determining Excess Cash Flow);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760" w:firstLine="745"/>
        <w:spacing w:after="0" w:line="262" w:lineRule="auto"/>
        <w:tabs>
          <w:tab w:leader="none" w:pos="1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extraordinary, unusual or non-recurring or infrequently occurring cash gain during such Excess Cash Flow Period (whether or not accrued in such Excess Cash Flow Period) to the extent not otherwise included in Consolidated Adjusted EBITDA (including any component definitions used therein);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760" w:firstLine="745"/>
        <w:spacing w:after="0" w:line="310" w:lineRule="auto"/>
        <w:tabs>
          <w:tab w:leader="none" w:pos="18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foreign currency exchange gain actually realized and received in Cash in Dollars (including any currency re-measurement of Indebtedness, any net gain or loss resulting from Hedge Agreements for currency exchange risk resulting from any intercompany Indebtedness, any foreign currency translation or transaction or any other currency-related risk), net of any loss from foreign currency translation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 xml:space="preserve">to the extent not otherwise included in calculating Consolidated Adjusted EBITDA (including any component definitions used therein); </w:t>
      </w:r>
      <w:r>
        <w:rPr>
          <w:rFonts w:ascii="Arial" w:cs="Arial" w:eastAsia="Arial" w:hAnsi="Arial"/>
          <w:sz w:val="17"/>
          <w:szCs w:val="17"/>
          <w:u w:val="single" w:color="auto"/>
          <w:color w:val="auto"/>
        </w:rPr>
        <w:t>plus</w:t>
      </w:r>
    </w:p>
    <w:p>
      <w:pPr>
        <w:spacing w:after="0" w:line="234" w:lineRule="exact"/>
        <w:rPr>
          <w:sz w:val="20"/>
          <w:szCs w:val="20"/>
          <w:color w:val="auto"/>
        </w:rPr>
      </w:pPr>
    </w:p>
    <w:p>
      <w:pPr>
        <w:jc w:val="both"/>
        <w:ind w:firstLine="745"/>
        <w:spacing w:after="0" w:line="262" w:lineRule="auto"/>
        <w:tabs>
          <w:tab w:leader="none" w:pos="10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an amount equal to the aggregate net non-Cash loss on Dispositions by the Borrower and its Restricted Subsidiaries during such Excess Cash Flow Period (other than Dispositions in the ordinary course of business) to the extent not otherwise included in Consolidated Adjusted EBITDA (including any component definitions used therein);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firstLine="745"/>
        <w:spacing w:after="0" w:line="262" w:lineRule="auto"/>
        <w:tabs>
          <w:tab w:leader="none" w:pos="107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an amount equal to all Cash received for such period on account of any net non-Cash gain or income from Investments deducted in a previous period pursuant to </w:t>
      </w:r>
      <w:r>
        <w:rPr>
          <w:rFonts w:ascii="Arial" w:cs="Arial" w:eastAsia="Arial" w:hAnsi="Arial"/>
          <w:sz w:val="18"/>
          <w:szCs w:val="18"/>
          <w:u w:val="single" w:color="auto"/>
          <w:color w:val="auto"/>
        </w:rPr>
        <w:t>clause (s)(B)</w:t>
      </w:r>
      <w:r>
        <w:rPr>
          <w:rFonts w:ascii="Arial" w:cs="Arial" w:eastAsia="Arial" w:hAnsi="Arial"/>
          <w:sz w:val="18"/>
          <w:szCs w:val="18"/>
          <w:color w:val="auto"/>
        </w:rPr>
        <w:t xml:space="preserve"> of this definition to the extent not otherwise included in calculating Consolidated Adjusted EBITDA (including any component definitions used therein);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firstLine="745"/>
        <w:spacing w:after="0" w:line="255" w:lineRule="auto"/>
        <w:tabs>
          <w:tab w:leader="none" w:pos="10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the decrease, if any, in Consolidated Working Capital from the first day to the last day of such Excess Cash Flow Period, but excluding any such decrease in Consolidated Working Capital arising from (i) the acquisition or Disposition of any Person by the Borrower or any Restricted Subsidiary, (ii) the reclassification during such period of current assets to long term assets and current liabilities to long term liabilities, (iii) the application of purchase and/or recapitalization accounting and/or (iv) the effect of any fluctuation in the amount of accrued and contingent obligations under any Hedge Agreement; </w:t>
      </w:r>
      <w:r>
        <w:rPr>
          <w:rFonts w:ascii="Arial" w:cs="Arial" w:eastAsia="Arial" w:hAnsi="Arial"/>
          <w:sz w:val="18"/>
          <w:szCs w:val="18"/>
          <w:u w:val="single" w:color="auto"/>
          <w:color w:val="auto"/>
        </w:rPr>
        <w:t>minus</w:t>
      </w:r>
    </w:p>
    <w:p>
      <w:pPr>
        <w:spacing w:after="0" w:line="190" w:lineRule="exact"/>
        <w:rPr>
          <w:rFonts w:ascii="Arial" w:cs="Arial" w:eastAsia="Arial" w:hAnsi="Arial"/>
          <w:sz w:val="18"/>
          <w:szCs w:val="18"/>
          <w:color w:val="auto"/>
        </w:rPr>
      </w:pPr>
    </w:p>
    <w:p>
      <w:pPr>
        <w:jc w:val="both"/>
        <w:ind w:firstLine="745"/>
        <w:spacing w:after="0" w:line="258" w:lineRule="auto"/>
        <w:tabs>
          <w:tab w:leader="none" w:pos="1098"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the amount, if any, which, in the determination of Consolidated Adjusted EBITDA (including any component definitions used therein) for such Excess Cash Flow Period, has been included in respect of income or gain from any Disposition outside of the ordinary course of business (including Dispositions constituting covered losses or taking of assets referred to in the definition of “Net Insurance/Condemnation Proceeds”) of the Borrower and/or any Restricted Subsidiary; </w:t>
      </w:r>
      <w:r>
        <w:rPr>
          <w:rFonts w:ascii="Arial" w:cs="Arial" w:eastAsia="Arial" w:hAnsi="Arial"/>
          <w:sz w:val="18"/>
          <w:szCs w:val="18"/>
          <w:u w:val="single" w:color="auto"/>
          <w:color w:val="auto"/>
        </w:rPr>
        <w:t>minus</w:t>
      </w:r>
    </w:p>
    <w:p>
      <w:pPr>
        <w:spacing w:after="0" w:line="184" w:lineRule="exact"/>
        <w:rPr>
          <w:rFonts w:ascii="Arial" w:cs="Arial" w:eastAsia="Arial" w:hAnsi="Arial"/>
          <w:sz w:val="18"/>
          <w:szCs w:val="18"/>
          <w:color w:val="auto"/>
        </w:rPr>
      </w:pPr>
    </w:p>
    <w:p>
      <w:pPr>
        <w:ind w:left="1080" w:hanging="335"/>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cash payments actually made in respect of the following (without duplication):</w:t>
      </w:r>
    </w:p>
    <w:p>
      <w:pPr>
        <w:spacing w:after="0" w:line="222" w:lineRule="exact"/>
        <w:rPr>
          <w:rFonts w:ascii="Arial" w:cs="Arial" w:eastAsia="Arial" w:hAnsi="Arial"/>
          <w:sz w:val="18"/>
          <w:szCs w:val="18"/>
          <w:color w:val="auto"/>
        </w:rPr>
      </w:pPr>
    </w:p>
    <w:p>
      <w:pPr>
        <w:jc w:val="both"/>
        <w:ind w:left="740" w:firstLine="754"/>
        <w:spacing w:after="0" w:line="285" w:lineRule="auto"/>
        <w:tabs>
          <w:tab w:leader="none" w:pos="1820" w:val="left"/>
        </w:tabs>
        <w:numPr>
          <w:ilvl w:val="2"/>
          <w:numId w:val="68"/>
        </w:numPr>
        <w:rPr>
          <w:rFonts w:ascii="Arial" w:cs="Arial" w:eastAsia="Arial" w:hAnsi="Arial"/>
          <w:sz w:val="16"/>
          <w:szCs w:val="16"/>
          <w:color w:val="auto"/>
        </w:rPr>
      </w:pPr>
      <w:r>
        <w:rPr>
          <w:rFonts w:ascii="Arial" w:cs="Arial" w:eastAsia="Arial" w:hAnsi="Arial"/>
          <w:sz w:val="16"/>
          <w:szCs w:val="16"/>
          <w:color w:val="auto"/>
        </w:rPr>
        <w:t xml:space="preserve">any Investment permitted by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Investments (i) in Cash or Cash Equivalents, (ii) in the Borrower or a Guarantor or (iii) made pursuant to </w:t>
      </w:r>
      <w:r>
        <w:rPr>
          <w:rFonts w:ascii="Arial" w:cs="Arial" w:eastAsia="Arial" w:hAnsi="Arial"/>
          <w:sz w:val="16"/>
          <w:szCs w:val="16"/>
          <w:u w:val="single" w:color="auto"/>
          <w:color w:val="auto"/>
        </w:rPr>
        <w:t>Section 6.06(r)(i)</w:t>
      </w:r>
      <w:r>
        <w:rPr>
          <w:rFonts w:ascii="Arial" w:cs="Arial" w:eastAsia="Arial" w:hAnsi="Arial"/>
          <w:sz w:val="16"/>
          <w:szCs w:val="16"/>
          <w:color w:val="auto"/>
        </w:rPr>
        <w:t xml:space="preserve">) and/or any Restricted Payment permitted by </w:t>
      </w:r>
      <w:r>
        <w:rPr>
          <w:rFonts w:ascii="Arial" w:cs="Arial" w:eastAsia="Arial" w:hAnsi="Arial"/>
          <w:sz w:val="16"/>
          <w:szCs w:val="16"/>
          <w:u w:val="single" w:color="auto"/>
          <w:color w:val="auto"/>
        </w:rPr>
        <w:t>Section 6.04(a)</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6.04(a)(iii)(A)</w:t>
      </w:r>
      <w:r>
        <w:rPr>
          <w:rFonts w:ascii="Arial" w:cs="Arial" w:eastAsia="Arial" w:hAnsi="Arial"/>
          <w:sz w:val="16"/>
          <w:szCs w:val="16"/>
          <w:color w:val="auto"/>
        </w:rPr>
        <w:t>) and actually made in cash during such Excess Cash Flow Period or, at the option of the Borrower, made prior to the date the Borrower is required to make a payment of Excess Cash Flow in respect of such Excess Cash Flow Period,</w:t>
      </w:r>
    </w:p>
    <w:p>
      <w:pPr>
        <w:jc w:val="both"/>
        <w:ind w:left="740" w:firstLine="5"/>
        <w:spacing w:after="0" w:line="253" w:lineRule="auto"/>
        <w:tabs>
          <w:tab w:leader="none" w:pos="1074"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to the extent the relevant Investment and/or Restricted Payment is financed with the proceeds of long term funded Indebtedness (other than revolving Indebtedness) and (B) without duplication of any amounts deducted from Excess Cash Flow for a prior Excess Cash Flow Period;</w:t>
      </w:r>
    </w:p>
    <w:p>
      <w:pPr>
        <w:spacing w:after="0" w:line="190" w:lineRule="exact"/>
        <w:rPr>
          <w:rFonts w:ascii="Arial" w:cs="Arial" w:eastAsia="Arial" w:hAnsi="Arial"/>
          <w:sz w:val="18"/>
          <w:szCs w:val="18"/>
          <w:color w:val="auto"/>
        </w:rPr>
      </w:pPr>
    </w:p>
    <w:p>
      <w:pPr>
        <w:jc w:val="both"/>
        <w:ind w:left="740" w:firstLine="754"/>
        <w:spacing w:after="0" w:line="262" w:lineRule="auto"/>
        <w:tabs>
          <w:tab w:leader="none" w:pos="1819"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realized foreign currency exchange losses actually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w:t>
      </w:r>
    </w:p>
    <w:p>
      <w:pPr>
        <w:spacing w:after="0" w:line="182" w:lineRule="exact"/>
        <w:rPr>
          <w:rFonts w:ascii="Arial" w:cs="Arial" w:eastAsia="Arial" w:hAnsi="Arial"/>
          <w:sz w:val="18"/>
          <w:szCs w:val="18"/>
          <w:color w:val="auto"/>
        </w:rPr>
      </w:pPr>
    </w:p>
    <w:p>
      <w:pPr>
        <w:jc w:val="both"/>
        <w:ind w:left="740" w:firstLine="754"/>
        <w:spacing w:after="0" w:line="262" w:lineRule="auto"/>
        <w:tabs>
          <w:tab w:leader="none" w:pos="1819"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aggregate amount of any extraordinary, unusual or non-recurring or infrequently occurring Cash Charge (whether or not incurred in such Excess Cash Flow Period) excluded in calculating Consolidated Adjusted EBITDA (including any component definitions used therein);</w:t>
      </w:r>
    </w:p>
    <w:p>
      <w:pPr>
        <w:spacing w:after="0" w:line="182" w:lineRule="exact"/>
        <w:rPr>
          <w:rFonts w:ascii="Arial" w:cs="Arial" w:eastAsia="Arial" w:hAnsi="Arial"/>
          <w:sz w:val="18"/>
          <w:szCs w:val="18"/>
          <w:color w:val="auto"/>
        </w:rPr>
      </w:pPr>
    </w:p>
    <w:p>
      <w:pPr>
        <w:jc w:val="both"/>
        <w:ind w:left="740" w:firstLine="754"/>
        <w:spacing w:after="0" w:line="277" w:lineRule="auto"/>
        <w:tabs>
          <w:tab w:leader="none" w:pos="1827" w:val="left"/>
        </w:tabs>
        <w:numPr>
          <w:ilvl w:val="2"/>
          <w:numId w:val="69"/>
        </w:numPr>
        <w:rPr>
          <w:rFonts w:ascii="Arial" w:cs="Arial" w:eastAsia="Arial" w:hAnsi="Arial"/>
          <w:sz w:val="17"/>
          <w:szCs w:val="17"/>
          <w:color w:val="auto"/>
        </w:rPr>
      </w:pPr>
      <w:r>
        <w:rPr>
          <w:rFonts w:ascii="Arial" w:cs="Arial" w:eastAsia="Arial" w:hAnsi="Arial"/>
          <w:sz w:val="17"/>
          <w:szCs w:val="17"/>
          <w:color w:val="auto"/>
        </w:rPr>
        <w:t>consolidated Capital Expenditures actually made in cash during such Excess Cash Flow Period or, at the option of the Borrower, made prior to the date the Borrower is required to make a payment of Excess Cash Flow in respect of such Excess Cash Flow Period, (A) except to the extent financed with the proceeds of long term funded Indebtedness (other than revolving Indebtedness) and (B) without duplication of any amounts deducted from Excess Cash Flow for a prior Excess Cash Flow Period;</w:t>
      </w:r>
    </w:p>
    <w:p>
      <w:pPr>
        <w:spacing w:after="0" w:line="17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83" w:name="page84"/>
    <w:bookmarkEnd w:id="83"/>
    <w:p>
      <w:pPr>
        <w:ind w:left="744" w:firstLine="754"/>
        <w:spacing w:after="0" w:line="275" w:lineRule="auto"/>
        <w:tabs>
          <w:tab w:leader="none" w:pos="18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long-term liability, excluding the current portion of any such liability (other than Indebtedness) of the Borrower and/or any Restricted Subsidiary;</w:t>
      </w:r>
    </w:p>
    <w:p>
      <w:pPr>
        <w:spacing w:after="0" w:line="170" w:lineRule="exact"/>
        <w:rPr>
          <w:rFonts w:ascii="Arial" w:cs="Arial" w:eastAsia="Arial" w:hAnsi="Arial"/>
          <w:sz w:val="18"/>
          <w:szCs w:val="18"/>
          <w:color w:val="auto"/>
        </w:rPr>
      </w:pPr>
    </w:p>
    <w:p>
      <w:pPr>
        <w:ind w:left="744" w:firstLine="754"/>
        <w:spacing w:after="0" w:line="275" w:lineRule="auto"/>
        <w:tabs>
          <w:tab w:leader="none" w:pos="1846"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any cash Charge added back in calculating Consolidated Adjusted EBITDA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or excluded from the calculation of Consolidated Net Income in accordance with the definition thereof;</w:t>
      </w:r>
    </w:p>
    <w:p>
      <w:pPr>
        <w:spacing w:after="0" w:line="170" w:lineRule="exact"/>
        <w:rPr>
          <w:rFonts w:ascii="Arial" w:cs="Arial" w:eastAsia="Arial" w:hAnsi="Arial"/>
          <w:sz w:val="18"/>
          <w:szCs w:val="18"/>
          <w:color w:val="auto"/>
        </w:rPr>
      </w:pPr>
    </w:p>
    <w:p>
      <w:pPr>
        <w:ind w:left="744" w:firstLine="754"/>
        <w:spacing w:after="0" w:line="339" w:lineRule="auto"/>
        <w:tabs>
          <w:tab w:leader="none" w:pos="2181" w:val="left"/>
        </w:tabs>
        <w:numPr>
          <w:ilvl w:val="2"/>
          <w:numId w:val="70"/>
        </w:numPr>
        <w:rPr>
          <w:rFonts w:ascii="Arial" w:cs="Arial" w:eastAsia="Arial" w:hAnsi="Arial"/>
          <w:sz w:val="16"/>
          <w:szCs w:val="16"/>
          <w:color w:val="auto"/>
        </w:rPr>
      </w:pPr>
      <w:r>
        <w:rPr>
          <w:rFonts w:ascii="Arial" w:cs="Arial" w:eastAsia="Arial" w:hAnsi="Arial"/>
          <w:sz w:val="16"/>
          <w:szCs w:val="16"/>
          <w:color w:val="auto"/>
        </w:rPr>
        <w:t xml:space="preserve">the aggregate amount of expenditures actually made by the Borrower and/or any Restricted Subsidiary during such Fiscal Year (including any expenditure for the payment of financing fees) to the extent that such expenditures are not expensed; </w:t>
      </w:r>
      <w:r>
        <w:rPr>
          <w:rFonts w:ascii="Arial" w:cs="Arial" w:eastAsia="Arial" w:hAnsi="Arial"/>
          <w:sz w:val="16"/>
          <w:szCs w:val="16"/>
          <w:u w:val="single" w:color="auto"/>
          <w:color w:val="auto"/>
        </w:rPr>
        <w:t>minus</w:t>
      </w:r>
    </w:p>
    <w:p>
      <w:pPr>
        <w:spacing w:after="0" w:line="125" w:lineRule="exact"/>
        <w:rPr>
          <w:rFonts w:ascii="Arial" w:cs="Arial" w:eastAsia="Arial" w:hAnsi="Arial"/>
          <w:sz w:val="16"/>
          <w:szCs w:val="16"/>
          <w:color w:val="auto"/>
        </w:rPr>
      </w:pPr>
    </w:p>
    <w:p>
      <w:pPr>
        <w:jc w:val="both"/>
        <w:ind w:left="4" w:firstLine="745"/>
        <w:spacing w:after="0" w:line="287" w:lineRule="auto"/>
        <w:tabs>
          <w:tab w:leader="none" w:pos="1114"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(i) all optional prepayments of Indebtedness (other than any optional prepayment of (A) Indebtedness under the Loan Documents prior to such date (to the extent the relevant voluntary prepayments are permitted by the terms of this Agreement) and the aggregate principal amount of Incremental Equivalent Debt, Replacement Notes, prepaid, repurchased, redeemed or otherwise retired prior to such date, in each case, that is deducted in calculating the amount of any Excess Cash Flow payment in accordance with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or (B) revolving Indebtedness (other than Revolving Loans, Additional Revolving Loans or Swingline Loans) except to the extent any related commitment is permanently reduced in connection with such repayment), (ii) all mandatory prepayments (other than, during such Excess Cash Flow Period, pursuant to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and scheduled repayments of Indebtedness during such Excess Cash Flow Period and (iii) the aggregate amount of any premium, make-whole or penalty payments actually paid in cash by the Borrower and its Restricted Subsidiaries during such period that are required to be made in connection with any prepayment of Indebtedness; </w:t>
      </w:r>
      <w:r>
        <w:rPr>
          <w:rFonts w:ascii="Arial" w:cs="Arial" w:eastAsia="Arial" w:hAnsi="Arial"/>
          <w:sz w:val="16"/>
          <w:szCs w:val="16"/>
          <w:u w:val="single" w:color="auto"/>
          <w:color w:val="auto"/>
        </w:rPr>
        <w:t>minus</w:t>
      </w:r>
    </w:p>
    <w:p>
      <w:pPr>
        <w:spacing w:after="0" w:line="169" w:lineRule="exact"/>
        <w:rPr>
          <w:rFonts w:ascii="Arial" w:cs="Arial" w:eastAsia="Arial" w:hAnsi="Arial"/>
          <w:sz w:val="16"/>
          <w:szCs w:val="16"/>
          <w:color w:val="auto"/>
        </w:rPr>
      </w:pPr>
    </w:p>
    <w:p>
      <w:pPr>
        <w:ind w:left="4" w:firstLine="745"/>
        <w:spacing w:after="0" w:line="275" w:lineRule="auto"/>
        <w:tabs>
          <w:tab w:leader="none" w:pos="1102"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Consolidated Interest Expense actually paid or payable in cash by the Borrower and/or any Restricted Subsidiary during such Excess Cash Flow Period; </w:t>
      </w:r>
      <w:r>
        <w:rPr>
          <w:rFonts w:ascii="Arial" w:cs="Arial" w:eastAsia="Arial" w:hAnsi="Arial"/>
          <w:sz w:val="18"/>
          <w:szCs w:val="18"/>
          <w:u w:val="single" w:color="auto"/>
          <w:color w:val="auto"/>
        </w:rPr>
        <w:t>minus</w:t>
      </w:r>
    </w:p>
    <w:p>
      <w:pPr>
        <w:spacing w:after="0" w:line="170" w:lineRule="exact"/>
        <w:rPr>
          <w:rFonts w:ascii="Arial" w:cs="Arial" w:eastAsia="Arial" w:hAnsi="Arial"/>
          <w:sz w:val="18"/>
          <w:szCs w:val="18"/>
          <w:color w:val="auto"/>
        </w:rPr>
      </w:pPr>
    </w:p>
    <w:p>
      <w:pPr>
        <w:jc w:val="both"/>
        <w:ind w:left="4" w:firstLine="745"/>
        <w:spacing w:after="0" w:line="262" w:lineRule="auto"/>
        <w:tabs>
          <w:tab w:leader="none" w:pos="1129"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Taxes (inclusive of Taxes paid or payable under tax sharing agreements or arrangements and/or in connection with any intercompany distribution) paid or payable by the Borrower and/or any Restricted Subsidiary with respect to such Excess Cash Flow Period; </w:t>
      </w:r>
      <w:r>
        <w:rPr>
          <w:rFonts w:ascii="Arial" w:cs="Arial" w:eastAsia="Arial" w:hAnsi="Arial"/>
          <w:sz w:val="18"/>
          <w:szCs w:val="18"/>
          <w:u w:val="single" w:color="auto"/>
          <w:color w:val="auto"/>
        </w:rPr>
        <w:t>minus</w:t>
      </w:r>
    </w:p>
    <w:p>
      <w:pPr>
        <w:spacing w:after="0" w:line="182" w:lineRule="exact"/>
        <w:rPr>
          <w:rFonts w:ascii="Arial" w:cs="Arial" w:eastAsia="Arial" w:hAnsi="Arial"/>
          <w:sz w:val="18"/>
          <w:szCs w:val="18"/>
          <w:color w:val="auto"/>
        </w:rPr>
      </w:pPr>
    </w:p>
    <w:p>
      <w:pPr>
        <w:jc w:val="both"/>
        <w:ind w:left="4" w:firstLine="745"/>
        <w:spacing w:after="0" w:line="286" w:lineRule="auto"/>
        <w:tabs>
          <w:tab w:leader="none" w:pos="1101"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increase, if any, in Consolidated Working Capital from the first day to the last day of such Excess Cash Flow Period, but excluding any such increase in Consolidated Working Capital arising from (i) the acquisition or Disposition of any Person by the Borrower or any Restricted Subsidiary, (ii) the reclassification during such period of current assets to long term assets and current liabilities to long term liabilities,</w:t>
      </w:r>
    </w:p>
    <w:p>
      <w:pPr>
        <w:spacing w:after="0" w:line="1" w:lineRule="exact"/>
        <w:rPr>
          <w:rFonts w:ascii="Arial" w:cs="Arial" w:eastAsia="Arial" w:hAnsi="Arial"/>
          <w:sz w:val="16"/>
          <w:szCs w:val="16"/>
          <w:color w:val="auto"/>
        </w:rPr>
      </w:pPr>
    </w:p>
    <w:p>
      <w:pPr>
        <w:ind w:left="4" w:hanging="4"/>
        <w:spacing w:after="0" w:line="258" w:lineRule="auto"/>
        <w:tabs>
          <w:tab w:leader="none" w:pos="3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application of purchase and/or recapitalization accounting and/or (iv) the effect of any fluctuation in the amount of accrued and contingent obligations under any Hedge Agreement; </w:t>
      </w:r>
      <w:r>
        <w:rPr>
          <w:rFonts w:ascii="Arial" w:cs="Arial" w:eastAsia="Arial" w:hAnsi="Arial"/>
          <w:sz w:val="18"/>
          <w:szCs w:val="18"/>
          <w:u w:val="single" w:color="auto"/>
          <w:color w:val="auto"/>
        </w:rPr>
        <w:t>minus</w:t>
      </w:r>
    </w:p>
    <w:p>
      <w:pPr>
        <w:spacing w:after="0" w:line="185" w:lineRule="exact"/>
        <w:rPr>
          <w:rFonts w:ascii="Arial" w:cs="Arial" w:eastAsia="Arial" w:hAnsi="Arial"/>
          <w:sz w:val="18"/>
          <w:szCs w:val="18"/>
          <w:color w:val="auto"/>
        </w:rPr>
      </w:pPr>
    </w:p>
    <w:p>
      <w:pPr>
        <w:jc w:val="both"/>
        <w:ind w:left="4" w:firstLine="745"/>
        <w:spacing w:after="0" w:line="310" w:lineRule="auto"/>
        <w:tabs>
          <w:tab w:leader="none" w:pos="1081"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the amount of any Tax obligation of the Borrower and/or any Restricted Subsidiary that is estimated in good faith by the Borrower as due and payable (but is not currently due and payable) by the Borrower and/or any Restricted Subsidiary as a result of the repatriation of any dividend or similar distribution of net income of any Foreign Subsidiary to the Borrower or any Restricted Subsidiary; </w:t>
      </w:r>
      <w:r>
        <w:rPr>
          <w:rFonts w:ascii="Arial" w:cs="Arial" w:eastAsia="Arial" w:hAnsi="Arial"/>
          <w:sz w:val="16"/>
          <w:szCs w:val="16"/>
          <w:u w:val="single" w:color="auto"/>
          <w:color w:val="auto"/>
        </w:rPr>
        <w:t>minus</w:t>
      </w:r>
    </w:p>
    <w:p>
      <w:pPr>
        <w:spacing w:after="0" w:line="146" w:lineRule="exact"/>
        <w:rPr>
          <w:rFonts w:ascii="Arial" w:cs="Arial" w:eastAsia="Arial" w:hAnsi="Arial"/>
          <w:sz w:val="16"/>
          <w:szCs w:val="16"/>
          <w:color w:val="auto"/>
        </w:rPr>
      </w:pPr>
    </w:p>
    <w:p>
      <w:pPr>
        <w:jc w:val="both"/>
        <w:ind w:left="4" w:firstLine="745"/>
        <w:spacing w:after="0" w:line="287" w:lineRule="auto"/>
        <w:tabs>
          <w:tab w:leader="none" w:pos="1089"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without duplication of amounts deducted from Excess Cash Flow in respect of a prior Excess Cash Flow Period, at the option of the Borrower, the aggregate consideration (i) required to be paid in Cash by the Borrower or its Restricted Subsidiaries pursuant to binding contracts entered into prior to or during such Excess Cash Flow Period relating to Capital Expenditures, acquisitions, Investments and/or Restricted Payments described in </w:t>
      </w:r>
      <w:r>
        <w:rPr>
          <w:rFonts w:ascii="Arial" w:cs="Arial" w:eastAsia="Arial" w:hAnsi="Arial"/>
          <w:sz w:val="16"/>
          <w:szCs w:val="16"/>
          <w:u w:val="single" w:color="auto"/>
          <w:color w:val="auto"/>
        </w:rPr>
        <w:t>clauses (h)(i)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(h)(iv)</w:t>
      </w:r>
      <w:r>
        <w:rPr>
          <w:rFonts w:ascii="Arial" w:cs="Arial" w:eastAsia="Arial" w:hAnsi="Arial"/>
          <w:sz w:val="16"/>
          <w:szCs w:val="16"/>
          <w:color w:val="auto"/>
        </w:rPr>
        <w:t xml:space="preserve"> above and/or (ii) otherwise committed or budgeted to be made in connection with Capital Expenditures, acquisitions, Investments and/or Restricted Payments described in </w:t>
      </w:r>
      <w:r>
        <w:rPr>
          <w:rFonts w:ascii="Arial" w:cs="Arial" w:eastAsia="Arial" w:hAnsi="Arial"/>
          <w:sz w:val="16"/>
          <w:szCs w:val="16"/>
          <w:u w:val="single" w:color="auto"/>
          <w:color w:val="auto"/>
        </w:rPr>
        <w:t>clauses (h)(i)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(h)(iv)</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w:t>
      </w:r>
      <w:r>
        <w:rPr>
          <w:rFonts w:ascii="Arial" w:cs="Arial" w:eastAsia="Arial" w:hAnsi="Arial"/>
          <w:sz w:val="16"/>
          <w:szCs w:val="16"/>
          <w:u w:val="single" w:color="auto"/>
          <w:color w:val="auto"/>
        </w:rPr>
        <w:t>Scheduled Consideration</w:t>
      </w:r>
      <w:r>
        <w:rPr>
          <w:rFonts w:ascii="Arial" w:cs="Arial" w:eastAsia="Arial" w:hAnsi="Arial"/>
          <w:sz w:val="16"/>
          <w:szCs w:val="16"/>
          <w:color w:val="auto"/>
        </w:rPr>
        <w:t xml:space="preserve">”) (other than Investments in (A) Cash and Cash Equivalents and (B) the Borrower or any of its Restricted Subsidiaries) to be consummated or made during the period of four consecutive Fiscal Quarters of the Borrower following the end of such period (except, in each case, to the extent financed with long term funded Indebtedness (other than revolving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aggregate amount actually utilized to finance such Capital Expenditures, acquisitions, Investments and/or Restricted Payments during such subsequent period of four consecutive Fiscal Quarters is less than the Scheduled Consideration, the amount of the</w:t>
      </w:r>
    </w:p>
    <w:p>
      <w:pPr>
        <w:spacing w:after="0" w:line="165"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84" w:name="page85"/>
    <w:bookmarkEnd w:id="84"/>
    <w:p>
      <w:pPr>
        <w:ind w:left="760"/>
        <w:spacing w:after="0" w:line="275" w:lineRule="auto"/>
        <w:rPr>
          <w:sz w:val="20"/>
          <w:szCs w:val="20"/>
          <w:color w:val="auto"/>
        </w:rPr>
      </w:pPr>
      <w:r>
        <w:rPr>
          <w:rFonts w:ascii="Arial" w:cs="Arial" w:eastAsia="Arial" w:hAnsi="Arial"/>
          <w:sz w:val="18"/>
          <w:szCs w:val="18"/>
          <w:color w:val="auto"/>
        </w:rPr>
        <w:t xml:space="preserve">resulting shortfall shall be added to the calculation of Excess Cash Flow at the end of such subsequent period of four consecutive Fiscal Quarters; </w:t>
      </w:r>
      <w:r>
        <w:rPr>
          <w:rFonts w:ascii="Arial" w:cs="Arial" w:eastAsia="Arial" w:hAnsi="Arial"/>
          <w:sz w:val="18"/>
          <w:szCs w:val="18"/>
          <w:u w:val="single" w:color="auto"/>
          <w:color w:val="auto"/>
        </w:rPr>
        <w:t>minus</w:t>
      </w:r>
    </w:p>
    <w:p>
      <w:pPr>
        <w:spacing w:after="0" w:line="171" w:lineRule="exact"/>
        <w:rPr>
          <w:sz w:val="20"/>
          <w:szCs w:val="20"/>
          <w:color w:val="auto"/>
        </w:rPr>
      </w:pPr>
    </w:p>
    <w:p>
      <w:pPr>
        <w:ind w:left="760" w:firstLine="745"/>
        <w:spacing w:after="0" w:line="275" w:lineRule="auto"/>
        <w:tabs>
          <w:tab w:leader="none" w:pos="18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amounts added to Consolidated Net Income, in each case to the extent paid in cash, under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(c)(v)</w:t>
      </w:r>
      <w:r>
        <w:rPr>
          <w:rFonts w:ascii="Arial" w:cs="Arial" w:eastAsia="Arial" w:hAnsi="Arial"/>
          <w:sz w:val="18"/>
          <w:szCs w:val="18"/>
          <w:color w:val="auto"/>
        </w:rPr>
        <w:t xml:space="preserve">, </w:t>
      </w:r>
      <w:r>
        <w:rPr>
          <w:rFonts w:ascii="Arial" w:cs="Arial" w:eastAsia="Arial" w:hAnsi="Arial"/>
          <w:sz w:val="18"/>
          <w:szCs w:val="18"/>
          <w:u w:val="single" w:color="auto"/>
          <w:color w:val="auto"/>
        </w:rPr>
        <w:t>(c)(viii)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(c)(x)</w:t>
      </w:r>
      <w:r>
        <w:rPr>
          <w:rFonts w:ascii="Arial" w:cs="Arial" w:eastAsia="Arial" w:hAnsi="Arial"/>
          <w:sz w:val="18"/>
          <w:szCs w:val="18"/>
          <w:color w:val="auto"/>
        </w:rPr>
        <w:t xml:space="preserve">, </w:t>
      </w:r>
      <w:r>
        <w:rPr>
          <w:rFonts w:ascii="Arial" w:cs="Arial" w:eastAsia="Arial" w:hAnsi="Arial"/>
          <w:sz w:val="18"/>
          <w:szCs w:val="18"/>
          <w:u w:val="single" w:color="auto"/>
          <w:color w:val="auto"/>
        </w:rPr>
        <w:t>(c)(xi)</w:t>
      </w:r>
      <w:r>
        <w:rPr>
          <w:rFonts w:ascii="Arial" w:cs="Arial" w:eastAsia="Arial" w:hAnsi="Arial"/>
          <w:sz w:val="18"/>
          <w:szCs w:val="18"/>
          <w:color w:val="auto"/>
        </w:rPr>
        <w:t xml:space="preserve">, </w:t>
      </w:r>
      <w:r>
        <w:rPr>
          <w:rFonts w:ascii="Arial" w:cs="Arial" w:eastAsia="Arial" w:hAnsi="Arial"/>
          <w:sz w:val="18"/>
          <w:szCs w:val="18"/>
          <w:u w:val="single" w:color="auto"/>
          <w:color w:val="auto"/>
        </w:rPr>
        <w:t>(c)(xii)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the definition of “Consolidated Adjusted EBITDA”; </w:t>
      </w:r>
      <w:r>
        <w:rPr>
          <w:rFonts w:ascii="Arial" w:cs="Arial" w:eastAsia="Arial" w:hAnsi="Arial"/>
          <w:sz w:val="18"/>
          <w:szCs w:val="18"/>
          <w:u w:val="single" w:color="auto"/>
          <w:color w:val="auto"/>
        </w:rPr>
        <w:t>minus</w:t>
      </w:r>
    </w:p>
    <w:p>
      <w:pPr>
        <w:spacing w:after="0" w:line="170" w:lineRule="exact"/>
        <w:rPr>
          <w:rFonts w:ascii="Arial" w:cs="Arial" w:eastAsia="Arial" w:hAnsi="Arial"/>
          <w:sz w:val="18"/>
          <w:szCs w:val="18"/>
          <w:color w:val="auto"/>
        </w:rPr>
      </w:pPr>
    </w:p>
    <w:p>
      <w:pPr>
        <w:jc w:val="both"/>
        <w:ind w:left="760" w:firstLine="745"/>
        <w:spacing w:after="0" w:line="277" w:lineRule="auto"/>
        <w:tabs>
          <w:tab w:leader="none" w:pos="1857"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cash payments (other than in respect of Taxes, which are governed by </w:t>
      </w:r>
      <w:r>
        <w:rPr>
          <w:rFonts w:ascii="Arial" w:cs="Arial" w:eastAsia="Arial" w:hAnsi="Arial"/>
          <w:sz w:val="17"/>
          <w:szCs w:val="17"/>
          <w:u w:val="single" w:color="auto"/>
          <w:color w:val="auto"/>
        </w:rPr>
        <w:t>clause (k)</w:t>
      </w:r>
      <w:r>
        <w:rPr>
          <w:rFonts w:ascii="Arial" w:cs="Arial" w:eastAsia="Arial" w:hAnsi="Arial"/>
          <w:sz w:val="17"/>
          <w:szCs w:val="17"/>
          <w:color w:val="auto"/>
        </w:rPr>
        <w:t xml:space="preserve"> above) made during such Excess Cash Flow Period for any liability the accrual of which in a prior Excess Cash Flow Period resulted in an increase in Excess Cash Flow in such prior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was no other deduction to Consolidated Adjusted EBITDA or Excess Cash Flow related to such payment), except to the extent financed with long term funded Indebtedness (other than revolving Indebtedness); </w:t>
      </w:r>
      <w:r>
        <w:rPr>
          <w:rFonts w:ascii="Arial" w:cs="Arial" w:eastAsia="Arial" w:hAnsi="Arial"/>
          <w:sz w:val="17"/>
          <w:szCs w:val="17"/>
          <w:u w:val="single" w:color="auto"/>
          <w:color w:val="auto"/>
        </w:rPr>
        <w:t>minus</w:t>
      </w:r>
    </w:p>
    <w:p>
      <w:pPr>
        <w:spacing w:after="0" w:line="172" w:lineRule="exact"/>
        <w:rPr>
          <w:rFonts w:ascii="Arial" w:cs="Arial" w:eastAsia="Arial" w:hAnsi="Arial"/>
          <w:sz w:val="17"/>
          <w:szCs w:val="17"/>
          <w:color w:val="auto"/>
        </w:rPr>
      </w:pPr>
    </w:p>
    <w:p>
      <w:pPr>
        <w:jc w:val="both"/>
        <w:ind w:left="760" w:firstLine="745"/>
        <w:spacing w:after="0" w:line="262" w:lineRule="auto"/>
        <w:tabs>
          <w:tab w:leader="none" w:pos="18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cash expenditures made in respect of any Hedge Agreement during such period to the extent (i) not otherwise deducted in the calculation of Consolidated Net Income or Consolidated Adjusted EBITDA and (ii) not financed with long term funded Indebtedness (other than revolving Indebtedness); </w:t>
      </w:r>
      <w:r>
        <w:rPr>
          <w:rFonts w:ascii="Arial" w:cs="Arial" w:eastAsia="Arial" w:hAnsi="Arial"/>
          <w:sz w:val="18"/>
          <w:szCs w:val="18"/>
          <w:u w:val="single" w:color="auto"/>
          <w:color w:val="auto"/>
        </w:rPr>
        <w:t>minus</w:t>
      </w:r>
    </w:p>
    <w:p>
      <w:pPr>
        <w:spacing w:after="0" w:line="182" w:lineRule="exact"/>
        <w:rPr>
          <w:rFonts w:ascii="Arial" w:cs="Arial" w:eastAsia="Arial" w:hAnsi="Arial"/>
          <w:sz w:val="18"/>
          <w:szCs w:val="18"/>
          <w:color w:val="auto"/>
        </w:rPr>
      </w:pPr>
    </w:p>
    <w:p>
      <w:pPr>
        <w:jc w:val="both"/>
        <w:ind w:left="760" w:firstLine="745"/>
        <w:spacing w:after="0" w:line="258" w:lineRule="auto"/>
        <w:tabs>
          <w:tab w:leader="none" w:pos="18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amounts paid in Cash (except to the extent financed with long term funded Indebtedness (other than revolving Indebtedness)) during such period on account of (i) items that were accounted for as non-Cash reductions of Consolidated Net Income or Consolidated Adjusted EBITDA in a prior period and (ii) reserves or amounts established in purchase accounting to the extent such reserves or amounts are added back to, or not deducted from, Consolidated Net Income; </w:t>
      </w:r>
      <w:r>
        <w:rPr>
          <w:rFonts w:ascii="Arial" w:cs="Arial" w:eastAsia="Arial" w:hAnsi="Arial"/>
          <w:sz w:val="18"/>
          <w:szCs w:val="18"/>
          <w:u w:val="single" w:color="auto"/>
          <w:color w:val="auto"/>
        </w:rPr>
        <w:t>minus</w:t>
      </w:r>
    </w:p>
    <w:p>
      <w:pPr>
        <w:spacing w:after="0" w:line="184" w:lineRule="exact"/>
        <w:rPr>
          <w:rFonts w:ascii="Arial" w:cs="Arial" w:eastAsia="Arial" w:hAnsi="Arial"/>
          <w:sz w:val="18"/>
          <w:szCs w:val="18"/>
          <w:color w:val="auto"/>
        </w:rPr>
      </w:pPr>
    </w:p>
    <w:p>
      <w:pPr>
        <w:jc w:val="both"/>
        <w:ind w:left="760" w:firstLine="745"/>
        <w:spacing w:after="0" w:line="285" w:lineRule="auto"/>
        <w:tabs>
          <w:tab w:leader="none" w:pos="183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amount equal to the sum of (A) the aggregate net non-cash loss on Dispositions by the Borrower and its Restricted Subsidiaries during such period (other than Dispositions by the Borrower and its Restricted Subsidiaries during such period (other than Dispositions in the ordinary course of business)) to the extent included in arriving at Consolidated Net Income and (B) the aggregate net non-Cash gain or income from Investments (other than Investments made in the ordinary course of business) to the extent included in arriving at Consolidated Adjusted</w:t>
      </w:r>
    </w:p>
    <w:p>
      <w:pPr>
        <w:ind w:left="760"/>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08" w:lineRule="exact"/>
        <w:rPr>
          <w:sz w:val="20"/>
          <w:szCs w:val="20"/>
          <w:color w:val="auto"/>
        </w:rPr>
      </w:pPr>
    </w:p>
    <w:p>
      <w:pPr>
        <w:ind w:firstLine="749"/>
        <w:spacing w:after="0" w:line="339" w:lineRule="auto"/>
        <w:rPr>
          <w:sz w:val="20"/>
          <w:szCs w:val="20"/>
          <w:color w:val="auto"/>
        </w:rPr>
      </w:pPr>
      <w:r>
        <w:rPr>
          <w:rFonts w:ascii="Arial" w:cs="Arial" w:eastAsia="Arial" w:hAnsi="Arial"/>
          <w:sz w:val="16"/>
          <w:szCs w:val="16"/>
          <w:color w:val="auto"/>
        </w:rPr>
        <w:t xml:space="preserve">Amounts added back pursuant to the foregoing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this definition shall be calculated without duplication of one another, and amounts deducted pursuant to the foregoing </w:t>
      </w:r>
      <w:r>
        <w:rPr>
          <w:rFonts w:ascii="Arial" w:cs="Arial" w:eastAsia="Arial" w:hAnsi="Arial"/>
          <w:sz w:val="16"/>
          <w:szCs w:val="16"/>
          <w:u w:val="single" w:color="auto"/>
          <w:color w:val="auto"/>
        </w:rPr>
        <w:t>clauses (g)</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w:t>
      </w:r>
      <w:r>
        <w:rPr>
          <w:rFonts w:ascii="Arial" w:cs="Arial" w:eastAsia="Arial" w:hAnsi="Arial"/>
          <w:sz w:val="16"/>
          <w:szCs w:val="16"/>
          <w:color w:val="auto"/>
        </w:rPr>
        <w:t xml:space="preserve"> of this definition shall be calculated without duplication of one another.</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 Period</w:t>
      </w:r>
      <w:r>
        <w:rPr>
          <w:rFonts w:ascii="Arial" w:cs="Arial" w:eastAsia="Arial" w:hAnsi="Arial"/>
          <w:sz w:val="16"/>
          <w:szCs w:val="16"/>
          <w:color w:val="auto"/>
        </w:rPr>
        <w:t>” means each Fiscal Year of the Borrower, commencing with the Fiscal Year of the Borrower ending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of the SEC promulgated thereunder.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each of the following:</w:t>
      </w:r>
    </w:p>
    <w:p>
      <w:pPr>
        <w:spacing w:after="0" w:line="223" w:lineRule="exact"/>
        <w:rPr>
          <w:sz w:val="20"/>
          <w:szCs w:val="20"/>
          <w:color w:val="auto"/>
        </w:rPr>
      </w:pPr>
    </w:p>
    <w:p>
      <w:pPr>
        <w:jc w:val="both"/>
        <w:ind w:left="760" w:firstLine="745"/>
        <w:spacing w:after="0" w:line="269" w:lineRule="auto"/>
        <w:tabs>
          <w:tab w:leader="none" w:pos="1843"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asset the grant or perfection of a security interest in which would (i) be prohibited by enforceable anti-assignment provisions set forth in any contract that is permitted by the terms of this Agreement and is binding on such asset at the time of its acquisition and not incurred in contemplation thereof (other than in the case of Capital Leases and purchase money financings), (after giving effect to applicable anti-assignment provisions of the UCC or other applicable Requirements of Law), (ii) violate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(after giving effect to applicable anti-assignment provisions of the UCC or other applicable Requirements of Law) or (iii) except with respect to the Capital Stock of any Loan Party or any Wholly-Owned Subsidiary that is a Restricted Subsidiary, trigger termination of any contract relating to such asset that is permitted by the terms of this Agreement pursuant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5" w:name="page86"/>
    <w:bookmarkEnd w:id="85"/>
    <w:p>
      <w:pPr>
        <w:jc w:val="both"/>
        <w:spacing w:after="0" w:line="274" w:lineRule="auto"/>
        <w:rPr>
          <w:sz w:val="20"/>
          <w:szCs w:val="20"/>
          <w:color w:val="auto"/>
        </w:rPr>
      </w:pPr>
      <w:r>
        <w:rPr>
          <w:rFonts w:ascii="Arial" w:cs="Arial" w:eastAsia="Arial" w:hAnsi="Arial"/>
          <w:sz w:val="17"/>
          <w:szCs w:val="17"/>
          <w:color w:val="auto"/>
        </w:rPr>
        <w:t xml:space="preserve">to any “change of control” or similar provision (to the extent such contract is binding on such asset at the time of its acquisition and not entered into in contemplation of such acquisition) (after giving effect to applicable anti-assignment provisions of the UCC or other applicable Requirements of Law); it being understood that the term “Excluded Asset” shall not include proceeds or receivables arising out of any contract described in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to the extent that the assignment of such proceeds or receivables is expressly deemed to be effective under the UCC or other applicable Requirements of Law notwithstanding the relevant prohibition, violation or termination right,</w:t>
      </w:r>
    </w:p>
    <w:p>
      <w:pPr>
        <w:spacing w:after="0" w:line="174" w:lineRule="exact"/>
        <w:rPr>
          <w:sz w:val="20"/>
          <w:szCs w:val="20"/>
          <w:color w:val="auto"/>
        </w:rPr>
      </w:pPr>
    </w:p>
    <w:p>
      <w:pPr>
        <w:ind w:firstLine="745"/>
        <w:spacing w:after="0" w:line="305" w:lineRule="auto"/>
        <w:tabs>
          <w:tab w:leader="none" w:pos="10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Capital Stock of any (i) Captive Insurance Subsidiary, (ii) Unrestricted Subsidiary, (iii) not-for-profit subsidiary and/or (iv) special purpose entity used for any permitted securitization facility, in each case, except to the extent such Person is a Loan Party,</w:t>
      </w:r>
    </w:p>
    <w:p>
      <w:pPr>
        <w:spacing w:after="0" w:line="148" w:lineRule="exact"/>
        <w:rPr>
          <w:rFonts w:ascii="Arial" w:cs="Arial" w:eastAsia="Arial" w:hAnsi="Arial"/>
          <w:sz w:val="17"/>
          <w:szCs w:val="17"/>
          <w:color w:val="auto"/>
        </w:rPr>
      </w:pPr>
    </w:p>
    <w:p>
      <w:pPr>
        <w:jc w:val="both"/>
        <w:ind w:firstLine="745"/>
        <w:spacing w:after="0" w:line="258" w:lineRule="auto"/>
        <w:tabs>
          <w:tab w:leader="none" w:pos="10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intent-to-use U.S. Trademark application prior to the filing and acceptance of a “Statement of Use,” “Amendment to Allege Use” or similar filing with respect thereto, by the United States Patent and Trademark Office, only to the extent, if any, that, and solely during the period if any, in which, the grant of a security interest therein may impair the validity or enforceability of such intent-to-use Trademark application under applicable federal Law,</w:t>
      </w:r>
    </w:p>
    <w:p>
      <w:pPr>
        <w:spacing w:after="0" w:line="184" w:lineRule="exact"/>
        <w:rPr>
          <w:rFonts w:ascii="Arial" w:cs="Arial" w:eastAsia="Arial" w:hAnsi="Arial"/>
          <w:sz w:val="18"/>
          <w:szCs w:val="18"/>
          <w:color w:val="auto"/>
        </w:rPr>
      </w:pPr>
    </w:p>
    <w:p>
      <w:pPr>
        <w:jc w:val="both"/>
        <w:ind w:firstLine="745"/>
        <w:spacing w:after="0" w:line="269"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any asset (including Capital Stock), the grant or perfection of a security interest in which would (i) be prohibited under applicable Requirements of Law (including, without limitation, rules and regulations of any Governmental Authority) or (ii) require any governmental or regulatory consent, approval, license or authorization (to the extent such authorization was not obtained) (after giving effect to applicable anti-assignment provisions of the UCC or other applicable Requirements of Law), except to the extent such requirement or prohibition would be rendered ineffective under the UCC or other applicable Requirements of Law notwithstanding such requirement or prohibition; it being understood that the term “Excluded Asset” shall not include proceeds or receivables arising out of any asset described in </w:t>
      </w:r>
      <w:r>
        <w:rPr>
          <w:rFonts w:ascii="Arial" w:cs="Arial" w:eastAsia="Arial" w:hAnsi="Arial"/>
          <w:sz w:val="17"/>
          <w:szCs w:val="17"/>
          <w:u w:val="single" w:color="auto"/>
          <w:color w:val="auto"/>
        </w:rPr>
        <w:t>clause (d)(i)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(d)(ii)</w:t>
      </w:r>
      <w:r>
        <w:rPr>
          <w:rFonts w:ascii="Arial" w:cs="Arial" w:eastAsia="Arial" w:hAnsi="Arial"/>
          <w:sz w:val="17"/>
          <w:szCs w:val="17"/>
          <w:color w:val="auto"/>
        </w:rPr>
        <w:t xml:space="preserve"> to the extent that the assignment of such proceeds or receivables is expressly deemed to be effective under the UCC or other applicable Requirements of Law notwithstanding the relevant requirement or prohibition or (iii) result in material adverse tax consequences to any Loan Party as reasonably determined by the Borrower in consultation with the Administrative Agent,</w:t>
      </w:r>
    </w:p>
    <w:p>
      <w:pPr>
        <w:spacing w:after="0" w:line="178" w:lineRule="exact"/>
        <w:rPr>
          <w:rFonts w:ascii="Arial" w:cs="Arial" w:eastAsia="Arial" w:hAnsi="Arial"/>
          <w:sz w:val="17"/>
          <w:szCs w:val="17"/>
          <w:color w:val="auto"/>
        </w:rPr>
      </w:pPr>
    </w:p>
    <w:p>
      <w:pPr>
        <w:ind w:firstLine="745"/>
        <w:spacing w:after="0" w:line="275" w:lineRule="auto"/>
        <w:tabs>
          <w:tab w:leader="none" w:pos="10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any leasehold Real Estate Asset, (ii) except to the extent a security interest therein can be perfected by the filing of a UCC-1 financing statement, any other leasehold interests and (iii) any owned Real Estate Asset,</w:t>
      </w:r>
    </w:p>
    <w:p>
      <w:pPr>
        <w:spacing w:after="0" w:line="170" w:lineRule="exact"/>
        <w:rPr>
          <w:rFonts w:ascii="Arial" w:cs="Arial" w:eastAsia="Arial" w:hAnsi="Arial"/>
          <w:sz w:val="18"/>
          <w:szCs w:val="18"/>
          <w:color w:val="auto"/>
        </w:rPr>
      </w:pPr>
    </w:p>
    <w:p>
      <w:pPr>
        <w:ind w:left="1080" w:hanging="335"/>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Capital Stock of any Person that is not a Wholly-Owned Subsidiary (other than a Loan Party),</w:t>
      </w:r>
    </w:p>
    <w:p>
      <w:pPr>
        <w:spacing w:after="0" w:line="222" w:lineRule="exact"/>
        <w:rPr>
          <w:rFonts w:ascii="Arial" w:cs="Arial" w:eastAsia="Arial" w:hAnsi="Arial"/>
          <w:sz w:val="18"/>
          <w:szCs w:val="18"/>
          <w:color w:val="auto"/>
        </w:rPr>
      </w:pPr>
    </w:p>
    <w:p>
      <w:pPr>
        <w:ind w:left="1080" w:hanging="335"/>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Margin Stock,</w:t>
      </w:r>
    </w:p>
    <w:p>
      <w:pPr>
        <w:spacing w:after="0" w:line="222" w:lineRule="exact"/>
        <w:rPr>
          <w:rFonts w:ascii="Arial" w:cs="Arial" w:eastAsia="Arial" w:hAnsi="Arial"/>
          <w:sz w:val="18"/>
          <w:szCs w:val="18"/>
          <w:color w:val="auto"/>
        </w:rPr>
      </w:pPr>
    </w:p>
    <w:p>
      <w:pPr>
        <w:jc w:val="both"/>
        <w:ind w:firstLine="745"/>
        <w:spacing w:after="0" w:line="262" w:lineRule="auto"/>
        <w:tabs>
          <w:tab w:leader="none" w:pos="10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Capital Stock of (i) any Foreign Subsidiary and (ii) any CFC Holdco, in each case (x) in excess of 65% of the issued and outstanding Capital Stock of any such Person or (y) to the extent such Foreign Subsidiary or CFC Holdco is not a first-tier Subsidiary of a Loan Party,</w:t>
      </w:r>
    </w:p>
    <w:p>
      <w:pPr>
        <w:spacing w:after="0" w:line="182" w:lineRule="exact"/>
        <w:rPr>
          <w:rFonts w:ascii="Arial" w:cs="Arial" w:eastAsia="Arial" w:hAnsi="Arial"/>
          <w:sz w:val="18"/>
          <w:szCs w:val="18"/>
          <w:color w:val="auto"/>
        </w:rPr>
      </w:pPr>
    </w:p>
    <w:p>
      <w:pPr>
        <w:ind w:left="1080" w:hanging="335"/>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Commercial Tort Claims,</w:t>
      </w:r>
    </w:p>
    <w:p>
      <w:pPr>
        <w:spacing w:after="0" w:line="222" w:lineRule="exact"/>
        <w:rPr>
          <w:rFonts w:ascii="Arial" w:cs="Arial" w:eastAsia="Arial" w:hAnsi="Arial"/>
          <w:sz w:val="18"/>
          <w:szCs w:val="18"/>
          <w:color w:val="auto"/>
        </w:rPr>
      </w:pPr>
    </w:p>
    <w:p>
      <w:pPr>
        <w:jc w:val="both"/>
        <w:ind w:firstLine="745"/>
        <w:spacing w:after="0" w:line="284" w:lineRule="auto"/>
        <w:tabs>
          <w:tab w:leader="none" w:pos="1079"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Deposit Accounts, securities account and similar accounts (including securities entitlements), escrow, fiduciary and trust accounts, and cash and cash equivalents (other than, in each case, proceeds of other Collateral as to which perfection may be accomplished by filing a UCC-1 financing statement or perfection may be accomplished automatically without any action by any party),</w:t>
      </w:r>
    </w:p>
    <w:p>
      <w:pPr>
        <w:spacing w:after="0" w:line="166" w:lineRule="exact"/>
        <w:rPr>
          <w:rFonts w:ascii="Arial" w:cs="Arial" w:eastAsia="Arial" w:hAnsi="Arial"/>
          <w:sz w:val="17"/>
          <w:szCs w:val="17"/>
          <w:color w:val="auto"/>
        </w:rPr>
      </w:pPr>
    </w:p>
    <w:p>
      <w:pPr>
        <w:jc w:val="both"/>
        <w:ind w:firstLine="745"/>
        <w:spacing w:after="0" w:line="310" w:lineRule="auto"/>
        <w:tabs>
          <w:tab w:leader="none" w:pos="11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assets subject to a purchase money security interest, Capital Lease obligations or similar arrangement, in each case, that is permitted by the terms of this Agreement and to the extent the grant of a security interest therein would violate or invalidate such lease, license or agreement or purchase money or similar arrangement or create a right of termination in favor of any other party thereto (other than Holdings,</w:t>
      </w:r>
    </w:p>
    <w:p>
      <w:pPr>
        <w:spacing w:after="0" w:line="14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86" w:name="page87"/>
    <w:bookmarkEnd w:id="86"/>
    <w:p>
      <w:pPr>
        <w:jc w:val="both"/>
        <w:ind w:left="4"/>
        <w:spacing w:after="0" w:line="277" w:lineRule="auto"/>
        <w:rPr>
          <w:sz w:val="20"/>
          <w:szCs w:val="20"/>
          <w:color w:val="auto"/>
        </w:rPr>
      </w:pPr>
      <w:r>
        <w:rPr>
          <w:rFonts w:ascii="Arial" w:cs="Arial" w:eastAsia="Arial" w:hAnsi="Arial"/>
          <w:sz w:val="17"/>
          <w:szCs w:val="17"/>
          <w:color w:val="auto"/>
        </w:rPr>
        <w:t xml:space="preserve">the Borrower or any Subsidiary of the Borrower) after giving effect to the applicable anti-assignment provisions of the UCC or other applicable Requirements of Law; it being understood that the term “Excluded Asset” shall not include proceeds or receivables arising out of any asset described in this </w:t>
      </w:r>
      <w:r>
        <w:rPr>
          <w:rFonts w:ascii="Arial" w:cs="Arial" w:eastAsia="Arial" w:hAnsi="Arial"/>
          <w:sz w:val="17"/>
          <w:szCs w:val="17"/>
          <w:u w:val="single" w:color="auto"/>
          <w:color w:val="auto"/>
        </w:rPr>
        <w:t>clause (k)</w:t>
      </w:r>
      <w:r>
        <w:rPr>
          <w:rFonts w:ascii="Arial" w:cs="Arial" w:eastAsia="Arial" w:hAnsi="Arial"/>
          <w:sz w:val="17"/>
          <w:szCs w:val="17"/>
          <w:color w:val="auto"/>
        </w:rPr>
        <w:t xml:space="preserve"> to the extent that the assignment of such proceeds or receivables is expressly deemed to be effective under the UCC or other applicable Requirements of Law notwithstanding the relevant violation or invalidation,</w:t>
      </w:r>
    </w:p>
    <w:p>
      <w:pPr>
        <w:spacing w:after="0" w:line="172" w:lineRule="exact"/>
        <w:rPr>
          <w:sz w:val="20"/>
          <w:szCs w:val="20"/>
          <w:color w:val="auto"/>
        </w:rPr>
      </w:pPr>
    </w:p>
    <w:p>
      <w:pPr>
        <w:jc w:val="both"/>
        <w:ind w:left="4" w:firstLine="745"/>
        <w:spacing w:after="0" w:line="254" w:lineRule="auto"/>
        <w:tabs>
          <w:tab w:leader="none" w:pos="10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asset with respect to which the Administrative Agent and the relevant Loan Party have reasonably determined that the cost, burden, difficulty or consequence (including any effect on the ability of the relevant Loan Party to conduct its operations and business in the ordinary course of business and including the cost of title insurance, surveys or flood insurance (if necessary) or any mortgage, stamp, intangibles or other tax or expenses of obtaining or perfecting such security interest) of obtaining or perfecting a security interest therein outweighs, or is excessive in light of, the practical benefit of a security interest to the relevant Secured Parties afforded thereby, which determination is evidenced in writing.</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w:t>
      </w:r>
    </w:p>
    <w:p>
      <w:pPr>
        <w:spacing w:after="0" w:line="223" w:lineRule="exact"/>
        <w:rPr>
          <w:sz w:val="20"/>
          <w:szCs w:val="20"/>
          <w:color w:val="auto"/>
        </w:rPr>
      </w:pPr>
    </w:p>
    <w:p>
      <w:pPr>
        <w:ind w:left="1084" w:hanging="335"/>
        <w:spacing w:after="0"/>
        <w:tabs>
          <w:tab w:leader="none" w:pos="108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Restricted Subsidiary that is not a Wholly-Owned Subsidiary,</w:t>
      </w:r>
    </w:p>
    <w:p>
      <w:pPr>
        <w:spacing w:after="0" w:line="222" w:lineRule="exact"/>
        <w:rPr>
          <w:rFonts w:ascii="Arial" w:cs="Arial" w:eastAsia="Arial" w:hAnsi="Arial"/>
          <w:sz w:val="18"/>
          <w:szCs w:val="18"/>
          <w:color w:val="auto"/>
        </w:rPr>
      </w:pPr>
    </w:p>
    <w:p>
      <w:pPr>
        <w:ind w:left="1084" w:hanging="335"/>
        <w:spacing w:after="0"/>
        <w:tabs>
          <w:tab w:leader="none" w:pos="108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Immaterial Subsidiary,</w:t>
      </w:r>
    </w:p>
    <w:p>
      <w:pPr>
        <w:spacing w:after="0" w:line="222" w:lineRule="exact"/>
        <w:rPr>
          <w:rFonts w:ascii="Arial" w:cs="Arial" w:eastAsia="Arial" w:hAnsi="Arial"/>
          <w:sz w:val="18"/>
          <w:szCs w:val="18"/>
          <w:color w:val="auto"/>
        </w:rPr>
      </w:pPr>
    </w:p>
    <w:p>
      <w:pPr>
        <w:ind w:left="1084" w:hanging="335"/>
        <w:spacing w:after="0"/>
        <w:tabs>
          <w:tab w:leader="none" w:pos="1084"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Restricted Subsidiary (i) that is prohibited or restricted from providing a Loan Guaranty by (A) any Requirement of Law or</w:t>
      </w:r>
    </w:p>
    <w:p>
      <w:pPr>
        <w:spacing w:after="0" w:line="34" w:lineRule="exact"/>
        <w:rPr>
          <w:rFonts w:ascii="Arial" w:cs="Arial" w:eastAsia="Arial" w:hAnsi="Arial"/>
          <w:sz w:val="17"/>
          <w:szCs w:val="17"/>
          <w:color w:val="auto"/>
        </w:rPr>
      </w:pPr>
    </w:p>
    <w:p>
      <w:pPr>
        <w:jc w:val="both"/>
        <w:ind w:left="4" w:hanging="4"/>
        <w:spacing w:after="0" w:line="267" w:lineRule="auto"/>
        <w:tabs>
          <w:tab w:leader="none" w:pos="29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any Contractual Obligation that, in the case of this </w:t>
      </w:r>
      <w:r>
        <w:rPr>
          <w:rFonts w:ascii="Arial" w:cs="Arial" w:eastAsia="Arial" w:hAnsi="Arial"/>
          <w:sz w:val="17"/>
          <w:szCs w:val="17"/>
          <w:u w:val="single" w:color="auto"/>
          <w:color w:val="auto"/>
        </w:rPr>
        <w:t>clause (B)</w:t>
      </w:r>
      <w:r>
        <w:rPr>
          <w:rFonts w:ascii="Arial" w:cs="Arial" w:eastAsia="Arial" w:hAnsi="Arial"/>
          <w:sz w:val="17"/>
          <w:szCs w:val="17"/>
          <w:color w:val="auto"/>
        </w:rPr>
        <w:t>, exists on the Closing Date or at the time such Restricted Subsidiary becomes a Subsidiary (which Contractual Obligation was not entered into in contemplation of such Restricted Subsidiary becoming a Subsidiary (including pursuant to assumed Indebtedness)), (ii) that would require a governmental (including regulatory) or third party consent on the Closing Date or at the time such Restricted Subsidiary becomes a Subsidiary (and that was not incurred in contemplation of such Restricted Subsidiary becoming a Subsidiary), approval, license or authorization (including any regulatory consent, approval, license or authorization) to provide a Loan Guaranty (in each case, at the time such Restricted Subsidiary became a Subsidiary) (except to the extent such consent has been obtained) or (iii) where the provision of a Loan Guaranty would result in material adverse tax consequences as reasonably determined by the Borrower in consultation with the Administrative Agent,</w:t>
      </w:r>
    </w:p>
    <w:p>
      <w:pPr>
        <w:spacing w:after="0" w:line="180" w:lineRule="exact"/>
        <w:rPr>
          <w:rFonts w:ascii="Arial" w:cs="Arial" w:eastAsia="Arial" w:hAnsi="Arial"/>
          <w:sz w:val="17"/>
          <w:szCs w:val="17"/>
          <w:color w:val="auto"/>
        </w:rPr>
      </w:pPr>
    </w:p>
    <w:p>
      <w:pPr>
        <w:ind w:left="1084" w:hanging="335"/>
        <w:spacing w:after="0"/>
        <w:tabs>
          <w:tab w:leader="none" w:pos="108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not-for-profit subsidiary,</w:t>
      </w:r>
    </w:p>
    <w:p>
      <w:pPr>
        <w:spacing w:after="0" w:line="222" w:lineRule="exact"/>
        <w:rPr>
          <w:rFonts w:ascii="Arial" w:cs="Arial" w:eastAsia="Arial" w:hAnsi="Arial"/>
          <w:sz w:val="18"/>
          <w:szCs w:val="18"/>
          <w:color w:val="auto"/>
        </w:rPr>
      </w:pPr>
    </w:p>
    <w:p>
      <w:pPr>
        <w:ind w:left="1084" w:hanging="335"/>
        <w:spacing w:after="0"/>
        <w:tabs>
          <w:tab w:leader="none" w:pos="108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Captive Insurance Subsidiary,</w:t>
      </w:r>
    </w:p>
    <w:p>
      <w:pPr>
        <w:spacing w:after="0" w:line="222" w:lineRule="exact"/>
        <w:rPr>
          <w:rFonts w:ascii="Arial" w:cs="Arial" w:eastAsia="Arial" w:hAnsi="Arial"/>
          <w:sz w:val="18"/>
          <w:szCs w:val="18"/>
          <w:color w:val="auto"/>
        </w:rPr>
      </w:pPr>
    </w:p>
    <w:p>
      <w:pPr>
        <w:ind w:left="1084" w:hanging="335"/>
        <w:spacing w:after="0"/>
        <w:tabs>
          <w:tab w:leader="none" w:pos="1084"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special purpose entity used for any permitted securitization or receivables facility or financing (including any Securitization</w:t>
      </w:r>
    </w:p>
    <w:p>
      <w:pPr>
        <w:spacing w:after="0" w:line="4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08" w:lineRule="exact"/>
        <w:rPr>
          <w:rFonts w:ascii="Arial" w:cs="Arial" w:eastAsia="Arial" w:hAnsi="Arial"/>
          <w:sz w:val="16"/>
          <w:szCs w:val="16"/>
          <w:color w:val="auto"/>
        </w:rPr>
      </w:pPr>
    </w:p>
    <w:p>
      <w:pPr>
        <w:ind w:left="1084" w:hanging="335"/>
        <w:spacing w:after="0"/>
        <w:tabs>
          <w:tab w:leader="none" w:pos="108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Foreign Subsidiary,</w:t>
      </w:r>
    </w:p>
    <w:p>
      <w:pPr>
        <w:spacing w:after="0" w:line="222" w:lineRule="exact"/>
        <w:rPr>
          <w:rFonts w:ascii="Arial" w:cs="Arial" w:eastAsia="Arial" w:hAnsi="Arial"/>
          <w:sz w:val="18"/>
          <w:szCs w:val="18"/>
          <w:color w:val="auto"/>
        </w:rPr>
      </w:pPr>
    </w:p>
    <w:p>
      <w:pPr>
        <w:ind w:left="1084" w:hanging="335"/>
        <w:spacing w:after="0"/>
        <w:tabs>
          <w:tab w:leader="none" w:pos="1084" w:val="left"/>
        </w:tabs>
        <w:numPr>
          <w:ilvl w:val="1"/>
          <w:numId w:val="78"/>
        </w:numPr>
        <w:rPr>
          <w:rFonts w:ascii="Arial" w:cs="Arial" w:eastAsia="Arial" w:hAnsi="Arial"/>
          <w:sz w:val="16"/>
          <w:szCs w:val="16"/>
          <w:color w:val="auto"/>
        </w:rPr>
      </w:pPr>
      <w:r>
        <w:rPr>
          <w:rFonts w:ascii="Arial" w:cs="Arial" w:eastAsia="Arial" w:hAnsi="Arial"/>
          <w:sz w:val="16"/>
          <w:szCs w:val="16"/>
          <w:color w:val="auto"/>
        </w:rPr>
        <w:t>(i) any CFC Holdco and/or (ii) any Domestic Subsidiary that is a direct or indirect subsidiary of any Foreign Subsidiary that is a</w:t>
      </w:r>
    </w:p>
    <w:p>
      <w:pPr>
        <w:spacing w:after="0" w:line="4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CFC,</w:t>
      </w:r>
    </w:p>
    <w:p>
      <w:pPr>
        <w:spacing w:after="0" w:line="208" w:lineRule="exact"/>
        <w:rPr>
          <w:rFonts w:ascii="Arial" w:cs="Arial" w:eastAsia="Arial" w:hAnsi="Arial"/>
          <w:sz w:val="16"/>
          <w:szCs w:val="16"/>
          <w:color w:val="auto"/>
        </w:rPr>
      </w:pPr>
    </w:p>
    <w:p>
      <w:pPr>
        <w:ind w:left="1084" w:hanging="335"/>
        <w:spacing w:after="0"/>
        <w:tabs>
          <w:tab w:leader="none" w:pos="108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Unrestricted Subsidiary,</w:t>
      </w:r>
    </w:p>
    <w:p>
      <w:pPr>
        <w:spacing w:after="0" w:line="222" w:lineRule="exact"/>
        <w:rPr>
          <w:rFonts w:ascii="Arial" w:cs="Arial" w:eastAsia="Arial" w:hAnsi="Arial"/>
          <w:sz w:val="18"/>
          <w:szCs w:val="18"/>
          <w:color w:val="auto"/>
        </w:rPr>
      </w:pPr>
    </w:p>
    <w:p>
      <w:pPr>
        <w:jc w:val="both"/>
        <w:ind w:left="4" w:firstLine="745"/>
        <w:spacing w:after="0" w:line="277" w:lineRule="auto"/>
        <w:tabs>
          <w:tab w:leader="none" w:pos="10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any Restricted Subsidiary acquired by the Borrower that, at the time of the relevant acquisition, is an obligor in respect of assumed Indebtedness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 and</w:t>
      </w:r>
    </w:p>
    <w:p>
      <w:pPr>
        <w:spacing w:after="0" w:line="172" w:lineRule="exact"/>
        <w:rPr>
          <w:rFonts w:ascii="Arial" w:cs="Arial" w:eastAsia="Arial" w:hAnsi="Arial"/>
          <w:sz w:val="17"/>
          <w:szCs w:val="17"/>
          <w:color w:val="auto"/>
        </w:rPr>
      </w:pPr>
    </w:p>
    <w:p>
      <w:pPr>
        <w:ind w:left="4" w:firstLine="745"/>
        <w:spacing w:after="0" w:line="275" w:lineRule="auto"/>
        <w:tabs>
          <w:tab w:leader="none" w:pos="10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other Restricted Subsidiary with respect to which, in the reasonable judgment of the Administrative Agent and the Borrower, the burden or cost of providing a Loan Guaranty outweighs, or</w:t>
      </w:r>
    </w:p>
    <w:p>
      <w:pPr>
        <w:spacing w:after="0" w:line="171"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87" w:name="page88"/>
    <w:bookmarkEnd w:id="87"/>
    <w:p>
      <w:pPr>
        <w:ind w:left="760"/>
        <w:spacing w:after="0" w:line="275" w:lineRule="auto"/>
        <w:rPr>
          <w:sz w:val="20"/>
          <w:szCs w:val="20"/>
          <w:color w:val="auto"/>
        </w:rPr>
      </w:pPr>
      <w:r>
        <w:rPr>
          <w:rFonts w:ascii="Arial" w:cs="Arial" w:eastAsia="Arial" w:hAnsi="Arial"/>
          <w:sz w:val="18"/>
          <w:szCs w:val="18"/>
          <w:color w:val="auto"/>
        </w:rPr>
        <w:t>would be excessive in light of, the practical benefits afforded thereby; in each case, unless such Subsidiary becomes a Subsidiary Guarantor pursuant to the last sentence of the definition thereof.</w:t>
      </w:r>
    </w:p>
    <w:p>
      <w:pPr>
        <w:spacing w:after="0" w:line="17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Guarantor, any Swap Obligation if, and to the extent that, all or a portion of the Loan Guaranty of such Guarantor of, or the grant by such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(a) by virtue of such Guarantor’s failure for any reason to constitute an “eligible contract participant” as defined in the Commodity Exchange Act and the regulations thereunder (determined after giving effect to Section 3.20 of the Loan Guaranty and any other “keepwell,” support or other agreement for the benefit of such Guarantor) at the time the Loan Guaranty of such Guarantor or the grant of such security interest becomes effective with respect to such Swap Obligation or (b)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16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or any Issuing Bank, or any other recipient of any payment to be made by or on account of any obligation of any Loan Party under any Loan Document, (a) any Taxes imposed on (or measured by) such recipient’s net income or franchise Taxes, (i) imposed as a result of such recipient being organized or having its principal office located in or, in the case of any Lender, having its applicable lending office located in, the taxing jurisdiction or (ii) that are Other Connection Taxes, (b) any branch profits Taxes imposed under Section 884(a) of the Code, or any similar Tax, imposed by any jurisdiction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(c) any U.S. federal withholding Tax that is imposed on amounts payable to or for the account of such Lender (other than a Lender that became a Lender pursuant to an assignment under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 (ii) designates a new lending office, except in each case to the extent that,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such Lender to comply with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(or, in the case of any payment made to the Administrative Agent for its own account, by the Administrative Agent to comply with </w:t>
      </w:r>
      <w:r>
        <w:rPr>
          <w:rFonts w:ascii="Arial" w:cs="Arial" w:eastAsia="Arial" w:hAnsi="Arial"/>
          <w:sz w:val="17"/>
          <w:szCs w:val="17"/>
          <w:u w:val="single" w:color="auto"/>
          <w:color w:val="auto"/>
        </w:rPr>
        <w:t>Section 2.17(j)</w:t>
      </w:r>
      <w:r>
        <w:rPr>
          <w:rFonts w:ascii="Arial" w:cs="Arial" w:eastAsia="Arial" w:hAnsi="Arial"/>
          <w:sz w:val="17"/>
          <w:szCs w:val="17"/>
          <w:color w:val="auto"/>
        </w:rPr>
        <w:t>) and (e) any withholding Tax under FATCA.</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such term in the definition of “Closing Date Refinancing”.</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each of the letters of credit described on Schedule 1.01(c).</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Amendment</w:t>
      </w:r>
      <w:r>
        <w:rPr>
          <w:rFonts w:ascii="Arial" w:cs="Arial" w:eastAsia="Arial" w:hAnsi="Arial"/>
          <w:sz w:val="17"/>
          <w:szCs w:val="17"/>
          <w:color w:val="auto"/>
        </w:rPr>
        <w:t xml:space="preserve">” means an amendment to this Agreement that is reasonably satisfactory to the Administrative Agent (to the extent required by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and the Borrower executed by each of (a) Holdings, the Borrower and the Subsidiary Guarantors, (b) the Administrative Agent and (c) each Lender that has accepted the applicable Extension Offer pursuant hereto and in accordance with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8" w:name="page89"/>
    <w:bookmarkEnd w:id="88"/>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means any real property (including all buildings, fixtures or other improvements located thereon) now, hereafter or, except with respect to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owned, leased, operated or used by the Borrower or any of its Restricted Subsidiaries or any of their respective predecessors or Affiliates.</w:t>
      </w:r>
    </w:p>
    <w:p>
      <w:pPr>
        <w:spacing w:after="0" w:line="18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intergovernmental agreements implementing any of the foregoing.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3.17(c)</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such day for such transactions received by Administrative Agent from three Federal funds brokers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if such rate shall be less than 0.00%, it shall be deemed to be 0.00%.</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that certain Fee Letter, dated as of September 21, 2021, by and among, the Borrower and the Administrative Agent.</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Standstill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Leverage Ratio</w:t>
      </w:r>
      <w:r>
        <w:rPr>
          <w:rFonts w:ascii="Arial" w:cs="Arial" w:eastAsia="Arial" w:hAnsi="Arial"/>
          <w:sz w:val="18"/>
          <w:szCs w:val="18"/>
          <w:color w:val="auto"/>
        </w:rPr>
        <w:t>” means the ratio, as of any date of determination, of (a) Consolidated First Lien Debt as of the last day of the Test Period then most recently ended to (b) Consolidated Adjusted EBITDA for the Test Period then most recently ended, in each case of the Borrower and its Restricted Subsidiaries on a consolidated basis.</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w:t>
      </w:r>
      <w:r>
        <w:rPr>
          <w:rFonts w:ascii="Arial" w:cs="Arial" w:eastAsia="Arial" w:hAnsi="Arial"/>
          <w:sz w:val="18"/>
          <w:szCs w:val="18"/>
          <w:color w:val="auto"/>
        </w:rPr>
        <w:t>” means, with respect to any Lien purported to be created in any Collateral pursuant to any Collateral Document, that such Lien is senior in priority to any other Lien to which such Collateral is subject, other than any Permitted Lien.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any Fiscal Year.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Borrower ending December 31 of each calendar year.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1.10(c)</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or Issuing Bank that is not a “United States person” within the meaning of Section 7701(a)(30) of the Code.</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Restricted Subsidiary that is not a Domestic Subsidiary.</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 in effect and applicable to the accounting period in respect of which reference to GAAP is made.</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thereof</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(including any supra-national bodies)</w:t>
      </w:r>
      <w:r>
        <w:rPr>
          <w:rFonts w:ascii="Arial" w:cs="Arial" w:eastAsia="Arial" w:hAnsi="Arial"/>
          <w:sz w:val="18"/>
          <w:szCs w:val="18"/>
          <w:color w:val="0000FF"/>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9" w:name="page90"/>
    <w:bookmarkEnd w:id="89"/>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authorization, approval, plan, directive, consent order or consent decree of or from any Governmental Authority.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(as used in this definition,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Holdings and any Subsidiary Guarantor.</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w:t>
      </w:r>
    </w:p>
    <w:p>
      <w:pPr>
        <w:spacing w:after="0" w:line="18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Activity</w:t>
      </w:r>
      <w:r>
        <w:rPr>
          <w:rFonts w:ascii="Arial" w:cs="Arial" w:eastAsia="Arial" w:hAnsi="Arial"/>
          <w:sz w:val="18"/>
          <w:szCs w:val="18"/>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any agreement with respect to any Derivative Transaction between any Loan Party or any Restricted Subsidiary and any other Person.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Hedge Agreement.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w:t>
      </w:r>
      <w:r>
        <w:rPr>
          <w:rFonts w:ascii="Arial" w:cs="Arial" w:eastAsia="Arial" w:hAnsi="Arial"/>
          <w:sz w:val="16"/>
          <w:szCs w:val="16"/>
          <w:color w:val="auto"/>
        </w:rPr>
        <w:t>” has the meaning assigned to such term in the preamble to this Agreement and shall, for the avoidance of doubt, include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Holdings.</w:t>
      </w:r>
    </w:p>
    <w:p>
      <w:pPr>
        <w:spacing w:after="0" w:line="20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means international accounting standards within the meaning of the IAS Regulation 1606/2002, as in effect from time to time (subject to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to the extent applicable to the relevant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0" w:name="page91"/>
    <w:bookmarkEnd w:id="90"/>
    <w:p>
      <w:pPr>
        <w:jc w:val="both"/>
        <w:ind w:firstLine="74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as of any date, any Restricted Subsidiary of the Borrower (a) the assets of which do not exceed 2.50% of Consolidated Total Assets of the Borrower and its Restricted Subsidiaries and (b) the contribution to Consolidated Adjusted EBITDA of which does not exceed 2.50% of the Consolidated Adjusted EBITDA of the Borrower and its Restricted Subsidiaries, in each case, as of the last day of the most recently ended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Consolidated Total Assets and Consolidated Adjusted EBITDA (as so determined) of all Immaterial Subsidiaries shall not exceed 5.00% of Consolidated Total Assets and 5.00% of Consolidated Adjusted EBITDA, in each case, of the Borrower and its Restricted Subsidiaries as of the last day of the most recently ended Test Period;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all times prior to the first delivery of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this definition shall be applied based on the financial statements of the Borrower delivered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hereof.</w:t>
      </w:r>
    </w:p>
    <w:p>
      <w:pPr>
        <w:spacing w:after="0" w:line="164"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w:t>
      </w:r>
    </w:p>
    <w:p>
      <w:pPr>
        <w:spacing w:after="0" w:line="223" w:lineRule="exact"/>
        <w:rPr>
          <w:sz w:val="20"/>
          <w:szCs w:val="20"/>
          <w:color w:val="auto"/>
        </w:rPr>
      </w:pPr>
    </w:p>
    <w:p>
      <w:pPr>
        <w:ind w:left="1840" w:hanging="335"/>
        <w:spacing w:after="0"/>
        <w:tabs>
          <w:tab w:leader="none" w:pos="1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Shared Incremental Amount, </w:t>
      </w:r>
      <w:r>
        <w:rPr>
          <w:rFonts w:ascii="Arial" w:cs="Arial" w:eastAsia="Arial" w:hAnsi="Arial"/>
          <w:sz w:val="18"/>
          <w:szCs w:val="18"/>
          <w:u w:val="single" w:color="auto"/>
          <w:color w:val="auto"/>
        </w:rPr>
        <w:t>plus</w:t>
      </w:r>
    </w:p>
    <w:p>
      <w:pPr>
        <w:spacing w:after="0" w:line="222" w:lineRule="exact"/>
        <w:rPr>
          <w:rFonts w:ascii="Arial" w:cs="Arial" w:eastAsia="Arial" w:hAnsi="Arial"/>
          <w:sz w:val="18"/>
          <w:szCs w:val="18"/>
          <w:color w:val="auto"/>
        </w:rPr>
      </w:pPr>
    </w:p>
    <w:p>
      <w:pPr>
        <w:jc w:val="both"/>
        <w:ind w:left="760" w:firstLine="745"/>
        <w:spacing w:after="0" w:line="262" w:lineRule="auto"/>
        <w:tabs>
          <w:tab w:leader="none" w:pos="18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that effectively extends the Maturity Date with respect to any Class of Loans and/or Commitments hereunder, an amount equal to the portion of the relevant Class of Loans or Commitments that will be replaced by such Incremental Facility,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ind w:left="760" w:firstLine="745"/>
        <w:spacing w:after="0" w:line="275" w:lineRule="auto"/>
        <w:tabs>
          <w:tab w:leader="none" w:pos="18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that effectively replaces any Revolving Credit Commitment terminated in accordance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hereof, an amount equal to the relevant terminated Revolving Credit Commitment,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760" w:firstLine="745"/>
        <w:spacing w:after="0" w:line="269" w:lineRule="auto"/>
        <w:tabs>
          <w:tab w:leader="none" w:pos="1848"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 the amount of any optional prepayment of any Loan in accordance with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and/or the amount of any permanent reduction of any Revolving Credit Commitment and/or the amount of any permanent prepayment of Incremental Equivalent Debt, (ii) the amount of any optional prepayment, redemption, repurchase or other retirement of any Replacement Term Loans or Loans under the Replacement Revolving Facility (to the extent accompanied by a permanent reduction in commitments) or Replacement Notes previously applied to the permanent prepayment of any Loans hereunder, so long as such prepayment was not previously included in </w:t>
      </w:r>
      <w:r>
        <w:rPr>
          <w:rFonts w:ascii="Arial" w:cs="Arial" w:eastAsia="Arial" w:hAnsi="Arial"/>
          <w:sz w:val="17"/>
          <w:szCs w:val="17"/>
          <w:u w:val="single" w:color="auto"/>
          <w:color w:val="auto"/>
        </w:rPr>
        <w:t>clause (d)(i)</w:t>
      </w:r>
      <w:r>
        <w:rPr>
          <w:rFonts w:ascii="Arial" w:cs="Arial" w:eastAsia="Arial" w:hAnsi="Arial"/>
          <w:sz w:val="17"/>
          <w:szCs w:val="17"/>
          <w:color w:val="auto"/>
        </w:rPr>
        <w:t xml:space="preserve"> above, and (iii) the face amount of any reduction in the outstanding amount of any Term Loan resulting from any assignment of such Term Loan to (and/or assignment and/or purchase of such Term Loan by) Holdings, the Borrower and/or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the relevant optional prepayment, redemption, repurchase, retirement or assignment and/or purchase was not funded with the proceeds of any long-term Indebtedness (other than revolving Indebtedness), </w:t>
      </w:r>
      <w:r>
        <w:rPr>
          <w:rFonts w:ascii="Arial" w:cs="Arial" w:eastAsia="Arial" w:hAnsi="Arial"/>
          <w:sz w:val="17"/>
          <w:szCs w:val="17"/>
          <w:u w:val="single" w:color="auto"/>
          <w:color w:val="auto"/>
        </w:rPr>
        <w:t>plus</w:t>
      </w:r>
    </w:p>
    <w:p>
      <w:pPr>
        <w:spacing w:after="0" w:line="178" w:lineRule="exact"/>
        <w:rPr>
          <w:rFonts w:ascii="Arial" w:cs="Arial" w:eastAsia="Arial" w:hAnsi="Arial"/>
          <w:sz w:val="17"/>
          <w:szCs w:val="17"/>
          <w:color w:val="auto"/>
        </w:rPr>
      </w:pPr>
    </w:p>
    <w:p>
      <w:pPr>
        <w:jc w:val="both"/>
        <w:ind w:left="760" w:firstLine="745"/>
        <w:spacing w:after="0" w:line="287" w:lineRule="auto"/>
        <w:tabs>
          <w:tab w:leader="none" w:pos="1851"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an unlimited amount so long as, in the case of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after giving effect to the relevant Incremental Facility, (i) if such Incremental Facility is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 securing the Secured Obligations that are secured on a first lien basis, the First Lien Leverage Ratio does not exceed (A) 3.65:1.00 or (B) if such Incremental Facility is incurred in connection with any Permitted Acquisition or other Investment not prohibited by the Loan Documents, the greater of (1) 3.65:1.00 and (2) the First Lien Leverage Ratio as of the last day of the then most recently ended Fiscal Quarter, (ii) if such Incremental Facility is secured by a Lien on the Collateral that is junior to the Lien securing the Secured Obligations that are secured on a first lien basis, either (at the election of the Borrower) (A) the Secured Leverage Ratio does not exceed (1) 4.65:1.00 or (2) if such Incremental Facility is incurred in connection with any Permitted Acquisition or other Investment not prohibited by the Loan Documents, the greater of (x) 4.65:1.00 and (y) the Secured Leverage Ratio as of the last day of the most recently ended Fiscal Quarter or (B) the Interest Coverage Ratio is not less than (1) 2.00:1.00 or (2) if such Incremental Facility is incurred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1" w:name="page92"/>
    <w:bookmarkEnd w:id="91"/>
    <w:p>
      <w:pPr>
        <w:jc w:val="both"/>
        <w:ind w:left="760"/>
        <w:spacing w:after="0" w:line="286" w:lineRule="auto"/>
        <w:rPr>
          <w:sz w:val="20"/>
          <w:szCs w:val="20"/>
          <w:color w:val="auto"/>
        </w:rPr>
      </w:pPr>
      <w:r>
        <w:rPr>
          <w:rFonts w:ascii="Arial" w:cs="Arial" w:eastAsia="Arial" w:hAnsi="Arial"/>
          <w:sz w:val="16"/>
          <w:szCs w:val="16"/>
          <w:color w:val="auto"/>
        </w:rPr>
        <w:t xml:space="preserve">consummate a Permitted Acquisition or other Investment not prohibited by the Loan Documents, the lesser of (x) 2.00:1.00 and (y) the Interest Coverage Ratio as of the last day of the most recently ended Fiscal Quarter or (iii) if such Incremental Facility is unsecured, either (at the election of the Borrower) (A) the Total Leverage Ratio does not exceed (1) 5.15:1.00 or (2) if such Incremental Facility is incurred to consummate a Permitted Acquisition or other Investment not prohibited by the Loan Documents, the greater of (x) 5.15:1.00 and (y) the Total Leverage Ratio as of the last day of the most recently ended Fiscal Quarter or (B) the Interest Coverage Ratio is not less than (1) 2.00:1.00 or (2) if such Incremental Facility is incurred to consummate a Permitted Acquisition or other Investment not prohibited by the Loan Documents, the lesser of (x) 2.00:1.00 and (y) the Interest Coverage Ratio as of the last day of the most recently ended Fiscal Quarter, in each case described in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calculated on a Pro Forma Basis including all pro forma adjustments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including the application of the proceeds thereof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without “netting” the cash proceeds of the applicable Incremental Facility or any concurrent incurrence of Indebtedness on the consolidated balance sheet of the Borrower), and in the case of any Incremental Revolving Facility then being incurred or established, assuming a full drawing of such Incremental Revolving Facility;</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3" w:lineRule="exact"/>
        <w:rPr>
          <w:sz w:val="20"/>
          <w:szCs w:val="20"/>
          <w:color w:val="auto"/>
        </w:rPr>
      </w:pPr>
    </w:p>
    <w:p>
      <w:pPr>
        <w:ind w:left="760" w:firstLine="1045"/>
        <w:spacing w:after="0" w:line="275" w:lineRule="auto"/>
        <w:tabs>
          <w:tab w:leader="none" w:pos="20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Incremental Facilities and Incremental Equivalent Debt may be incurred under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definition as selected by the Borrower in its sole discretion,</w:t>
      </w:r>
    </w:p>
    <w:p>
      <w:pPr>
        <w:spacing w:after="0" w:line="171" w:lineRule="exact"/>
        <w:rPr>
          <w:sz w:val="20"/>
          <w:szCs w:val="20"/>
          <w:color w:val="auto"/>
        </w:rPr>
      </w:pPr>
    </w:p>
    <w:p>
      <w:pPr>
        <w:jc w:val="both"/>
        <w:ind w:left="760" w:firstLine="1048"/>
        <w:spacing w:after="0" w:line="270" w:lineRule="auto"/>
        <w:rPr>
          <w:sz w:val="20"/>
          <w:szCs w:val="20"/>
          <w:color w:val="auto"/>
        </w:rPr>
      </w:pPr>
      <w:r>
        <w:rPr>
          <w:rFonts w:ascii="Arial" w:cs="Arial" w:eastAsia="Arial" w:hAnsi="Arial"/>
          <w:sz w:val="17"/>
          <w:szCs w:val="17"/>
          <w:color w:val="auto"/>
        </w:rPr>
        <w:t xml:space="preserve">(ii)if Incremental Facilities or Incremental Equivalent Debt are intended to be incurred under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this definition and any other clause of this definition in a single transaction or series of related transaction, (A) incurrence of the portion of such Incremental Facilities or Incremental Equivalent Debt to be incurred under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this definition shall first be calculated without giving effect to any Incremental Facilities or Incremental Equivalent Debt to be incurred under all other clauses of this definition (other than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but giving full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the use of proceeds of the entire amount of all such Incremental Facilities or Incremental Equivalent Debt and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(B) thereafter, incurrence of the portion of such Incremental Facilities or Incremental Equivalent Debt to be incurred under such other applicable clauses of this definition shall be calculated,</w:t>
      </w:r>
    </w:p>
    <w:p>
      <w:pPr>
        <w:spacing w:after="0" w:line="181" w:lineRule="exact"/>
        <w:rPr>
          <w:sz w:val="20"/>
          <w:szCs w:val="20"/>
          <w:color w:val="auto"/>
        </w:rPr>
      </w:pPr>
    </w:p>
    <w:p>
      <w:pPr>
        <w:jc w:val="both"/>
        <w:ind w:left="760" w:firstLine="1048"/>
        <w:spacing w:after="0" w:line="252" w:lineRule="auto"/>
        <w:rPr>
          <w:sz w:val="20"/>
          <w:szCs w:val="20"/>
          <w:color w:val="auto"/>
        </w:rPr>
      </w:pPr>
      <w:r>
        <w:rPr>
          <w:rFonts w:ascii="Arial" w:cs="Arial" w:eastAsia="Arial" w:hAnsi="Arial"/>
          <w:sz w:val="18"/>
          <w:szCs w:val="18"/>
          <w:color w:val="auto"/>
        </w:rPr>
        <w:t xml:space="preserve">(iii)any portion of Incremental Facilities or Incremental Equivalent Debt incurred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definition may be reclassified, as the Borrower elects from time to time, as incurred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definition if such portion of Incremental Facilities or Incremental Equivalent Debt could at such time be incurred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definition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Borrower fails to make such reclassification, upon delivery of any financial statements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following the initial incurrence of such Incremental Facilities or Incremental Equivalent Debt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definition, if such Incremental Facilities or Incremental Equivalent Debt could, based on the figures reflected in such financial statements, have been incurred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definition, then such Incremental Facilities or Incremental Equivalent Debt shall automatically be reclassified as incurred under the applicable provision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Once such Incremental Facilities or Incremental Equivalent Debt is reclassified in accordance with the preceding sentence, it shall not further be reclassified as incurred under the original basket pursuant to which such item was originally incurred; and</w:t>
      </w:r>
    </w:p>
    <w:p>
      <w:pPr>
        <w:spacing w:after="0" w:line="192"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(iv)incurrence of any Incremental Facilities or Incremental Equivalent Debt to be incurred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this definition in a single transaction or series of related transactions shall be calculated without giving effect to any Revolving Loans incurred in connection with such transaction or series of related transactions.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means any commitment made by a lender to provide all or any portion of any Incremental Facility or Incremental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08" w:lineRule="exact"/>
        <w:rPr>
          <w:sz w:val="20"/>
          <w:szCs w:val="20"/>
          <w:color w:val="auto"/>
        </w:rPr>
      </w:pPr>
    </w:p>
    <w:p>
      <w:pPr>
        <w:ind w:firstLine="74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means Indebtedness in the form of senior secured, junior secured, unsecured or subordinated notes or loans and/or commitments in respect of any of the foregoing issued, incurred or implemented in lieu of loans under an Incremental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2" w:name="page93"/>
    <w:bookmarkEnd w:id="92"/>
    <w:p>
      <w:pPr>
        <w:ind w:left="-360" w:firstLine="745"/>
        <w:spacing w:after="0" w:line="275" w:lineRule="auto"/>
        <w:tabs>
          <w:tab w:leader="none" w:pos="7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outstanding principal amount thereof shall not exceed the Incremental Cap (as in effect at the time of determination, including giving effect to any reclassification on or prior to such date of determination),</w:t>
      </w:r>
    </w:p>
    <w:p>
      <w:pPr>
        <w:spacing w:after="0" w:line="170" w:lineRule="exact"/>
        <w:rPr>
          <w:rFonts w:ascii="Arial" w:cs="Arial" w:eastAsia="Arial" w:hAnsi="Arial"/>
          <w:sz w:val="18"/>
          <w:szCs w:val="18"/>
          <w:color w:val="auto"/>
        </w:rPr>
      </w:pPr>
    </w:p>
    <w:p>
      <w:pPr>
        <w:ind w:left="-360" w:firstLine="745"/>
        <w:spacing w:after="0" w:line="275"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as otherwise agreed by the lenders or holders providing such Incremental Equivalent Debt, no Event of Default exists immediately prior to or after giving effect to such notes or loans,</w:t>
      </w:r>
    </w:p>
    <w:p>
      <w:pPr>
        <w:spacing w:after="0" w:line="170" w:lineRule="exact"/>
        <w:rPr>
          <w:rFonts w:ascii="Arial" w:cs="Arial" w:eastAsia="Arial" w:hAnsi="Arial"/>
          <w:sz w:val="18"/>
          <w:szCs w:val="18"/>
          <w:color w:val="auto"/>
        </w:rPr>
      </w:pPr>
    </w:p>
    <w:p>
      <w:pPr>
        <w:jc w:val="both"/>
        <w:ind w:left="-360" w:firstLine="745"/>
        <w:spacing w:after="0" w:line="295" w:lineRule="auto"/>
        <w:tabs>
          <w:tab w:leader="none" w:pos="81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subject to the Permitted Earlier Maturity Indebtedness Exception, the Weighted Average Life to Maturity applicable to such Incremental Equivalent Debt (other than customary bridge loans with a maturity date not longer than one year that are exchangeable or convertible into, or are intended to be refinanced, with other debt instruments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6"/>
          <w:szCs w:val="16"/>
          <w:u w:val="single" w:color="auto"/>
          <w:color w:val="auto"/>
        </w:rPr>
        <w:t>clause (c)</w:t>
      </w:r>
      <w:r>
        <w:rPr>
          <w:rFonts w:ascii="Arial" w:cs="Arial" w:eastAsia="Arial" w:hAnsi="Arial"/>
          <w:sz w:val="16"/>
          <w:szCs w:val="16"/>
          <w:color w:val="auto"/>
        </w:rPr>
        <w:t>) is no shorter than the Weighted Average Life to Maturity of the then-existing Term Loans (without giving effect to any prepayments thereof),</w:t>
      </w:r>
    </w:p>
    <w:p>
      <w:pPr>
        <w:spacing w:after="0" w:line="159" w:lineRule="exact"/>
        <w:rPr>
          <w:rFonts w:ascii="Arial" w:cs="Arial" w:eastAsia="Arial" w:hAnsi="Arial"/>
          <w:sz w:val="16"/>
          <w:szCs w:val="16"/>
          <w:color w:val="auto"/>
        </w:rPr>
      </w:pPr>
    </w:p>
    <w:p>
      <w:pPr>
        <w:jc w:val="both"/>
        <w:ind w:left="-360" w:firstLine="745"/>
        <w:spacing w:after="0" w:line="255"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subject to the Permitted Earlier Maturity Indebtedness Exception, the final maturity date with respect to such notes or loans (other than customary bridge loans with a maturity date not longer than one year that are exchangeable or convertible into, or are intended to be refinanced, with other debt instruments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8"/>
          <w:szCs w:val="18"/>
          <w:u w:val="single" w:color="auto"/>
          <w:color w:val="auto"/>
        </w:rPr>
        <w:t>clause (d)</w:t>
      </w:r>
      <w:r>
        <w:rPr>
          <w:rFonts w:ascii="Arial" w:cs="Arial" w:eastAsia="Arial" w:hAnsi="Arial"/>
          <w:sz w:val="18"/>
          <w:szCs w:val="18"/>
          <w:color w:val="auto"/>
        </w:rPr>
        <w:t>) is no earlier than the Latest Term Loan Maturity Date on the date of the issuance or incurrence, as applicable, thereof,</w:t>
      </w:r>
    </w:p>
    <w:p>
      <w:pPr>
        <w:spacing w:after="0" w:line="190" w:lineRule="exact"/>
        <w:rPr>
          <w:rFonts w:ascii="Arial" w:cs="Arial" w:eastAsia="Arial" w:hAnsi="Arial"/>
          <w:sz w:val="18"/>
          <w:szCs w:val="18"/>
          <w:color w:val="auto"/>
        </w:rPr>
      </w:pPr>
    </w:p>
    <w:p>
      <w:pPr>
        <w:ind w:left="-360" w:firstLine="745"/>
        <w:spacing w:after="0" w:line="275" w:lineRule="auto"/>
        <w:tabs>
          <w:tab w:leader="none" w:pos="7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may otherwise have an amortization schedule as determined by the Borrower and the lenders providing such Incremental Equivalent Debt,</w:t>
      </w:r>
    </w:p>
    <w:p>
      <w:pPr>
        <w:spacing w:after="0" w:line="170" w:lineRule="exact"/>
        <w:rPr>
          <w:rFonts w:ascii="Arial" w:cs="Arial" w:eastAsia="Arial" w:hAnsi="Arial"/>
          <w:sz w:val="18"/>
          <w:szCs w:val="18"/>
          <w:color w:val="auto"/>
        </w:rPr>
      </w:pPr>
    </w:p>
    <w:p>
      <w:pPr>
        <w:jc w:val="both"/>
        <w:ind w:left="-360" w:firstLine="745"/>
        <w:spacing w:after="0" w:line="274" w:lineRule="auto"/>
        <w:tabs>
          <w:tab w:leader="none" w:pos="726"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in the case of Indebtedness in the form of secured term loans (other than customary bridge loans with a maturity date not longer than one year that are exchangeable or convertible into, or are intended to be refinanced, with other debt instruments permitted hereunder) that are secured by a Lien on the Collateral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 on the Collateral securing the Secured Obligations that are secured on a first lien basis, the MFN Protection (but subject to the MFN Trigger Amount exception and all other exceptions and qualifications of the MFN Protection) shall apply to such Indebtedness as if such Indebtedness were an Incremental Term Loan,</w:t>
      </w:r>
    </w:p>
    <w:p>
      <w:pPr>
        <w:spacing w:after="0" w:line="174" w:lineRule="exact"/>
        <w:rPr>
          <w:rFonts w:ascii="Arial" w:cs="Arial" w:eastAsia="Arial" w:hAnsi="Arial"/>
          <w:sz w:val="17"/>
          <w:szCs w:val="17"/>
          <w:color w:val="auto"/>
        </w:rPr>
      </w:pPr>
    </w:p>
    <w:p>
      <w:pPr>
        <w:ind w:left="720" w:hanging="335"/>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jc w:val="both"/>
        <w:ind w:left="-360" w:firstLine="745"/>
        <w:spacing w:after="0" w:line="284" w:lineRule="auto"/>
        <w:tabs>
          <w:tab w:leader="none" w:pos="732"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such Incremental Equivalent Debt is (a) secured by a Lien on the Collateral, then such Incremental Equivalent Debt shall be subject to an Acceptable Intercreditor Agreement or (b) unsecured and subordinated to the Obligations, then such Incremental Equivalent Debt shall be subject to a subordination agreement or subordination provision reasonably acceptable to the Borrower,</w:t>
      </w:r>
    </w:p>
    <w:p>
      <w:pPr>
        <w:spacing w:after="0" w:line="166" w:lineRule="exact"/>
        <w:rPr>
          <w:rFonts w:ascii="Arial" w:cs="Arial" w:eastAsia="Arial" w:hAnsi="Arial"/>
          <w:sz w:val="17"/>
          <w:szCs w:val="17"/>
          <w:color w:val="auto"/>
        </w:rPr>
      </w:pPr>
    </w:p>
    <w:p>
      <w:pPr>
        <w:ind w:left="-360" w:firstLine="745"/>
        <w:spacing w:after="0" w:line="275" w:lineRule="auto"/>
        <w:tabs>
          <w:tab w:leader="none" w:pos="72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such Indebtedness may be (x) guaranteed by any Subsidiary of the Borrower which is not a Loan Party or (y) secured by any assets other than the Collateral, and</w:t>
      </w:r>
    </w:p>
    <w:p>
      <w:pPr>
        <w:spacing w:after="0" w:line="170" w:lineRule="exact"/>
        <w:rPr>
          <w:rFonts w:ascii="Arial" w:cs="Arial" w:eastAsia="Arial" w:hAnsi="Arial"/>
          <w:sz w:val="18"/>
          <w:szCs w:val="18"/>
          <w:color w:val="auto"/>
        </w:rPr>
      </w:pPr>
    </w:p>
    <w:p>
      <w:pPr>
        <w:jc w:val="both"/>
        <w:ind w:left="-360" w:firstLine="745"/>
        <w:spacing w:after="0" w:line="287" w:lineRule="auto"/>
        <w:tabs>
          <w:tab w:leader="none" w:pos="73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as otherwise permitted herein (including with respect to pricing, fees, rate floors and optional prepayment or redemption terms), the terms of any Incremental Equivalent Debt, if not substantially consistent with or (taken as a whole) no more favorable (as reasonably determined by the Borrower) to the lenders or holders providing such Incremental Equivalent Debt than those applicable to the Initial Term Loans, must be reasonably acceptable to the Administrative Agent (it being agreed that (x) any terms which are applicable only after the then-existing Latest Term Loan Maturity Date, (y) terms applicable to such Incremental Equivalent Debt that are more favorable to the lenders or the agent of such Incremental Equivalent Debt than those contained in the Loan Documents and are then conformed (or added) to the Loan Documents for the benefit of the Lenders or, as applicable, the Administrative Agent (i.e., by conforming or adding a term to the then-outstanding Term Loans pursuant to an amendment and (z) any market terms and conditions for such Incremental Equivalent Debt at the time of the issuance of such Incremental Equivalent Debt) shall be deemed satisfactory to the Administrative Agent).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93" w:name="page94"/>
    <w:bookmarkEnd w:id="93"/>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means an amendment to this Agreement that is reasonably satisfactory to the Administrative Agent (solely for purposes of giving effect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the Borrower executed by each of (a) Holdings and the Borrower, (b) the Administrative Agent and (c) each Lender that agrees to provide all or any portion of the Incremental Facility being incurred pursuant thereto and in accordance with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Commitment</w:t>
      </w:r>
      <w:r>
        <w:rPr>
          <w:rFonts w:ascii="Arial" w:cs="Arial" w:eastAsia="Arial" w:hAnsi="Arial"/>
          <w:sz w:val="18"/>
          <w:szCs w:val="18"/>
          <w:color w:val="auto"/>
        </w:rPr>
        <w:t>” means any commitment made by a lender to provide all or any portion of any Incremental Revolving Facility.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 Lender</w:t>
      </w:r>
      <w:r>
        <w:rPr>
          <w:rFonts w:ascii="Arial" w:cs="Arial" w:eastAsia="Arial" w:hAnsi="Arial"/>
          <w:sz w:val="18"/>
          <w:szCs w:val="18"/>
          <w:color w:val="auto"/>
        </w:rPr>
        <w:t>” means, with respect to any Incremental Revolving Facility, each Revolving Lender providing any portion of such Incremental Revolving Facility.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Incurrence-Based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1.10(c)</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applied to any Person means, without duplication:</w:t>
      </w:r>
    </w:p>
    <w:p>
      <w:pPr>
        <w:spacing w:after="0" w:line="223" w:lineRule="exact"/>
        <w:rPr>
          <w:sz w:val="20"/>
          <w:szCs w:val="20"/>
          <w:color w:val="auto"/>
        </w:rPr>
      </w:pPr>
    </w:p>
    <w:p>
      <w:pPr>
        <w:ind w:left="1840" w:hanging="335"/>
        <w:spacing w:after="0"/>
        <w:tabs>
          <w:tab w:leader="none" w:pos="1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indebtedness for borrowed money;</w:t>
      </w:r>
    </w:p>
    <w:p>
      <w:pPr>
        <w:spacing w:after="0" w:line="222" w:lineRule="exact"/>
        <w:rPr>
          <w:rFonts w:ascii="Arial" w:cs="Arial" w:eastAsia="Arial" w:hAnsi="Arial"/>
          <w:sz w:val="18"/>
          <w:szCs w:val="18"/>
          <w:color w:val="auto"/>
        </w:rPr>
      </w:pPr>
    </w:p>
    <w:p>
      <w:pPr>
        <w:ind w:left="760" w:firstLine="745"/>
        <w:spacing w:after="0" w:line="275" w:lineRule="auto"/>
        <w:tabs>
          <w:tab w:leader="none" w:pos="18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portion of obligations with respect to Capital Leases to the extent recorded as a liability on a balance sheet (excluding the footnotes thereto) of such Person prepared in accordance with GAAP;</w:t>
      </w:r>
    </w:p>
    <w:p>
      <w:pPr>
        <w:spacing w:after="0" w:line="170" w:lineRule="exact"/>
        <w:rPr>
          <w:rFonts w:ascii="Arial" w:cs="Arial" w:eastAsia="Arial" w:hAnsi="Arial"/>
          <w:sz w:val="18"/>
          <w:szCs w:val="18"/>
          <w:color w:val="auto"/>
        </w:rPr>
      </w:pPr>
    </w:p>
    <w:p>
      <w:pPr>
        <w:ind w:left="760" w:firstLine="745"/>
        <w:spacing w:after="0" w:line="275" w:lineRule="auto"/>
        <w:tabs>
          <w:tab w:leader="none" w:pos="18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170" w:lineRule="exact"/>
        <w:rPr>
          <w:rFonts w:ascii="Arial" w:cs="Arial" w:eastAsia="Arial" w:hAnsi="Arial"/>
          <w:sz w:val="18"/>
          <w:szCs w:val="18"/>
          <w:color w:val="auto"/>
        </w:rPr>
      </w:pPr>
    </w:p>
    <w:p>
      <w:pPr>
        <w:jc w:val="both"/>
        <w:ind w:left="760" w:firstLine="745"/>
        <w:spacing w:after="0" w:line="292" w:lineRule="auto"/>
        <w:tabs>
          <w:tab w:leader="none" w:pos="18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obligation owed for all or any part of the deferred purchase price of property or services (excluding (i) any earn 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obligations incurred under ERISA, (iii) accrued expenses and trade accounts payable in the ordinary course of business (including on an inter-company basis) and (iv) liabilities associated with customer prepayments and deposits), which purchase price is (A) due more than six months from the date of incurrence of the obligation in respect thereof or (B) evidenced by a note or similar written instrument;</w:t>
      </w:r>
    </w:p>
    <w:p>
      <w:pPr>
        <w:spacing w:after="0" w:line="161" w:lineRule="exact"/>
        <w:rPr>
          <w:rFonts w:ascii="Arial" w:cs="Arial" w:eastAsia="Arial" w:hAnsi="Arial"/>
          <w:sz w:val="16"/>
          <w:szCs w:val="16"/>
          <w:color w:val="auto"/>
        </w:rPr>
      </w:pPr>
    </w:p>
    <w:p>
      <w:pPr>
        <w:ind w:left="760" w:firstLine="745"/>
        <w:spacing w:after="0" w:line="275" w:lineRule="auto"/>
        <w:tabs>
          <w:tab w:leader="none" w:pos="184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Indebtedness of others secured by any Lien on any asset owned or held by such Person regardless of whether the Indebtedness secured thereby have been assumed by such Person or is non-recourse to the credit of such Person;</w:t>
      </w:r>
    </w:p>
    <w:p>
      <w:pPr>
        <w:spacing w:after="0" w:line="170" w:lineRule="exact"/>
        <w:rPr>
          <w:rFonts w:ascii="Arial" w:cs="Arial" w:eastAsia="Arial" w:hAnsi="Arial"/>
          <w:sz w:val="18"/>
          <w:szCs w:val="18"/>
          <w:color w:val="auto"/>
        </w:rPr>
      </w:pPr>
    </w:p>
    <w:p>
      <w:pPr>
        <w:ind w:left="760" w:firstLine="745"/>
        <w:spacing w:after="0" w:line="275" w:lineRule="auto"/>
        <w:tabs>
          <w:tab w:leader="none" w:pos="18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face amount of any letter of credit issued for the account of such Person or as to which such Person is otherwise liable for reimbursement of drawings;</w:t>
      </w:r>
    </w:p>
    <w:p>
      <w:pPr>
        <w:spacing w:after="0" w:line="170" w:lineRule="exact"/>
        <w:rPr>
          <w:rFonts w:ascii="Arial" w:cs="Arial" w:eastAsia="Arial" w:hAnsi="Arial"/>
          <w:sz w:val="18"/>
          <w:szCs w:val="18"/>
          <w:color w:val="auto"/>
        </w:rPr>
      </w:pPr>
    </w:p>
    <w:p>
      <w:pPr>
        <w:ind w:left="1840" w:hanging="335"/>
        <w:spacing w:after="0"/>
        <w:tabs>
          <w:tab w:leader="none" w:pos="1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Guarantee by such Person of the Indebtedness of another;</w:t>
      </w:r>
    </w:p>
    <w:p>
      <w:pPr>
        <w:spacing w:after="0" w:line="222" w:lineRule="exact"/>
        <w:rPr>
          <w:rFonts w:ascii="Arial" w:cs="Arial" w:eastAsia="Arial" w:hAnsi="Arial"/>
          <w:sz w:val="18"/>
          <w:szCs w:val="18"/>
          <w:color w:val="auto"/>
        </w:rPr>
      </w:pPr>
    </w:p>
    <w:p>
      <w:pPr>
        <w:ind w:left="1840" w:hanging="335"/>
        <w:spacing w:after="0"/>
        <w:tabs>
          <w:tab w:leader="none" w:pos="1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obligations of such Person in respect of any Disqualified Capital Stock;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4" w:name="page95"/>
    <w:bookmarkEnd w:id="94"/>
    <w:p>
      <w:pPr>
        <w:ind w:left="760" w:firstLine="745"/>
        <w:spacing w:after="0" w:line="275" w:lineRule="auto"/>
        <w:tabs>
          <w:tab w:leader="none" w:pos="18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net obligations of such Person in respect of any Derivative Transaction, including any Hedge Agreement, whether or not entered into for hedging or speculative purposes;</w:t>
      </w:r>
    </w:p>
    <w:p>
      <w:pPr>
        <w:spacing w:after="0" w:line="17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 no event shall obligations under any Derivative Transaction be deemed “Indebtedness” for any calculation of the Total Leverage Ratio, the First Lien Leverage Ratio, the Secured Leverage Ratio, the Interest Coverage Ratio or any other financial ratio under this Agreement, (ii) the amount of Indebtedness of any Person for purposes of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shall be deemed to be equal to the lesser of (A) the aggregate unpaid amount of such Indebtedness and</w:t>
      </w:r>
    </w:p>
    <w:p>
      <w:pPr>
        <w:spacing w:after="0" w:line="2" w:lineRule="exact"/>
        <w:rPr>
          <w:sz w:val="20"/>
          <w:szCs w:val="20"/>
          <w:color w:val="auto"/>
        </w:rPr>
      </w:pPr>
    </w:p>
    <w:p>
      <w:pPr>
        <w:jc w:val="both"/>
        <w:ind w:firstLine="7"/>
        <w:spacing w:after="0" w:line="252" w:lineRule="auto"/>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fair market value of the property encumbered thereby as determined by such Person in good faith and (iii) Indebtedness of the Borrower and its Restricted Subsidiaries shall exclude intercompany Indebtedness so long as such intercompany Indebtedness (A) has a term not exceeding 364 days (inclusive of any roll-over or extensions of terms) and (B) of any Loan Party owed to any Restricted Subsidiary that is not a Loan Party is unsecured and subordinated to the Obligations.</w:t>
      </w:r>
    </w:p>
    <w:p>
      <w:pPr>
        <w:spacing w:after="0" w:line="191"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is not liable therefor and (B) only to the extent the relevant Indebtedness is of the type that would be included in the calculation of Consolidated Total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or Other Taxes, imposed on or with respect to any payment made by or on account of any obligation of any Loan Party under any Loan Document.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3.11(a)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Memorandum</w:t>
      </w:r>
      <w:r>
        <w:rPr>
          <w:rFonts w:ascii="Arial" w:cs="Arial" w:eastAsia="Arial" w:hAnsi="Arial"/>
          <w:sz w:val="18"/>
          <w:szCs w:val="18"/>
          <w:color w:val="auto"/>
        </w:rPr>
        <w:t>” means the Lender Presentation dated September 2021 relating to the Borrower and its subsidiaries and the Transactions.</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Lenders</w:t>
      </w:r>
      <w:r>
        <w:rPr>
          <w:rFonts w:ascii="Arial" w:cs="Arial" w:eastAsia="Arial" w:hAnsi="Arial"/>
          <w:sz w:val="18"/>
          <w:szCs w:val="18"/>
          <w:color w:val="auto"/>
        </w:rPr>
        <w:t>” means the Arrangers, the Affiliates of the Arrangers and the other financial institutions that are party to this Agreement as Lenders on the Closing Date.</w:t>
      </w:r>
    </w:p>
    <w:p>
      <w:pPr>
        <w:spacing w:after="0" w:line="17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Commitment</w:t>
      </w:r>
      <w:r>
        <w:rPr>
          <w:rFonts w:ascii="Arial" w:cs="Arial" w:eastAsia="Arial" w:hAnsi="Arial"/>
          <w:sz w:val="18"/>
          <w:szCs w:val="18"/>
          <w:color w:val="auto"/>
        </w:rPr>
        <w:t xml:space="preserve">” means, with respect to each Initial Revolving Lender, the commitment of such Initial Revolving Lender to make Initial Revolving Loans (and acquire participations in Letters of Credit) hereunder as set forth on the Commitment Schedule, or in the Assignment and Assumption pursuant to which such Initial Revolving Lender assumed its Initial Revolving Credit Commitment, as applicable, as the same may be (a) reduced from time to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(b) reduced or increased from time to time pursuant to assignments by or to such Lender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(c) increased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The aggregate amount of the Initial Revolving Credit Commitments as of the Closing Date is $250,000,000.</w:t>
      </w:r>
    </w:p>
    <w:p>
      <w:pPr>
        <w:spacing w:after="0" w:line="19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Exposure</w:t>
      </w:r>
      <w:r>
        <w:rPr>
          <w:rFonts w:ascii="Arial" w:cs="Arial" w:eastAsia="Arial" w:hAnsi="Arial"/>
          <w:sz w:val="18"/>
          <w:szCs w:val="18"/>
          <w:color w:val="auto"/>
        </w:rPr>
        <w:t xml:space="preserve">” means, with respect to any Lender at any time, the aggregate Outstanding Amount at such time of all Initial Revolving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at such time of such Lender’s LC Exposure and Swingline Exposure, in each case, attributable to its Initial Revolving Credit Commitment.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Maturity Date</w:t>
      </w:r>
      <w:r>
        <w:rPr>
          <w:rFonts w:ascii="Arial" w:cs="Arial" w:eastAsia="Arial" w:hAnsi="Arial"/>
          <w:sz w:val="18"/>
          <w:szCs w:val="18"/>
          <w:color w:val="auto"/>
        </w:rPr>
        <w:t>” means the date that is five years after the Closing Date.</w:t>
      </w:r>
    </w:p>
    <w:p>
      <w:pPr>
        <w:spacing w:after="0" w:line="22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Facility</w:t>
      </w:r>
      <w:r>
        <w:rPr>
          <w:rFonts w:ascii="Arial" w:cs="Arial" w:eastAsia="Arial" w:hAnsi="Arial"/>
          <w:sz w:val="18"/>
          <w:szCs w:val="18"/>
          <w:color w:val="auto"/>
        </w:rPr>
        <w:t>” means the Initial Revolving Credit Commitments and the Initial Revolving Loans and other extensions of credit thereunder.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Lender</w:t>
      </w:r>
      <w:r>
        <w:rPr>
          <w:rFonts w:ascii="Arial" w:cs="Arial" w:eastAsia="Arial" w:hAnsi="Arial"/>
          <w:sz w:val="18"/>
          <w:szCs w:val="18"/>
          <w:color w:val="auto"/>
        </w:rPr>
        <w:t>” means any Lender with an Initial Revolving Credit Commitment or any Initial Revolving Credit Exposure.</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Loans</w:t>
      </w:r>
      <w:r>
        <w:rPr>
          <w:rFonts w:ascii="Arial" w:cs="Arial" w:eastAsia="Arial" w:hAnsi="Arial"/>
          <w:sz w:val="17"/>
          <w:szCs w:val="17"/>
          <w:color w:val="auto"/>
        </w:rPr>
        <w:t xml:space="preserve">” means any revolving loans made by the Initial Revolving Lenders to the Borrower pursuant to </w:t>
      </w:r>
      <w:r>
        <w:rPr>
          <w:rFonts w:ascii="Arial" w:cs="Arial" w:eastAsia="Arial" w:hAnsi="Arial"/>
          <w:sz w:val="17"/>
          <w:szCs w:val="17"/>
          <w:u w:val="single" w:color="auto"/>
          <w:color w:val="auto"/>
        </w:rPr>
        <w:t>Section 2.01(a)(ii)</w:t>
      </w:r>
      <w:r>
        <w:rPr>
          <w:rFonts w:ascii="Arial" w:cs="Arial" w:eastAsia="Arial" w:hAnsi="Arial"/>
          <w:sz w:val="17"/>
          <w:szCs w:val="17"/>
          <w:color w:val="auto"/>
        </w:rPr>
        <w:t>.</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any Lender with an Initial Term Loan Commitment or an outstanding Initial Term Loan.</w:t>
      </w:r>
    </w:p>
    <w:p>
      <w:pPr>
        <w:spacing w:after="0" w:line="223"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Loan Commitment</w:t>
      </w:r>
      <w:r>
        <w:rPr>
          <w:rFonts w:ascii="Arial" w:cs="Arial" w:eastAsia="Arial" w:hAnsi="Arial"/>
          <w:sz w:val="16"/>
          <w:szCs w:val="16"/>
          <w:color w:val="auto"/>
        </w:rPr>
        <w:t>” means, with respect to each Term Lender, the commitment of such Term Lender to make Initial Term Loans hereunder in an aggregate amount not to exceed the amount set forth opposite such Term Lender’s name on the Commitment Schedule, as the same may be</w:t>
      </w:r>
    </w:p>
    <w:p>
      <w:pPr>
        <w:spacing w:after="0" w:line="1" w:lineRule="exact"/>
        <w:rPr>
          <w:sz w:val="20"/>
          <w:szCs w:val="20"/>
          <w:color w:val="auto"/>
        </w:rPr>
      </w:pPr>
    </w:p>
    <w:p>
      <w:pPr>
        <w:jc w:val="both"/>
        <w:ind w:firstLine="7"/>
        <w:spacing w:after="0" w:line="253" w:lineRule="auto"/>
        <w:tabs>
          <w:tab w:leader="none" w:pos="2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(b) reduced or increased from time to time pursuant to (i) assignments by or to such Term Lender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(ii) increased from time to time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The aggregate amount of the Term Lenders’ Initial Term Loan Commitments on the Closing Date is $800,000,000.</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Maturity Date</w:t>
      </w:r>
      <w:r>
        <w:rPr>
          <w:rFonts w:ascii="Arial" w:cs="Arial" w:eastAsia="Arial" w:hAnsi="Arial"/>
          <w:sz w:val="18"/>
          <w:szCs w:val="18"/>
          <w:color w:val="auto"/>
        </w:rPr>
        <w:t>” means the date that is seven years after the Closing Date.</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means the term loans made by the Initial Term Lenders to the Borrower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Documents.</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means any agreement executed on the Closing Date confirming or effecting the grant of any Lien on IP Rights owned by any Loan Party to the Administrative Agent, for the benefit of the Secured Parties, in accordance with this Agreement and the Security Agreement, including an Intellectual Property Security Agreement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hereto.</w:t>
      </w:r>
    </w:p>
    <w:p>
      <w:pPr>
        <w:spacing w:after="0" w:line="182"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Security Agreement Supplement</w:t>
      </w:r>
      <w:r>
        <w:rPr>
          <w:rFonts w:ascii="Arial" w:cs="Arial" w:eastAsia="Arial" w:hAnsi="Arial"/>
          <w:sz w:val="16"/>
          <w:szCs w:val="16"/>
          <w:color w:val="auto"/>
        </w:rPr>
        <w:t xml:space="preserve">” means any agreement executed after the Closing Date confirming or effecting the grant of any Lien on IP Rights owned by any Loan Party to the Administrative Agent, for the benefit of the Secured Parties, in accordance with this Agreement and the Security Agreement, including an Intellectual Property Security Agreement Supplement substantially in the form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hereto.</w:t>
      </w:r>
    </w:p>
    <w:p>
      <w:pPr>
        <w:spacing w:after="0" w:line="147" w:lineRule="exact"/>
        <w:rPr>
          <w:sz w:val="20"/>
          <w:szCs w:val="20"/>
          <w:color w:val="auto"/>
        </w:rPr>
      </w:pPr>
    </w:p>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means, as of any date of determination, the ratio of (a) Consolidated Adjusted EBITDA for the most recently ended Test Period to (b) Ratio Interest Expense for such Test Period, in each case of the Borrower and its Restricted Subsidiaries on a consolidated basis.</w:t>
      </w:r>
    </w:p>
    <w:p>
      <w:pPr>
        <w:spacing w:after="0" w:line="12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or another form reasonably acceptable to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with respect to any ABR Loan, the last Business Day of each March, June, September and December (commencing September 30, 2021) and the maturity date applicable to such Loan, (b) with respect to any LIBO Rate Loan, the last day of the Interest Period applicable to the Borrowing of which such Loan is a part and, in the case of a LIBO Rate Borrowing with an Interest Period of more than three months’ duration, each day that would have been an Interest Payment Date had successive Interest Periods of three months’ duration been applicable to such Borrowing </w:t>
      </w:r>
      <w:r>
        <w:rPr>
          <w:rFonts w:ascii="Arial" w:cs="Arial" w:eastAsia="Arial" w:hAnsi="Arial"/>
          <w:sz w:val="18"/>
          <w:szCs w:val="18"/>
          <w:color w:val="FF0000"/>
        </w:rPr>
        <w:t>and (c</w:t>
      </w:r>
      <w:r>
        <w:rPr>
          <w:rFonts w:ascii="Arial" w:cs="Arial" w:eastAsia="Arial" w:hAnsi="Arial"/>
          <w:sz w:val="18"/>
          <w:szCs w:val="18"/>
          <w:u w:val="single" w:color="auto"/>
          <w:color w:val="0000FF"/>
        </w:rPr>
        <w:t>, (c) as to any Term SOFR Loan, the last day of each Interest Period applicable to such Loan and the applicable maturity date set forth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Credit Agreement and (d</w:t>
      </w:r>
      <w:r>
        <w:rPr>
          <w:rFonts w:ascii="Arial" w:cs="Arial" w:eastAsia="Arial" w:hAnsi="Arial"/>
          <w:sz w:val="18"/>
          <w:szCs w:val="18"/>
          <w:color w:val="000000"/>
        </w:rPr>
        <w:t>) as to any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-219075</wp:posOffset>
            </wp:positionV>
            <wp:extent cx="3187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877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6" w:name="page97"/>
    <w:bookmarkEnd w:id="96"/>
    <w:p>
      <w:pPr>
        <w:jc w:val="both"/>
        <w:spacing w:after="0" w:line="305" w:lineRule="auto"/>
        <w:rPr>
          <w:sz w:val="20"/>
          <w:szCs w:val="20"/>
          <w:color w:val="auto"/>
        </w:rPr>
      </w:pPr>
      <w:r>
        <w:rPr>
          <w:rFonts w:ascii="Arial" w:cs="Arial" w:eastAsia="Arial" w:hAnsi="Arial"/>
          <w:sz w:val="17"/>
          <w:szCs w:val="17"/>
          <w:color w:val="auto"/>
        </w:rPr>
        <w:t>Loan, the last Business Day of each month and the Maturity Date</w:t>
      </w:r>
      <w:r>
        <w:rPr>
          <w:rFonts w:ascii="Arial" w:cs="Arial" w:eastAsia="Arial" w:hAnsi="Arial"/>
          <w:sz w:val="17"/>
          <w:szCs w:val="17"/>
          <w:u w:val="single" w:color="auto"/>
          <w:color w:val="0000FF"/>
        </w:rPr>
        <w:t>; provided, however, that if any Interest Period for a Term SOFR Loan exceeds three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months, the respective dates that fall every three months after the beginning of such Interest Period shall also be Interest Payment Dates</w:t>
      </w:r>
      <w:r>
        <w:rPr>
          <w:rFonts w:ascii="Arial" w:cs="Arial" w:eastAsia="Arial" w:hAnsi="Arial"/>
          <w:sz w:val="17"/>
          <w:szCs w:val="17"/>
          <w:color w:val="000000"/>
        </w:rPr>
        <w:t>.</w:t>
      </w:r>
    </w:p>
    <w:p>
      <w:pPr>
        <w:spacing w:after="0" w:line="14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LIBO Rate Borrowing, the period commencing on the date such Borrowing is disbursed or converted to or continued as a LIBO Rate Borrowing, as applicable, and ending on the numerically corresponding day in the calendar month that is less than one (at the Administrative Agent’s discretion), one, three or six months (or, to the extent available to all relevant affected Lenders, twelve months or a shorter period) thereafter, as the Borrower may elect</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(i</w:t>
      </w:r>
      <w:r>
        <w:rPr>
          <w:rFonts w:ascii="Arial" w:cs="Arial" w:eastAsia="Arial" w:hAnsi="Arial"/>
          <w:sz w:val="17"/>
          <w:szCs w:val="17"/>
          <w:u w:val="single" w:color="auto"/>
          <w:color w:val="0000FF"/>
        </w:rPr>
        <w:t>, and (b) Term SOFR Loan, the period commencing on the date such Term SOFR Loan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is disbursed or converted to or continued as a Term SOFR Loan and ending on the date one, three or six months thereafter, as selected by the Borrower in its Borrowing Request (in the case of each requested Interest Period, subject to availability); provided that:</w:t>
      </w:r>
    </w:p>
    <w:p>
      <w:pPr>
        <w:spacing w:after="0" w:line="176" w:lineRule="exact"/>
        <w:rPr>
          <w:sz w:val="20"/>
          <w:szCs w:val="20"/>
          <w:color w:val="auto"/>
        </w:rPr>
      </w:pPr>
    </w:p>
    <w:p>
      <w:pPr>
        <w:jc w:val="both"/>
        <w:ind w:firstLine="1095"/>
        <w:spacing w:after="0" w:line="262" w:lineRule="auto"/>
        <w:rPr>
          <w:sz w:val="20"/>
          <w:szCs w:val="20"/>
          <w:color w:val="auto"/>
        </w:rPr>
      </w:pPr>
      <w:r>
        <w:rPr>
          <w:rFonts w:ascii="Arial" w:cs="Arial" w:eastAsia="Arial" w:hAnsi="Arial"/>
          <w:sz w:val="18"/>
          <w:szCs w:val="18"/>
          <w:u w:val="single" w:color="auto"/>
          <w:color w:val="0000FF"/>
        </w:rPr>
        <w:t>(a</w:t>
      </w:r>
      <w:r>
        <w:rPr>
          <w:rFonts w:ascii="Arial" w:cs="Arial" w:eastAsia="Arial" w:hAnsi="Arial"/>
          <w:sz w:val="18"/>
          <w:szCs w:val="18"/>
          <w:color w:val="000000"/>
        </w:rPr>
        <w:t>) if any Interest Period would end on a day other than a Business Day, such Interest Period shall be extended to the next succeeding</w:t>
      </w:r>
      <w:r>
        <w:rPr>
          <w:rFonts w:ascii="Arial" w:cs="Arial" w:eastAsia="Arial" w:hAnsi="Arial"/>
          <w:sz w:val="18"/>
          <w:szCs w:val="18"/>
          <w:color w:val="0000FF"/>
        </w:rPr>
        <w:t xml:space="preserve"> </w:t>
      </w:r>
      <w:r>
        <w:rPr>
          <w:rFonts w:ascii="Arial" w:cs="Arial" w:eastAsia="Arial" w:hAnsi="Arial"/>
          <w:sz w:val="18"/>
          <w:szCs w:val="18"/>
          <w:color w:val="000000"/>
        </w:rPr>
        <w:t>Business Day unless such next succeeding Business Day would fall in the next calendar month, in which case such Interest Period shall end on the next preceding Business Day</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and</w:t>
      </w:r>
    </w:p>
    <w:p>
      <w:pPr>
        <w:spacing w:after="0" w:line="182" w:lineRule="exact"/>
        <w:rPr>
          <w:sz w:val="20"/>
          <w:szCs w:val="20"/>
          <w:color w:val="auto"/>
        </w:rPr>
      </w:pPr>
    </w:p>
    <w:p>
      <w:pPr>
        <w:jc w:val="both"/>
        <w:ind w:firstLine="1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any Interest Period that commences on the last Business Day of a calendar month (or on a day for which there is no numerically corresponding day in the </w:t>
      </w:r>
      <w:r>
        <w:rPr>
          <w:rFonts w:ascii="Arial" w:cs="Arial" w:eastAsia="Arial" w:hAnsi="Arial"/>
          <w:sz w:val="18"/>
          <w:szCs w:val="18"/>
          <w:color w:val="FF0000"/>
          <w:strike w:val="1"/>
        </w:rPr>
        <w:t>last</w:t>
      </w:r>
      <w:r>
        <w:rPr>
          <w:rFonts w:ascii="Arial" w:cs="Arial" w:eastAsia="Arial" w:hAnsi="Arial"/>
          <w:sz w:val="18"/>
          <w:szCs w:val="18"/>
          <w:color w:val="auto"/>
        </w:rPr>
        <w:t xml:space="preserve"> calendar month </w:t>
      </w:r>
      <w:r>
        <w:rPr>
          <w:rFonts w:ascii="Arial" w:cs="Arial" w:eastAsia="Arial" w:hAnsi="Arial"/>
          <w:sz w:val="18"/>
          <w:szCs w:val="18"/>
          <w:u w:val="single" w:color="auto"/>
          <w:color w:val="0000FF"/>
        </w:rPr>
        <w:t>at the end</w:t>
      </w:r>
      <w:r>
        <w:rPr>
          <w:rFonts w:ascii="Arial" w:cs="Arial" w:eastAsia="Arial" w:hAnsi="Arial"/>
          <w:sz w:val="18"/>
          <w:szCs w:val="18"/>
          <w:color w:val="auto"/>
        </w:rPr>
        <w:t xml:space="preserve"> of such Interest Period) shall end on the last Business Day of the </w:t>
      </w:r>
      <w:r>
        <w:rPr>
          <w:rFonts w:ascii="Arial" w:cs="Arial" w:eastAsia="Arial" w:hAnsi="Arial"/>
          <w:sz w:val="18"/>
          <w:szCs w:val="18"/>
          <w:color w:val="FF0000"/>
          <w:strike w:val="1"/>
        </w:rPr>
        <w:t>last</w:t>
      </w:r>
      <w:r>
        <w:rPr>
          <w:rFonts w:ascii="Arial" w:cs="Arial" w:eastAsia="Arial" w:hAnsi="Arial"/>
          <w:sz w:val="18"/>
          <w:szCs w:val="18"/>
          <w:color w:val="auto"/>
        </w:rPr>
        <w:t xml:space="preserve"> calendar month </w:t>
      </w:r>
      <w:r>
        <w:rPr>
          <w:rFonts w:ascii="Arial" w:cs="Arial" w:eastAsia="Arial" w:hAnsi="Arial"/>
          <w:sz w:val="18"/>
          <w:szCs w:val="18"/>
          <w:u w:val="single" w:color="auto"/>
          <w:color w:val="0000FF"/>
        </w:rPr>
        <w:t>at the end</w:t>
      </w:r>
      <w:r>
        <w:rPr>
          <w:rFonts w:ascii="Arial" w:cs="Arial" w:eastAsia="Arial" w:hAnsi="Arial"/>
          <w:sz w:val="18"/>
          <w:szCs w:val="18"/>
          <w:color w:val="auto"/>
        </w:rPr>
        <w:t xml:space="preserve"> of such Interest Period.</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For purposes hereof, the date of a Borrowing initially shall be the date on which such Borrowing is made and thereafter shall be the effective date of the most recent conversion or continuation of such Borrowing.</w:t>
      </w:r>
    </w:p>
    <w:p>
      <w:pPr>
        <w:spacing w:after="0" w:line="17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 any purchase or other acquisition by the Borrower or any of its Restricted Subsidiaries of any of the Securities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the Borrower, any Restricted Subsidiary, or any Parent Company for moving, entertainment and travel expenses, drawing accounts and similar expenditures in the ordinary course of business) or capital contribution by the Borrower or any of its Restricted Subsidiaries to any other Person (but, in all cases, excluding, in the case of the Borrower and its Restricted Subsidiaries, intercompany loans, advances or Indebtedness so long as such Indebtedness (i) has a term not exceeding 364 days (inclusive of any roll over or extensions of terms) and (ii) of any Loan Party owed to a Restricted Subsidiary that is not a Loan Party is unsecured and subordinated to the Secured Obligations).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the amount of any Investment shall be the original cost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cost of any addition thereto that otherwise constitutes an Investment, without any adjustments for increases or decreases in value, or write-ups, write-downs or write-offs with respect thereto, but giving effect to any repayments of principal in the case of any Investment in the form of a loan and any return of capital or return on Investment in the case of any equity Investment (whether as a distribution, dividend, redemption or sale but not in excess of the amount of the relevant initial Investment).</w:t>
      </w:r>
    </w:p>
    <w:p>
      <w:pPr>
        <w:spacing w:after="0" w:line="18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(a) the Sponsor, (b) the Management Investors and (c) other investors that, directly or indirectly, beneficially owned Capital Stock in Holdings immediately prior to the consummation of the IPO.</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3.05(c)</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acquisition of Parent by CCC Intelligent Solutions Holdings Inc., a Delaware corporation (formerly known as Dragoneer Growth Opportunities Corp.), a blank check company that is listed on the New York Stock Exchange.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7" w:name="page98"/>
    <w:bookmarkEnd w:id="97"/>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means, as the context may require, (a) BofA, (b) each of the other Initial Lenders (or their respective Affiliates, as applicable) as set forth on the Commitment Schedule as of the Closing Date and (c) any other Revolving Lender that is appointed as an Issuing Bank in accordance with </w:t>
      </w:r>
      <w:r>
        <w:rPr>
          <w:rFonts w:ascii="Arial" w:cs="Arial" w:eastAsia="Arial" w:hAnsi="Arial"/>
          <w:sz w:val="17"/>
          <w:szCs w:val="17"/>
          <w:u w:val="single" w:color="auto"/>
          <w:color w:val="auto"/>
        </w:rPr>
        <w:t>Section 2.05(h)(i)</w:t>
      </w:r>
      <w:r>
        <w:rPr>
          <w:rFonts w:ascii="Arial" w:cs="Arial" w:eastAsia="Arial" w:hAnsi="Arial"/>
          <w:sz w:val="17"/>
          <w:szCs w:val="17"/>
          <w:color w:val="auto"/>
        </w:rPr>
        <w:t xml:space="preserve"> hereof.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 Jefferies Finance LLC will cause Letters of Credit to be issued by unaffiliated financial institutions and such Letters of Credit shall be treated as issued by Jefferies Finance LLC for all purposes under the Loan Documents.</w:t>
      </w:r>
    </w:p>
    <w:p>
      <w:pPr>
        <w:spacing w:after="0" w:line="176" w:lineRule="exact"/>
        <w:rPr>
          <w:sz w:val="20"/>
          <w:szCs w:val="20"/>
          <w:color w:val="auto"/>
        </w:rPr>
      </w:pPr>
    </w:p>
    <w:p>
      <w:pPr>
        <w:jc w:val="both"/>
        <w:ind w:firstLine="821"/>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Indebtedness</w:t>
      </w:r>
      <w:r>
        <w:rPr>
          <w:rFonts w:ascii="Arial" w:cs="Arial" w:eastAsia="Arial" w:hAnsi="Arial"/>
          <w:sz w:val="17"/>
          <w:szCs w:val="17"/>
          <w:color w:val="auto"/>
        </w:rPr>
        <w:t xml:space="preserve">” means any Indebtedness of the types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definition of “Indebtedness” (other than Indebtedness among Holdings, Borrower and/or its Subsidiaries) of the Borrower or any of its Restricted Subsidiaries that is expressly subordinated in right of payment to the Obligations with an individual outstanding principal amount in excess of the Threshold Amount.</w:t>
      </w:r>
    </w:p>
    <w:p>
      <w:pPr>
        <w:spacing w:after="0" w:line="16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Revolving Credit Maturity Date</w:t>
      </w:r>
      <w:r>
        <w:rPr>
          <w:rFonts w:ascii="Arial" w:cs="Arial" w:eastAsia="Arial" w:hAnsi="Arial"/>
          <w:sz w:val="18"/>
          <w:szCs w:val="18"/>
          <w:color w:val="auto"/>
        </w:rPr>
        <w:t>” means, as of any date of determination, the latest maturity or expiration date applicable to any Revolving Loan or Revolving Credit Commitment hereunder at such time.</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Term Loan Maturity Date</w:t>
      </w:r>
      <w:r>
        <w:rPr>
          <w:rFonts w:ascii="Arial" w:cs="Arial" w:eastAsia="Arial" w:hAnsi="Arial"/>
          <w:sz w:val="18"/>
          <w:szCs w:val="18"/>
          <w:color w:val="auto"/>
        </w:rPr>
        <w:t>” means, as of any date of determination, the latest maturity or expiration date applicable to any Term Loan hereunder at such time.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means, with respect to each Issuing Bank, the commitment of such Issuing Bank to issue Letters of Credit hereunder as set forth opposite such Issuing Bank’s name on the Commitment Schedule (as may be updated from time to time with the consent of such Issuing Bank or Issuing Banks, as applicable). The aggregate Letter of Credit Commitments of the Issuing Banks as of the Closing Date is $75,000,000.</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or disbursement made by an Issuing Bank pursuant to a Letter of Credit.</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Reservations</w:t>
      </w:r>
      <w:r>
        <w:rPr>
          <w:rFonts w:ascii="Arial" w:cs="Arial" w:eastAsia="Arial" w:hAnsi="Arial"/>
          <w:sz w:val="16"/>
          <w:szCs w:val="16"/>
          <w:color w:val="auto"/>
        </w:rPr>
        <w:t>” means the application of relevant Debtor Relief Laws, general principles of equity and/or principles of good faith and fair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dealing.</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means, collectively, the Lenders, the Swingline Lender and the Issuing Banks.</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Term Lenders, the Revolving Lenders, any lender with an Additional Commitment or an outstanding Additional Loan and any other Person that becomes a party hereto pursuant to an Assignment and Assumption, other than any such Person that ceases to be a party hereto pursuant to an Assignment and Assumption.</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or Commercial Letter of Credit issued under a Revolving Facility pursuant to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8" w:name="page99"/>
    <w:bookmarkEnd w:id="98"/>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has the meaning set forth in Article 9 of the UCC.</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means $75,000,000, subject to increase in accordance with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hereof.</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assigned to such term in the definition of “Published LIBO Rate</w:t>
      </w:r>
      <w:r>
        <w:rPr>
          <w:rFonts w:ascii="Arial" w:cs="Arial" w:eastAsia="Arial" w:hAnsi="Arial"/>
          <w:sz w:val="18"/>
          <w:szCs w:val="18"/>
          <w:color w:val="FF0000"/>
          <w:strike w:val="1"/>
        </w:rPr>
        <w:t>”</w:t>
      </w:r>
      <w:r>
        <w:rPr>
          <w:rFonts w:ascii="Arial" w:cs="Arial" w:eastAsia="Arial" w:hAnsi="Arial"/>
          <w:sz w:val="18"/>
          <w:szCs w:val="18"/>
          <w:color w:val="auto"/>
        </w:rPr>
        <w:t>.</w:t>
      </w:r>
      <w:r>
        <w:rPr>
          <w:rFonts w:ascii="Arial" w:cs="Arial" w:eastAsia="Arial" w:hAnsi="Arial"/>
          <w:sz w:val="18"/>
          <w:szCs w:val="18"/>
          <w:u w:val="single" w:color="auto"/>
          <w:color w:val="0000FF"/>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the Published LIBO Rate, as adjusted to reflect applicable reserves prescribed by governmental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ind w:firstLine="7"/>
        <w:spacing w:after="0" w:line="258" w:lineRule="auto"/>
        <w:tabs>
          <w:tab w:leader="none" w:pos="257" w:val="left"/>
        </w:tabs>
        <w:numPr>
          <w:ilvl w:val="0"/>
          <w:numId w:val="86"/>
        </w:numPr>
        <w:rPr>
          <w:rFonts w:ascii="Arial" w:cs="Arial" w:eastAsia="Arial" w:hAnsi="Arial"/>
          <w:sz w:val="18"/>
          <w:szCs w:val="18"/>
          <w:color w:val="FF0000"/>
          <w:strike w:val="1"/>
        </w:rPr>
      </w:pPr>
      <w:r>
        <w:rPr>
          <w:rFonts w:ascii="Arial" w:cs="Arial" w:eastAsia="Arial" w:hAnsi="Arial"/>
          <w:sz w:val="18"/>
          <w:szCs w:val="18"/>
          <w:color w:val="FF0000"/>
          <w:strike w:val="1"/>
        </w:rPr>
        <w:t>solely with respect to the Initial Term Loans, in no event shall the LIBO Rate be less than 0.50% per annum and (b)</w:t>
      </w:r>
      <w:r>
        <w:rPr>
          <w:rFonts w:ascii="Arial" w:cs="Arial" w:eastAsia="Arial" w:hAnsi="Arial"/>
          <w:sz w:val="18"/>
          <w:szCs w:val="18"/>
          <w:color w:val="FF0000"/>
        </w:rPr>
        <w:t xml:space="preserve"> </w:t>
      </w:r>
      <w:r>
        <w:rPr>
          <w:rFonts w:ascii="Arial" w:cs="Arial" w:eastAsia="Arial" w:hAnsi="Arial"/>
          <w:sz w:val="18"/>
          <w:szCs w:val="18"/>
          <w:color w:val="000000"/>
        </w:rPr>
        <w:t>solely with respect to the Initial</w:t>
      </w:r>
      <w:r>
        <w:rPr>
          <w:rFonts w:ascii="Arial" w:cs="Arial" w:eastAsia="Arial" w:hAnsi="Arial"/>
          <w:sz w:val="18"/>
          <w:szCs w:val="18"/>
          <w:color w:val="FF0000"/>
        </w:rPr>
        <w:t xml:space="preserve"> </w:t>
      </w:r>
      <w:r>
        <w:rPr>
          <w:rFonts w:ascii="Arial" w:cs="Arial" w:eastAsia="Arial" w:hAnsi="Arial"/>
          <w:sz w:val="18"/>
          <w:szCs w:val="18"/>
          <w:color w:val="000000"/>
        </w:rPr>
        <w:t>Revolving Loans, in no event shall the LIBO Rate be less than 0% per annum.</w:t>
      </w:r>
    </w:p>
    <w:p>
      <w:pPr>
        <w:spacing w:after="0" w:line="18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in and of itself be deemed to constitute a Lien.</w:t>
      </w:r>
    </w:p>
    <w:p>
      <w:pPr>
        <w:spacing w:after="0" w:line="190" w:lineRule="exact"/>
        <w:rPr>
          <w:sz w:val="20"/>
          <w:szCs w:val="20"/>
          <w:color w:val="auto"/>
        </w:rPr>
      </w:pPr>
    </w:p>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Acquisition</w:t>
      </w:r>
      <w:r>
        <w:rPr>
          <w:rFonts w:ascii="Arial" w:cs="Arial" w:eastAsia="Arial" w:hAnsi="Arial"/>
          <w:sz w:val="16"/>
          <w:szCs w:val="16"/>
          <w:color w:val="auto"/>
        </w:rPr>
        <w:t>” means any acquisition, including by way of merger, by the Borrower or one or more of its Restricted Subsidiaries permitted pursuant to this Agreement whose consummation is not conditioned upon the availability of, or on obtaining, third party financing.</w:t>
      </w:r>
    </w:p>
    <w:p>
      <w:pPr>
        <w:spacing w:after="0" w:line="125"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Promissory Note, each Loan Guaranty, the Collateral Documents, any Acceptable Intercreditor Agreement to which the Borrower and the Administrative Agent are party,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spacing w:after="0" w:line="15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the Guaranty Agreement,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executed by each Loan Party thereto and the Administrative Agent for the benefit of the Secured Parties, as supplemented in accordance with the terms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Installment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Borrower and each Subsidiary Guarantor.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Loans</w:t>
      </w:r>
      <w:r>
        <w:rPr>
          <w:rFonts w:ascii="Arial" w:cs="Arial" w:eastAsia="Arial" w:hAnsi="Arial"/>
          <w:sz w:val="16"/>
          <w:szCs w:val="16"/>
          <w:color w:val="auto"/>
        </w:rPr>
        <w:t>” means any Initial Term Loan, any Additional Term Loan, any Initial Revolving Loan, Swingline Loan or any Additional Revolving Loan.</w:t>
      </w:r>
    </w:p>
    <w:p>
      <w:pPr>
        <w:spacing w:after="0" w:line="2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means the officers, directors, managers, employees and members of management of the Borrower, any Parent Company and/or any subsidiary of the Borrower.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223"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Capitalization</w:t>
      </w:r>
      <w:r>
        <w:rPr>
          <w:rFonts w:ascii="Arial" w:cs="Arial" w:eastAsia="Arial" w:hAnsi="Arial"/>
          <w:sz w:val="16"/>
          <w:szCs w:val="16"/>
          <w:color w:val="auto"/>
        </w:rPr>
        <w:t>” means an amount equal to (i) the total number of issued and outstanding shares of common stock or common equity interests of Holdings or its applicable Parent Company on the date of the declaration of a Restricted Payment multiplied by (ii) the arithmetic mean of the closing prices per share of such common stock or common equity interests on the principal securities exchange on which such common stock or common equity interests are traded for the thirty (30) consecutive trading days immediately preceding the date of declaration of such Restricted Payment.</w:t>
      </w:r>
    </w:p>
    <w:p>
      <w:pPr>
        <w:spacing w:after="0" w:line="155" w:lineRule="exact"/>
        <w:rPr>
          <w:sz w:val="20"/>
          <w:szCs w:val="20"/>
          <w:color w:val="auto"/>
        </w:rPr>
      </w:pPr>
    </w:p>
    <w:p>
      <w:pPr>
        <w:jc w:val="both"/>
        <w:ind w:firstLine="79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(i) the business, assets, financial condition or results of operations, in each case, of the Borrower and its Restricted Subsidiaries, taken as a whole, (ii) the rights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9" w:name="page100"/>
    <w:bookmarkEnd w:id="99"/>
    <w:p>
      <w:pPr>
        <w:jc w:val="both"/>
        <w:spacing w:after="0" w:line="275" w:lineRule="auto"/>
        <w:rPr>
          <w:sz w:val="20"/>
          <w:szCs w:val="20"/>
          <w:color w:val="auto"/>
        </w:rPr>
      </w:pPr>
      <w:r>
        <w:rPr>
          <w:rFonts w:ascii="Arial" w:cs="Arial" w:eastAsia="Arial" w:hAnsi="Arial"/>
          <w:sz w:val="18"/>
          <w:szCs w:val="18"/>
          <w:color w:val="auto"/>
        </w:rPr>
        <w:t>remedies (taken as a whole) of the Administrative Agent under the applicable Loan Documents or (iii) the ability of the Loan Parties (taken as a whole) to perform their payment obligations under the applicable Loan Documents.</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Debt Instrument</w:t>
      </w:r>
      <w:r>
        <w:rPr>
          <w:rFonts w:ascii="Arial" w:cs="Arial" w:eastAsia="Arial" w:hAnsi="Arial"/>
          <w:sz w:val="18"/>
          <w:szCs w:val="18"/>
          <w:color w:val="auto"/>
        </w:rPr>
        <w:t>” means any physical instrument evidencing any Indebtedness for borrowed money which is required to be pledged and delivered to the Administrative Agent (or its bailee) pursuant to the Security Agreement.</w:t>
      </w:r>
    </w:p>
    <w:p>
      <w:pPr>
        <w:spacing w:after="0" w:line="171"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(a) with respect to the Initial Revolving Facility, the Initial Revolving Credit Maturity Date, (b) with respect to the Initial Term Loans, the Initial Term Loan Maturity Date, (c) with respect to any Replacement Term Loans or Replacement Revolving Facility, the final maturity date for such Replacement Term Loans or Replacement Revolving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Protection</w:t>
      </w:r>
      <w:r>
        <w:rPr>
          <w:rFonts w:ascii="Arial" w:cs="Arial" w:eastAsia="Arial" w:hAnsi="Arial"/>
          <w:sz w:val="18"/>
          <w:szCs w:val="18"/>
          <w:color w:val="auto"/>
        </w:rPr>
        <w:t>” has the meaning set forth in Section‎ 2.22(a)(v).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-10795</wp:posOffset>
            </wp:positionV>
            <wp:extent cx="8274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Trigger Amount</w:t>
      </w:r>
      <w:r>
        <w:rPr>
          <w:rFonts w:ascii="Arial" w:cs="Arial" w:eastAsia="Arial" w:hAnsi="Arial"/>
          <w:sz w:val="18"/>
          <w:szCs w:val="18"/>
          <w:color w:val="auto"/>
        </w:rPr>
        <w:t>” has the meaning set forth in Section‎ 2.22(a)(v).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-10795</wp:posOffset>
            </wp:positionV>
            <wp:extent cx="8274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2.23(b)</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3"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which is a “multiemployer plan” as defined in Section 3(37) of ERISA that is subject to the provisions of Title IV of ERISA, and in respect of which the Borrower or any of its Restricted Subsidiaries, or any of their respective ERISA Affiliates, makes or is obligated to make contributions or with respect to which any of them has any ongoing obligation or liability, contingent or otherwise.</w:t>
      </w:r>
    </w:p>
    <w:p>
      <w:pPr>
        <w:spacing w:after="0" w:line="147"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xml:space="preserve">” means an amount equal to: (a) any Cash payments or proceeds (including Cash Equivalents) received by the Borrower or any of its Restricted Subsidiaries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or otherwise, or pursuant to a sale of any such assets to a purchaser with such power under threat of such a taking,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(i) any actual out-of-pocket costs and expenses incurred by the Borrower or any of its Restricted Subsidiaries in connection with the adjustment, settlement or collection of any claims of the Borrower or the relevant Restricted Subsidiary in respect thereof, (ii) payment of the outstanding principal amount of, premium or penalty, if any, and interest and other amounts on any Indebtedness (other than the Loans and any Indebtedness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expressly subordinated to the Lien on the Collateral securing any Secured Obligation) that is secured by a Lien on the assets in question and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the Borrower’s good faith estimate of income Taxes paid or payable (including pursuant to Tax sharing arrangements or any intercompany distribution)) in connection with any sale or taking of such assets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(v) any amounts provided as a reserve in accordance with GAAP against any liabilities under any indemnification obligation or purchase price adjustments associated with any sale or taking of such assets as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and at the time any such amounts are released from such reserve, such amounts shall constitute Net Insurance/Condemnation Proceeds) and (vi) in the case of any covered loss or taking from a non-Wholly-Owned Subsidiary, the pro rata portion thereof (calculated without regard to this </w:t>
      </w:r>
      <w:r>
        <w:rPr>
          <w:rFonts w:ascii="Arial" w:cs="Arial" w:eastAsia="Arial" w:hAnsi="Arial"/>
          <w:sz w:val="16"/>
          <w:szCs w:val="16"/>
          <w:u w:val="single" w:color="auto"/>
          <w:color w:val="auto"/>
        </w:rPr>
        <w:t>clause (vi)</w:t>
      </w:r>
      <w:r>
        <w:rPr>
          <w:rFonts w:ascii="Arial" w:cs="Arial" w:eastAsia="Arial" w:hAnsi="Arial"/>
          <w:sz w:val="16"/>
          <w:szCs w:val="16"/>
          <w:color w:val="auto"/>
        </w:rPr>
        <w:t>) attributable 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minority interests and not available for distribution to or for the account of the Borrower or a Wholly-Owned Subsidiary as a result thereof.</w:t>
      </w:r>
    </w:p>
    <w:p>
      <w:pPr>
        <w:spacing w:after="0" w:line="22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(a) with respect to any Disposition (including any Prepayment Asset Sale), the Cash proceeds (including Cash Equivalents and Cash proceeds subsequently received (as and when received) in respect of non-cash consideration initially received), net of (i)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the Borrower’s good faith estimate of income Taxes paid or payable (including pursuant to Tax sharing arrangements or any intercompany distributions) in connection with such Disposition), (ii) amounts provided as a reserve in accordance with GAAP against any liabilities under any indemnification obligation or purchase price adjustment associated with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and at the time any such amounts are released from such reserve, such amounts shall constitute Net Proceeds), (iii) the principal amount, premium or penalty, if any, interest and other amounts on any Indebtedness (other than the Loans and any other Indebtedness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expressly subordinated to the Lien on the Collateral securing any Secured Obligation) which is secured by the asset sold in such Disposition and which is required to be repaid or otherwise comes due or would be in default and is repaid (other than any such Indebtedness that is assumed by the purchaser of such asset), (iv) Cash escrows (until released from escrow to the Borrower or any of its Restricted Subsidiaries) from the sale price for such Disposition and (v) in the case of any Disposition by a non-Wholly-Owned Subsidiary, the pro rata portion of the Net Proceeds thereof (calculated without regard to this </w:t>
      </w:r>
      <w:r>
        <w:rPr>
          <w:rFonts w:ascii="Arial" w:cs="Arial" w:eastAsia="Arial" w:hAnsi="Arial"/>
          <w:sz w:val="16"/>
          <w:szCs w:val="16"/>
          <w:u w:val="single" w:color="auto"/>
          <w:color w:val="auto"/>
        </w:rPr>
        <w:t>clause (v)</w:t>
      </w:r>
      <w:r>
        <w:rPr>
          <w:rFonts w:ascii="Arial" w:cs="Arial" w:eastAsia="Arial" w:hAnsi="Arial"/>
          <w:sz w:val="16"/>
          <w:szCs w:val="16"/>
          <w:color w:val="auto"/>
        </w:rPr>
        <w:t>) attributable to minority interests and not available for distribution to or for the account of the Borrower or a Wholly-Owned Subsidiary as a result thereof; and (b) with respect to any issuance or incurrence of Indebtedness or Capital Stock, the Cash proceeds thereof, net of all Taxes and customary fees, commissions, costs, underwriting discounts and other fees and expenses incurred in connection therewith.</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 Fund Affiliate</w:t>
      </w:r>
      <w:r>
        <w:rPr>
          <w:rFonts w:ascii="Arial" w:cs="Arial" w:eastAsia="Arial" w:hAnsi="Arial"/>
          <w:sz w:val="18"/>
          <w:szCs w:val="18"/>
          <w:color w:val="auto"/>
        </w:rPr>
        <w:t>” means any Investor (which is an Affiliate of the Borrower) and any Affiliate of any such Investor, other than any Debt Fund Affiliate.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Revolving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2.21(d)(i)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unpaid principal of and accrued and unpaid interest (including interest accruing during the pendency of any bankruptcy, insolvency, receivership or other similar proceeding, regardless of whether allowed or allowable in such proceeding) on the Loans, all LC Exposure, all Swingline Exposure, all accrued and unpaid fees and all expenses (including fees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the Administrative Agent, any Issuing Bank, Swingline Lender, Arranger or any Indemnitee arising under the Loan Documents in respect of any Loan, Letter of Credit or otherwise, whether direct or indirect (including those acquired by assumption), absolute, contingent, due or to become due, now existing or hereafter arising.</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with respect to any corporation, its certificate or articles of incorporation or organization and its by-laws,</w:t>
      </w:r>
    </w:p>
    <w:p>
      <w:pPr>
        <w:spacing w:after="0" w:line="46" w:lineRule="exact"/>
        <w:rPr>
          <w:sz w:val="20"/>
          <w:szCs w:val="20"/>
          <w:color w:val="auto"/>
        </w:rPr>
      </w:pPr>
    </w:p>
    <w:p>
      <w:pPr>
        <w:jc w:val="both"/>
        <w:ind w:firstLine="7"/>
        <w:spacing w:after="0" w:line="268" w:lineRule="auto"/>
        <w:tabs>
          <w:tab w:leader="none" w:pos="257" w:val="left"/>
        </w:tabs>
        <w:numPr>
          <w:ilvl w:val="0"/>
          <w:numId w:val="87"/>
        </w:numPr>
        <w:rPr>
          <w:rFonts w:ascii="Arial" w:cs="Arial" w:eastAsia="Arial" w:hAnsi="Arial"/>
          <w:sz w:val="17"/>
          <w:szCs w:val="17"/>
          <w:color w:val="auto"/>
        </w:rPr>
      </w:pPr>
      <w:r>
        <w:rPr>
          <w:rFonts w:ascii="Arial" w:cs="Arial" w:eastAsia="Arial" w:hAnsi="Arial"/>
          <w:sz w:val="17"/>
          <w:szCs w:val="17"/>
          <w:color w:val="auto"/>
        </w:rPr>
        <w:t>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1" w:name="page102"/>
    <w:bookmarkEnd w:id="101"/>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Lender, any Issuing Bank or the Administrative Agent,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5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Taxes or any intangible, recording, filing or other excise or property Taxes arising from any payment made under any Loan Document or from the execution, delivery or enforcement of, or otherwise with respect to, any Loan Document, but excluding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any Term Loan and/or Revolving Loan and/or Swingline Loan on any date, the Dollar Equivalent of the aggregate outstanding principal amount thereof after giving effect to any borrowings and prepayments or repayments of such Term Loan and/or Revolving Loan, as the case may be, occurring on such date, (b) with respect to any Letter of Credit, the Dollar Equivalent of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Dollar Equivalent of the amount of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Cypress Holdings, Inc., a Delaware corporation.</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(a) Holdings and (b) any other Person of which the Borrower is an indirect Wholly-Owned Subsidiary.</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9.05(c)(ii)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means the following: (a) any and all patents and patent applications; (b) all inventions, designs or improvements thereto described or claimed therein; (c) all reissues, reexaminations,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3"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Plan</w:t>
      </w:r>
      <w:r>
        <w:rPr>
          <w:rFonts w:ascii="Arial" w:cs="Arial" w:eastAsia="Arial" w:hAnsi="Arial"/>
          <w:sz w:val="16"/>
          <w:szCs w:val="16"/>
          <w:color w:val="auto"/>
        </w:rPr>
        <w:t>” means any employee pension benefit plan, as defined in Section 3(2) of ERISA (other than a Multiemployer Plan), that is subject to the provisions of Title IV of ERISA or Section 412 of the Code or Section 302 of ERISA, which the Borrower or any of its Restricted Subsidiaries, or any of their respective ERISA Affiliates, maintains or contributes to or has an obligation to contribute to, or otherwise has any liability, contingent or otherwise.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 Supplement</w:t>
      </w:r>
      <w:r>
        <w:rPr>
          <w:rFonts w:ascii="Arial" w:cs="Arial" w:eastAsia="Arial" w:hAnsi="Arial"/>
          <w:sz w:val="18"/>
          <w:szCs w:val="18"/>
          <w:color w:val="auto"/>
        </w:rPr>
        <w:t xml:space="preserve">” means a supplement to the Perfection Certificate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2" w:name="page103"/>
    <w:bookmarkEnd w:id="102"/>
    <w:p>
      <w:pPr>
        <w:jc w:val="both"/>
        <w:ind w:firstLine="74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Requirements</w:t>
      </w:r>
      <w:r>
        <w:rPr>
          <w:rFonts w:ascii="Arial" w:cs="Arial" w:eastAsia="Arial" w:hAnsi="Arial"/>
          <w:sz w:val="17"/>
          <w:szCs w:val="17"/>
          <w:color w:val="auto"/>
        </w:rPr>
        <w:t>” means the filing of appropriate financing statements with the office of the Secretary of State or other appropriate office of the state of organization of each Loan Party, the filing of appropriate assignments, security agreements, instruments or notices with the U.S. Patent and Trademark Office and the U.S. Copyright Office, in each case in favor of the Administrative Agent for the benefit of the Secured Parties and to the extent required by the applicable Loan Documents, in each case, the delivery to the Administrative Agent of any stock certificate or promissory note required to be delivered pursuant to the applicable Loan Documents, together with instruments of transfer executed in blank.</w:t>
      </w:r>
    </w:p>
    <w:p>
      <w:pPr>
        <w:spacing w:after="0" w:line="174"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made by the Borrower or any of its Restricted Subsidiaries, whether by purchase, merger or otherwise, of all or substantially all of the assets of, or any business line, unit or division or product line (including research and development and related assets in respect of any product) of, any Person or of a majority of the outstanding Capital Stock of any Person who is engaged in a Similar Business (and, in any event, including any Investment in (x) any Restricted Subsidiary the effect of which is to increase the Borrower’s or any Restricted Subsidiary’s equity ownership in such Restricted Subsidiary or (y) any joint venture for the purpose of increasing the Borrower’s or its relevant Restricted Subsidiary’s ownership interest in such joint venture) if (A) such Person becomes a Restricted Subsidiary or such assets become the assets of a Restricted Subsidiary or</w:t>
      </w:r>
    </w:p>
    <w:p>
      <w:pPr>
        <w:spacing w:after="0" w:line="3" w:lineRule="exact"/>
        <w:rPr>
          <w:sz w:val="20"/>
          <w:szCs w:val="20"/>
          <w:color w:val="auto"/>
        </w:rPr>
      </w:pPr>
    </w:p>
    <w:p>
      <w:pPr>
        <w:jc w:val="both"/>
        <w:ind w:firstLine="7"/>
        <w:spacing w:after="0" w:line="253" w:lineRule="auto"/>
        <w:tabs>
          <w:tab w:leader="none" w:pos="293"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Person or such assets, in one transaction or a series of related transaction, is transferred to, amalgamated, merged or consolidated with or into, or transfers or conveys substantially all of its assets (or such division, business unit or product line) to, or is liquidated into, the Borrower or any Restricted Subsidiary as a result of such Investment.</w:t>
      </w:r>
    </w:p>
    <w:p>
      <w:pPr>
        <w:spacing w:after="0" w:line="19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Earlier Maturity Indebtedness Exception</w:t>
      </w:r>
      <w:r>
        <w:rPr>
          <w:rFonts w:ascii="Arial" w:cs="Arial" w:eastAsia="Arial" w:hAnsi="Arial"/>
          <w:sz w:val="18"/>
          <w:szCs w:val="18"/>
          <w:color w:val="auto"/>
        </w:rPr>
        <w:t xml:space="preserve">” means, with respect to any Incremental Term Loans, Incremental Equivalent Debt, Replacement Term Loans, Replacement Notes, Refinancing Indebtedness (other than in the case of Refinancing Indebtedness with respect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any Indebtedness incurred under </w:t>
      </w:r>
      <w:r>
        <w:rPr>
          <w:rFonts w:ascii="Arial" w:cs="Arial" w:eastAsia="Arial" w:hAnsi="Arial"/>
          <w:sz w:val="18"/>
          <w:szCs w:val="18"/>
          <w:u w:val="single" w:color="auto"/>
          <w:color w:val="auto"/>
        </w:rPr>
        <w:t>‎Sections 6.01(w)(i)(A)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(q)(ii)(A)</w:t>
      </w:r>
      <w:r>
        <w:rPr>
          <w:rFonts w:ascii="Arial" w:cs="Arial" w:eastAsia="Arial" w:hAnsi="Arial"/>
          <w:sz w:val="18"/>
          <w:szCs w:val="18"/>
          <w:color w:val="auto"/>
        </w:rPr>
        <w:t>, permitted to be incurred hereunder, that up to $235,000,000 aggregate principal amount of all such Indebtedness (the “</w:t>
      </w:r>
      <w:r>
        <w:rPr>
          <w:rFonts w:ascii="Arial" w:cs="Arial" w:eastAsia="Arial" w:hAnsi="Arial"/>
          <w:sz w:val="18"/>
          <w:szCs w:val="18"/>
          <w:u w:val="single" w:color="auto"/>
          <w:color w:val="auto"/>
        </w:rPr>
        <w:t>Specified Debt</w:t>
      </w:r>
      <w:r>
        <w:rPr>
          <w:rFonts w:ascii="Arial" w:cs="Arial" w:eastAsia="Arial" w:hAnsi="Arial"/>
          <w:sz w:val="18"/>
          <w:szCs w:val="18"/>
          <w:color w:val="auto"/>
        </w:rPr>
        <w:t>”) may have a maturity date that is earlier than and a Weighted Average Life to Maturity that is shorter than, the Initial Term Loans or the Latest Maturity Date of any Term Loans outstanding at the time such Specified Debt is incurred or issued.</w:t>
      </w:r>
    </w:p>
    <w:p>
      <w:pPr>
        <w:spacing w:after="0" w:line="19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means (a) the Investors and (b) any Person with which one or more Investors form a “group” (within the meaning of Section 14(d) of the Exchange Act) so long as,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the relevant Investors beneficially own more than 50% of the relevant voting stock beneficially owned by the group.</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any other entity.</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maintained by the Borrower and/or any Restricted Subsidiary or, with respect to any such plan that is subject to Section 412 of the Code or Title IV of ERISA, any of its ERISA Affiliates, other than any Multiemployer Plan.</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Asset Sale</w:t>
      </w:r>
      <w:r>
        <w:rPr>
          <w:rFonts w:ascii="Arial" w:cs="Arial" w:eastAsia="Arial" w:hAnsi="Arial"/>
          <w:sz w:val="18"/>
          <w:szCs w:val="18"/>
          <w:color w:val="auto"/>
        </w:rPr>
        <w:t xml:space="preserve">” means any Disposition by the Borrower or its Restricted Subsidiaries made pursuant to </w:t>
      </w:r>
      <w:r>
        <w:rPr>
          <w:rFonts w:ascii="Arial" w:cs="Arial" w:eastAsia="Arial" w:hAnsi="Arial"/>
          <w:sz w:val="18"/>
          <w:szCs w:val="18"/>
          <w:u w:val="single" w:color="auto"/>
          <w:color w:val="auto"/>
        </w:rPr>
        <w:t>Section 6.07(h)</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Obligor</w:t>
      </w:r>
      <w:r>
        <w:rPr>
          <w:rFonts w:ascii="Arial" w:cs="Arial" w:eastAsia="Arial" w:hAnsi="Arial"/>
          <w:sz w:val="18"/>
          <w:szCs w:val="18"/>
          <w:color w:val="auto"/>
        </w:rPr>
        <w:t>” has the meaning assigned to such term in the definition of “Guarantee.”</w:t>
      </w:r>
    </w:p>
    <w:p>
      <w:pPr>
        <w:spacing w:after="0" w:line="22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of interest last quoted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as the “Prime Rate” in the U.S. or, if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it being understood in each case that, to the extent the rate is less than 0.00%, the Prime Rate shall be deemed to be 0.00%.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3" w:name="page104"/>
    <w:bookmarkEnd w:id="103"/>
    <w:p>
      <w:pPr>
        <w:jc w:val="both"/>
        <w:ind w:firstLine="74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or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means, with respect to any determination of the Total Leverage Ratio, the First Lien Leverage Ratio, the Secured Leverage Ratio, the Interest Coverage Ratio, Consolidated Adjusted EBITDA or Consolidated Total Assets (including component definitions thereof), that each Subject Transaction shall be deemed to have occurred as of the first day of the applicable Test Period (or, in the case of Consolidated Total Assets, as of the last day of such Test Period) with respect to any test or covenant for which such calculation is being made and that:</w:t>
      </w:r>
    </w:p>
    <w:p>
      <w:pPr>
        <w:spacing w:after="0" w:line="155" w:lineRule="exact"/>
        <w:rPr>
          <w:sz w:val="20"/>
          <w:szCs w:val="20"/>
          <w:color w:val="auto"/>
        </w:rPr>
      </w:pPr>
    </w:p>
    <w:p>
      <w:pPr>
        <w:jc w:val="both"/>
        <w:ind w:left="760" w:firstLine="745"/>
        <w:spacing w:after="0" w:line="269" w:lineRule="auto"/>
        <w:tabs>
          <w:tab w:leader="none" w:pos="1848" w:val="left"/>
        </w:tabs>
        <w:numPr>
          <w:ilvl w:val="0"/>
          <w:numId w:val="89"/>
        </w:numPr>
        <w:rPr>
          <w:rFonts w:ascii="Arial" w:cs="Arial" w:eastAsia="Arial" w:hAnsi="Arial"/>
          <w:sz w:val="17"/>
          <w:szCs w:val="17"/>
          <w:color w:val="auto"/>
        </w:rPr>
      </w:pPr>
      <w:r>
        <w:rPr>
          <w:rFonts w:ascii="Arial" w:cs="Arial" w:eastAsia="Arial" w:hAnsi="Arial"/>
          <w:sz w:val="17"/>
          <w:szCs w:val="17"/>
          <w:color w:val="auto"/>
        </w:rPr>
        <w:t>(i) in the case of (A) any Disposition of all or substantially all of the Capital Stock of any Restricted Subsidiary or any division and/or product line of the Borrower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“Subject Transaction,”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182" w:lineRule="exact"/>
        <w:rPr>
          <w:rFonts w:ascii="Arial" w:cs="Arial" w:eastAsia="Arial" w:hAnsi="Arial"/>
          <w:sz w:val="17"/>
          <w:szCs w:val="17"/>
          <w:color w:val="auto"/>
        </w:rPr>
      </w:pPr>
    </w:p>
    <w:p>
      <w:pPr>
        <w:jc w:val="both"/>
        <w:ind w:left="760" w:firstLine="745"/>
        <w:spacing w:after="0" w:line="262" w:lineRule="auto"/>
        <w:tabs>
          <w:tab w:leader="none" w:pos="18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w:t>
      </w:r>
    </w:p>
    <w:p>
      <w:pPr>
        <w:spacing w:after="0" w:line="182" w:lineRule="exact"/>
        <w:rPr>
          <w:rFonts w:ascii="Arial" w:cs="Arial" w:eastAsia="Arial" w:hAnsi="Arial"/>
          <w:sz w:val="18"/>
          <w:szCs w:val="18"/>
          <w:color w:val="auto"/>
        </w:rPr>
      </w:pPr>
    </w:p>
    <w:p>
      <w:pPr>
        <w:jc w:val="both"/>
        <w:ind w:left="760" w:firstLine="745"/>
        <w:spacing w:after="0" w:line="287" w:lineRule="auto"/>
        <w:tabs>
          <w:tab w:leader="none" w:pos="184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any Indebtedness incurred by the Borrower or any of its Restricted Subsidiaries in connection therewith shall be deemed to have occurred as of the first day of the applicable Test Period with respect to any test or covenant for which the relevant determination is being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reasonably determined by a Responsible Officer of the Borrower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spacing w:after="0" w:line="169" w:lineRule="exact"/>
        <w:rPr>
          <w:rFonts w:ascii="Arial" w:cs="Arial" w:eastAsia="Arial" w:hAnsi="Arial"/>
          <w:sz w:val="16"/>
          <w:szCs w:val="16"/>
          <w:color w:val="auto"/>
        </w:rPr>
      </w:pPr>
    </w:p>
    <w:p>
      <w:pPr>
        <w:jc w:val="both"/>
        <w:ind w:left="760" w:firstLine="745"/>
        <w:spacing w:after="0" w:line="300" w:lineRule="auto"/>
        <w:tabs>
          <w:tab w:leader="none" w:pos="1841"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 and</w:t>
      </w:r>
    </w:p>
    <w:p>
      <w:pPr>
        <w:spacing w:after="0" w:line="155" w:lineRule="exact"/>
        <w:rPr>
          <w:rFonts w:ascii="Arial" w:cs="Arial" w:eastAsia="Arial" w:hAnsi="Arial"/>
          <w:sz w:val="16"/>
          <w:szCs w:val="16"/>
          <w:color w:val="auto"/>
        </w:rPr>
      </w:pPr>
    </w:p>
    <w:p>
      <w:pPr>
        <w:jc w:val="both"/>
        <w:ind w:left="760" w:firstLine="745"/>
        <w:spacing w:after="0" w:line="255" w:lineRule="auto"/>
        <w:tabs>
          <w:tab w:leader="none" w:pos="1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whenever a financial ratio or test is to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the reference to the “Test Period” for purposes of calculating such financial ratio or test (except for purposes of determining actual compliance with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shall be deemed to be a reference to, and shall be based on, the most recently ended Test Period for which internal financial statements of the Borrower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5.01(b)</w:t>
      </w:r>
      <w:r>
        <w:rPr>
          <w:rFonts w:ascii="Arial" w:cs="Arial" w:eastAsia="Arial" w:hAnsi="Arial"/>
          <w:sz w:val="18"/>
          <w:szCs w:val="18"/>
          <w:color w:val="auto"/>
        </w:rPr>
        <w:t>, as applicable, have been delivered (or are required to have been delivered) or, if earlier, are available (as determined in good faith by the Borrower).</w:t>
      </w:r>
    </w:p>
    <w:p>
      <w:pPr>
        <w:spacing w:after="0" w:line="19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 xml:space="preserve">It is hereby agreed that for purposes of determining pro forma compliance with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prior to the last day of the first Fiscal Quarter after the Closing Date, the applicable level shall be the level cited in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Notwithstanding anything to the contrary set forth in the immediately preceding paragraph, for the avoidance of doubt, when calculating the First Lien Leverage Ratio for purposes of the definitions of “Applicable Rate” and “Commitment Fee Rate” and for purposes of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(other than for the purpose of determining pro forma compliance with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as a condition to taking any action under this Agreement), the events described in the immediately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preceding paragraph that occurred subsequent to the end of the applicable Test Period shall not be given pro forma effect.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financial projections, forecasts, financial estimates, other forward-looking and/or projected information and pro forma financial statements of the Borrower and its subsidiaries included in the Information Memorandum (or a supplement thereto).</w:t>
      </w:r>
    </w:p>
    <w:p>
      <w:pPr>
        <w:spacing w:after="0" w:line="171" w:lineRule="exact"/>
        <w:rPr>
          <w:sz w:val="20"/>
          <w:szCs w:val="20"/>
          <w:color w:val="auto"/>
        </w:rPr>
      </w:pPr>
    </w:p>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Promissory Note</w:t>
      </w:r>
      <w:r>
        <w:rPr>
          <w:rFonts w:ascii="Arial" w:cs="Arial" w:eastAsia="Arial" w:hAnsi="Arial"/>
          <w:sz w:val="16"/>
          <w:szCs w:val="16"/>
          <w:color w:val="auto"/>
        </w:rPr>
        <w:t xml:space="preserve">” means a promissory note of the Borrower payable to any Lender or its registered assigns, in substantially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hereto, evidencing the aggregate outstanding principal amount of Loans of the Borrower to such Lender resulting from the Loans made by such Lender.</w:t>
      </w:r>
    </w:p>
    <w:p>
      <w:pPr>
        <w:spacing w:after="0" w:line="12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Published LIBO Rate</w:t>
      </w:r>
      <w:r>
        <w:rPr>
          <w:rFonts w:ascii="Arial" w:cs="Arial" w:eastAsia="Arial" w:hAnsi="Arial"/>
          <w:sz w:val="18"/>
          <w:szCs w:val="18"/>
          <w:color w:val="auto"/>
        </w:rPr>
        <w:t>” means, with respect to any Interest Period when used in reference to any Loan or Borrowing:</w:t>
      </w:r>
    </w:p>
    <w:p>
      <w:pPr>
        <w:spacing w:after="0" w:line="223" w:lineRule="exact"/>
        <w:rPr>
          <w:sz w:val="20"/>
          <w:szCs w:val="20"/>
          <w:color w:val="auto"/>
        </w:rPr>
      </w:pPr>
    </w:p>
    <w:p>
      <w:pPr>
        <w:jc w:val="both"/>
        <w:ind w:left="760" w:firstLine="745"/>
        <w:spacing w:after="0" w:line="269" w:lineRule="auto"/>
        <w:tabs>
          <w:tab w:leader="none" w:pos="1844" w:val="left"/>
        </w:tabs>
        <w:numPr>
          <w:ilvl w:val="0"/>
          <w:numId w:val="90"/>
        </w:numPr>
        <w:rPr>
          <w:rFonts w:ascii="Arial" w:cs="Arial" w:eastAsia="Arial" w:hAnsi="Arial"/>
          <w:sz w:val="17"/>
          <w:szCs w:val="17"/>
          <w:color w:val="auto"/>
        </w:rPr>
      </w:pPr>
      <w:r>
        <w:rPr>
          <w:rFonts w:ascii="Arial" w:cs="Arial" w:eastAsia="Arial" w:hAnsi="Arial"/>
          <w:sz w:val="17"/>
          <w:szCs w:val="17"/>
          <w:color w:val="FF0000"/>
          <w:strike w:val="1"/>
        </w:rPr>
        <w:t>with respect to any LIBO Rate Loan or LIBO Rate Borrowing in Dollars (as the case may be), the rate of interest administered by ICE Benchmark Administration Limited (or on any successor or substitute page of such service, or any successor to such service as determined by the Administrative Agent) as the London interbank offered rate (“</w:t>
      </w:r>
      <w:r>
        <w:rPr>
          <w:rFonts w:ascii="Arial" w:cs="Arial" w:eastAsia="Arial" w:hAnsi="Arial"/>
          <w:sz w:val="17"/>
          <w:szCs w:val="17"/>
          <w:u w:val="single" w:color="auto"/>
          <w:color w:val="FF0000"/>
          <w:strike w:val="1"/>
        </w:rPr>
        <w:t>LIBOR</w:t>
      </w:r>
      <w:r>
        <w:rPr>
          <w:rFonts w:ascii="Arial" w:cs="Arial" w:eastAsia="Arial" w:hAnsi="Arial"/>
          <w:sz w:val="17"/>
          <w:szCs w:val="17"/>
          <w:color w:val="FF0000"/>
          <w:strike w:val="1"/>
        </w:rPr>
        <w:t xml:space="preserve">”) for deposits in Dollars for a term comparable to such Interest Period, at approximately 11:00 a.m. (London time) on the date which is two Business Days prior to the commencement of such Interest Period; (b) </w:t>
      </w:r>
      <w:r>
        <w:rPr>
          <w:rFonts w:ascii="Arial" w:cs="Arial" w:eastAsia="Arial" w:hAnsi="Arial"/>
          <w:sz w:val="17"/>
          <w:szCs w:val="17"/>
          <w:color w:val="000000"/>
          <w:strike w:val="1"/>
        </w:rPr>
        <w:t>with</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respect to any LIBO Rate Loan or LIBO Rate Borrowing in Euros, the rate per annum equal to the Euro Interbank Offered Rate (“</w:t>
      </w:r>
      <w:r>
        <w:rPr>
          <w:rFonts w:ascii="Arial" w:cs="Arial" w:eastAsia="Arial" w:hAnsi="Arial"/>
          <w:sz w:val="17"/>
          <w:szCs w:val="17"/>
          <w:u w:val="single" w:color="auto"/>
          <w:color w:val="000000"/>
          <w:strike w:val="1"/>
        </w:rPr>
        <w:t>EURIBOR</w:t>
      </w:r>
      <w:r>
        <w:rPr>
          <w:rFonts w:ascii="Arial" w:cs="Arial" w:eastAsia="Arial" w:hAnsi="Arial"/>
          <w:sz w:val="17"/>
          <w:szCs w:val="17"/>
          <w:color w:val="000000"/>
          <w:strike w:val="1"/>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182" w:lineRule="exact"/>
        <w:rPr>
          <w:rFonts w:ascii="Arial" w:cs="Arial" w:eastAsia="Arial" w:hAnsi="Arial"/>
          <w:sz w:val="17"/>
          <w:szCs w:val="17"/>
          <w:color w:val="auto"/>
        </w:rPr>
      </w:pPr>
    </w:p>
    <w:p>
      <w:pPr>
        <w:jc w:val="both"/>
        <w:ind w:left="760" w:firstLine="745"/>
        <w:spacing w:after="0" w:line="262" w:lineRule="auto"/>
        <w:tabs>
          <w:tab w:leader="none" w:pos="18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any LIBO Rate Loan or LIBO Rate Borrowing in a Revolving Alternative Currency other than Euro, such reference rate for loans or deposits in such currency for such Interest Period as the Administrative Agent, the Borrower and all Revolving Lenders shall agree.</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Capital Stock of such Person that is not Disqualified Capital Stock.</w:t>
      </w:r>
    </w:p>
    <w:p>
      <w:pPr>
        <w:spacing w:after="0" w:line="22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Securitization Financing</w:t>
      </w:r>
      <w:r>
        <w:rPr>
          <w:rFonts w:ascii="Arial" w:cs="Arial" w:eastAsia="Arial" w:hAnsi="Arial"/>
          <w:sz w:val="17"/>
          <w:szCs w:val="17"/>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Borrower and the Securitization Subsidiary, (b) all sales and/or contributions of Securitization Assets and related assets to the Securitization Subsidiary are made at fair market value and (c) the financing terms, covenants, termination events and other provisions thereof, including any Standard Securitization Undertakings, shall be market terms. The grant of a security interest in any Securitization Assets of the Borrower or any of the Restricted Subsidiaries (other than a Securitization Subsidiary) to secure Indebtedness under this Agreement prior to engaging in any Securitization Financing shall not be deemed a Qualified Securitization Financing.</w:t>
      </w:r>
    </w:p>
    <w:p>
      <w:pPr>
        <w:spacing w:after="0" w:line="18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Interest Expense</w:t>
      </w:r>
      <w:r>
        <w:rPr>
          <w:rFonts w:ascii="Arial" w:cs="Arial" w:eastAsia="Arial" w:hAnsi="Arial"/>
          <w:sz w:val="18"/>
          <w:szCs w:val="18"/>
          <w:color w:val="auto"/>
        </w:rPr>
        <w:t>” means, with respect to any Person for any period, (a) the sum of consolidated total interest expense of such Person and its Restricted Subsidiaries for such period, whether paid or accrued and whether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5" w:name="page106"/>
    <w:bookmarkEnd w:id="105"/>
    <w:p>
      <w:pPr>
        <w:jc w:val="both"/>
        <w:spacing w:after="0" w:line="286" w:lineRule="auto"/>
        <w:rPr>
          <w:sz w:val="20"/>
          <w:szCs w:val="20"/>
          <w:color w:val="auto"/>
        </w:rPr>
      </w:pPr>
      <w:r>
        <w:rPr>
          <w:rFonts w:ascii="Arial" w:cs="Arial" w:eastAsia="Arial" w:hAnsi="Arial"/>
          <w:sz w:val="16"/>
          <w:szCs w:val="16"/>
          <w:color w:val="auto"/>
        </w:rPr>
        <w:t xml:space="preserve">or not capitalized, (i) including (A) the interest component of any payment under any Capital Lease (regardless of whether accounted for as interest expense under GAAP), (B) amortization of original issue discount resulting from the issuance of Indebtedness at less than par, (C) any commission, discount and/or other fee or charge owed with respect to any letter of credit and/or bankers’ acceptance and (D) net payments arising under any interest rate Hedge Agreement with respect to Indebtedness and (ii) excluding (A) amortization of deferred financing fees, debt issuance costs, discounted liabilities, commissions, fees and expenses, (B) any expense arising from any bridge, commitment and/or other financing fee, (C) any expense resulting from the discounting of Indebtedness in connection with the application of recapitalization accounting or, if applicable, acquisition accounting, (D) penalties and interest relating to Taxes and (E) for the avoidance of doubt, any non-cash interest expense 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interest income for such period. For purposes of this definition, interest in respect of any Capital Lease shall be deemed to accrue at an interest rate reasonably determined by such Person to be the rate of interest implicit in such Capital Lease in accordance with GAAP.</w:t>
      </w:r>
    </w:p>
    <w:p>
      <w:pPr>
        <w:spacing w:after="0" w:line="16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Asset</w:t>
      </w:r>
      <w:r>
        <w:rPr>
          <w:rFonts w:ascii="Arial" w:cs="Arial" w:eastAsia="Arial" w:hAnsi="Arial"/>
          <w:sz w:val="18"/>
          <w:szCs w:val="18"/>
          <w:color w:val="auto"/>
        </w:rPr>
        <w:t>” means, at any time of determination, all right, title and interest (fee, leasehold or otherwise) of any Loan Party in and to real property (including, but not limited to, land, improvements and fixtures thereon).</w:t>
      </w:r>
    </w:p>
    <w:p>
      <w:pPr>
        <w:spacing w:after="0" w:line="171"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xml:space="preserve">” means an amendment to this Agreement that is reasonably satisfactory to the Administrative Agent and the Borrower executed by (a) Holdings and the Borrower, (b) the Administrative Agent and (c) each Lender that agrees to provide all or any portion of the Replacement Term Loans or the Replacement Revolving Facility, as applicable, being incurred pursuant thereto and in accordance with </w:t>
      </w:r>
      <w:r>
        <w:rPr>
          <w:rFonts w:ascii="Arial" w:cs="Arial" w:eastAsia="Arial" w:hAnsi="Arial"/>
          <w:sz w:val="16"/>
          <w:szCs w:val="16"/>
          <w:u w:val="single" w:color="auto"/>
          <w:color w:val="auto"/>
        </w:rPr>
        <w:t>Section 9.02(c)</w:t>
      </w:r>
      <w:r>
        <w:rPr>
          <w:rFonts w:ascii="Arial" w:cs="Arial" w:eastAsia="Arial" w:hAnsi="Arial"/>
          <w:sz w:val="16"/>
          <w:szCs w:val="16"/>
          <w:color w:val="auto"/>
        </w:rPr>
        <w: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6.01(p)</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6.04(a)(viii)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9.05(b)(iv)</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D</w:t>
      </w:r>
      <w:r>
        <w:rPr>
          <w:rFonts w:ascii="Arial" w:cs="Arial" w:eastAsia="Arial" w:hAnsi="Arial"/>
          <w:sz w:val="16"/>
          <w:szCs w:val="16"/>
          <w:color w:val="auto"/>
        </w:rPr>
        <w:t>” means Regulation D of the Board as from time to time in effect and all official rulings and interpretations thereunder or thereof.</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H</w:t>
      </w:r>
      <w:r>
        <w:rPr>
          <w:rFonts w:ascii="Arial" w:cs="Arial" w:eastAsia="Arial" w:hAnsi="Arial"/>
          <w:sz w:val="16"/>
          <w:szCs w:val="16"/>
          <w:color w:val="auto"/>
        </w:rPr>
        <w:t>” means Regulation H of the Board as from time to time in effect and all official rulings and interpretations thereunder or thereof.</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U</w:t>
      </w:r>
      <w:r>
        <w:rPr>
          <w:rFonts w:ascii="Arial" w:cs="Arial" w:eastAsia="Arial" w:hAnsi="Arial"/>
          <w:sz w:val="16"/>
          <w:szCs w:val="16"/>
          <w:color w:val="auto"/>
        </w:rPr>
        <w:t>” means Regulation U of the Board as from time to time in effect and all official rulings and interpretations thereunder or thereof.</w:t>
      </w:r>
    </w:p>
    <w:p>
      <w:pPr>
        <w:spacing w:after="0" w:line="2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managers, officers, trustees, employees, partners, agents, advisors and other representatives of such Person and such Person’s Affiliates.</w:t>
      </w:r>
    </w:p>
    <w:p>
      <w:pPr>
        <w:spacing w:after="0" w:line="171"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6" w:name="page107"/>
    <w:bookmarkEnd w:id="106"/>
    <w:p>
      <w:pPr>
        <w:jc w:val="both"/>
        <w:ind w:firstLine="749"/>
        <w:spacing w:after="0" w:line="262"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Relevant Governmental Body</w:t>
      </w:r>
      <w:r>
        <w:rPr>
          <w:rFonts w:ascii="Arial" w:cs="Arial" w:eastAsia="Arial" w:hAnsi="Arial"/>
          <w:sz w:val="18"/>
          <w:szCs w:val="18"/>
          <w:color w:val="FF0000"/>
          <w:strike w:val="1"/>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2" w:lineRule="exact"/>
        <w:rPr>
          <w:sz w:val="20"/>
          <w:szCs w:val="20"/>
          <w:color w:val="auto"/>
        </w:rPr>
      </w:pPr>
    </w:p>
    <w:p>
      <w:pPr>
        <w:jc w:val="both"/>
        <w:ind w:firstLine="81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w:t>
      </w:r>
      <w:r>
        <w:rPr>
          <w:rFonts w:ascii="Arial" w:cs="Arial" w:eastAsia="Arial" w:hAnsi="Arial"/>
          <w:sz w:val="18"/>
          <w:szCs w:val="18"/>
          <w:u w:val="single" w:color="auto"/>
          <w:color w:val="0000FF"/>
        </w:rPr>
        <w:t>, in the case of all Loans other than Revolving Loans that are LIBO Rate Loans,</w:t>
      </w:r>
      <w:r>
        <w:rPr>
          <w:rFonts w:ascii="Arial" w:cs="Arial" w:eastAsia="Arial" w:hAnsi="Arial"/>
          <w:sz w:val="18"/>
          <w:szCs w:val="18"/>
          <w:color w:val="auto"/>
        </w:rPr>
        <w:t xml:space="preserve"> with respect to any Credit Extension denominated in (a) British Pounds Sterling, SONIA, (b) Euros, EURIBOR, or (c) Dollars,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 as applicable.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“Relevant Rate Loan” means, any Loan bearing interest based on the Relevant Rate,</w:t>
      </w:r>
      <w:r>
        <w:rPr>
          <w:rFonts w:ascii="Arial" w:cs="Arial" w:eastAsia="Arial" w:hAnsi="Arial"/>
          <w:sz w:val="18"/>
          <w:szCs w:val="18"/>
          <w:color w:val="0000FF"/>
        </w:rPr>
        <w:t xml:space="preserve"> </w:t>
      </w:r>
      <w:r>
        <w:rPr>
          <w:rFonts w:ascii="Arial" w:cs="Arial" w:eastAsia="Arial" w:hAnsi="Arial"/>
          <w:sz w:val="18"/>
          <w:szCs w:val="18"/>
          <w:color w:val="000000"/>
        </w:rPr>
        <w:t>as applicable.</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Notes</w:t>
      </w:r>
      <w:r>
        <w:rPr>
          <w:rFonts w:ascii="Arial" w:cs="Arial" w:eastAsia="Arial" w:hAnsi="Arial"/>
          <w:sz w:val="18"/>
          <w:szCs w:val="18"/>
          <w:color w:val="auto"/>
        </w:rPr>
        <w:t xml:space="preserve">” means any Refinancing Indebtedness (whether issued in a public offering, Rule 144A under the Securities Act or other private placement or bridge financing in lieu of the foregoing or otherwise) incurred in respect of Indebtedness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any subsequent refinancing of such Replacement Notes).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Reportable Event</w:t>
      </w:r>
      <w:r>
        <w:rPr>
          <w:rFonts w:ascii="Arial" w:cs="Arial" w:eastAsia="Arial" w:hAnsi="Arial"/>
          <w:sz w:val="17"/>
          <w:szCs w:val="17"/>
          <w:color w:val="auto"/>
        </w:rPr>
        <w:t>” means, with respect to any Pension Plan or Multiemployer Plan, any of the events described in Section 4043(c) of ERISA or the regulations issued thereunder, other than those events as to which the 30-day notice period is waived under PBGC Reg. Section 4043.</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Transaction</w:t>
      </w:r>
      <w:r>
        <w:rPr>
          <w:rFonts w:ascii="Arial" w:cs="Arial" w:eastAsia="Arial" w:hAnsi="Arial"/>
          <w:sz w:val="17"/>
          <w:szCs w:val="17"/>
          <w:color w:val="auto"/>
        </w:rPr>
        <w:t xml:space="preserve">” means each of (a) the prepayment, repayment, refinancing, substitution or replacement of all or a portion of the Initial Term Loans substantially concurrently with the incurrence by any Loan Party of any secured first lien term loans (including any Replacement Term Loans) having an Effective Yield that is less than the Effective Yield applicable to the Initial Term Loans so prepaid, repaid, refinanced, substituted or replaced immediately prior to such prepayment, repayment, refinancing, substitution or replacement, as applicable, and (b) any amendment, waiver or other modification to this Agreement that would have the effect of reducing the Effective Yield applicable to the Initial Term Loans immediately prior to such amendment, waiver or modification;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primary purpose of such prepayment, repayment, refinancing, substitution, replacement, amendment, waiver or other modification was to reduce the Effective Yield applicable to the Initial Term Loans. Any determination by the Administrative Agent of the Effective Yield for purposes of this definition shall be conclusive and binding on all Lenders, and the Administrative Agent shall have no liability to any Person with respect to such determination absent bad faith, gross negligence or willful misconduct.</w:t>
      </w:r>
    </w:p>
    <w:p>
      <w:pPr>
        <w:spacing w:after="0" w:line="17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Asset Sale Percentage</w:t>
      </w:r>
      <w:r>
        <w:rPr>
          <w:rFonts w:ascii="Arial" w:cs="Arial" w:eastAsia="Arial" w:hAnsi="Arial"/>
          <w:sz w:val="17"/>
          <w:szCs w:val="17"/>
          <w:color w:val="auto"/>
        </w:rPr>
        <w:t xml:space="preserve">” means, as of any date of determination, (a) if the First Lien Leverage Ratio is greater than 4.00:1.00, 100%, (b) if the First Lien Leverage Ratio is less than or equal to than 4.00:1.00, and greater than 3.50:1.00, 50% and (c) if the First Lien Leverage Ratio is less than or equal to 3.50:1.00, 0%; it being understood and agreed that, for purposes of this definition as it applies to the determination of the amount of Net Proceeds that are required to be applied to prepay the Term Loans under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for any Fiscal Year, the First Lien Leverage Ratio shall be determined on the scheduled date of prepayment and recalculated to give pro forma effect to any such prepayment.</w:t>
      </w:r>
    </w:p>
    <w:p>
      <w:pPr>
        <w:spacing w:after="0" w:line="17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Excess Cash Flow Percentage</w:t>
      </w:r>
      <w:r>
        <w:rPr>
          <w:rFonts w:ascii="Arial" w:cs="Arial" w:eastAsia="Arial" w:hAnsi="Arial"/>
          <w:sz w:val="17"/>
          <w:szCs w:val="17"/>
          <w:color w:val="auto"/>
        </w:rPr>
        <w:t xml:space="preserve">” means, as of any date of determination, (a) if the First Lien Leverage Ratio is greater than 4.00:1.00, 50%, (b) if the First Lien Leverage Ratio is less than or equal to than 4.00:1.00, and greater than 3.50:1.00, 25% and (c) if the First Lien Leverage Ratio is less than or equal to 3.50:1.00, 0%; it being understood and agreed that, for purposes of this definition as it applies to the determination of the amount of Excess Cash Flow that are required to be applied to prepay the Term Loans under </w:t>
      </w:r>
      <w:r>
        <w:rPr>
          <w:rFonts w:ascii="Arial" w:cs="Arial" w:eastAsia="Arial" w:hAnsi="Arial"/>
          <w:sz w:val="17"/>
          <w:szCs w:val="17"/>
          <w:u w:val="single" w:color="auto"/>
          <w:color w:val="auto"/>
        </w:rPr>
        <w:t>Section 2.11(b)(i)</w:t>
      </w:r>
      <w:r>
        <w:rPr>
          <w:rFonts w:ascii="Arial" w:cs="Arial" w:eastAsia="Arial" w:hAnsi="Arial"/>
          <w:sz w:val="17"/>
          <w:szCs w:val="17"/>
          <w:color w:val="auto"/>
        </w:rPr>
        <w:t xml:space="preserve"> for any Excess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7" w:name="page108"/>
    <w:bookmarkEnd w:id="107"/>
    <w:p>
      <w:pPr>
        <w:jc w:val="both"/>
        <w:spacing w:after="0" w:line="275" w:lineRule="auto"/>
        <w:rPr>
          <w:sz w:val="20"/>
          <w:szCs w:val="20"/>
          <w:color w:val="auto"/>
        </w:rPr>
      </w:pPr>
      <w:r>
        <w:rPr>
          <w:rFonts w:ascii="Arial" w:cs="Arial" w:eastAsia="Arial" w:hAnsi="Arial"/>
          <w:sz w:val="18"/>
          <w:szCs w:val="18"/>
          <w:color w:val="auto"/>
        </w:rPr>
        <w:t>Cash Flow Period, the First Lien Leverage Ratio shall be determined on the scheduled date of prepayment and recalculated to give pro forma effect to any such prepayment.</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Loans or unused Commitments representing more than 50% of the sum of the total Loans and such unused commitments at such time.</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w:t>
      </w:r>
    </w:p>
    <w:p>
      <w:pPr>
        <w:spacing w:after="0" w:line="18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has the meaning as defined in </w:t>
      </w:r>
      <w:r>
        <w:rPr>
          <w:rFonts w:ascii="Arial" w:cs="Arial" w:eastAsia="Arial" w:hAnsi="Arial"/>
          <w:sz w:val="18"/>
          <w:szCs w:val="18"/>
          <w:u w:val="single" w:color="auto"/>
          <w:color w:val="auto"/>
        </w:rPr>
        <w:t>Section 2.18(d)</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Arial" w:cs="Arial" w:eastAsia="Arial" w:hAnsi="Arial"/>
          <w:sz w:val="16"/>
          <w:szCs w:val="16"/>
          <w:u w:val="single" w:color="auto"/>
          <w:color w:val="auto"/>
        </w:rPr>
        <w:t>Article 2</w:t>
      </w:r>
      <w:r>
        <w:rPr>
          <w:rFonts w:ascii="Arial" w:cs="Arial" w:eastAsia="Arial" w:hAnsi="Arial"/>
          <w:sz w:val="16"/>
          <w:szCs w:val="16"/>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 Certification</w:t>
      </w:r>
      <w:r>
        <w:rPr>
          <w:rFonts w:ascii="Arial" w:cs="Arial" w:eastAsia="Arial" w:hAnsi="Arial"/>
          <w:sz w:val="18"/>
          <w:szCs w:val="18"/>
          <w:color w:val="auto"/>
        </w:rPr>
        <w:t>” 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Borrower as at the dates indicated and its consolidated income and cash flows for the periods indicated, subject to changes resulting from audit and normal year-end adjustments.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2.11(b)(iv)</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6.04(b)</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6.04(b)</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on account of any shares of any class of the Capital Stock of the Borrower, except a dividend payable solely in shares of Qualified Capital Stock of the Borrower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8" w:name="page109"/>
    <w:bookmarkEnd w:id="108"/>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as to any Person, any subsidiary of such Person that is not an Unrestricted Subsidiary. Unless otherwise specified, “Restricted Subsidiary” shall mean any Restricted Subsidiary of the Borrower.</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Excess Cash Flow Amount</w:t>
      </w:r>
      <w:r>
        <w:rPr>
          <w:rFonts w:ascii="Arial" w:cs="Arial" w:eastAsia="Arial" w:hAnsi="Arial"/>
          <w:sz w:val="18"/>
          <w:szCs w:val="18"/>
          <w:color w:val="auto"/>
        </w:rPr>
        <w:t xml:space="preserve">” means, at any date of determination, an amount, determined on a cumulative basis, that is equal to the aggregate cumulative sum of the Excess Cash Flow that is not required to be applied as a mandatory prepayment under </w:t>
      </w:r>
      <w:r>
        <w:rPr>
          <w:rFonts w:ascii="Arial" w:cs="Arial" w:eastAsia="Arial" w:hAnsi="Arial"/>
          <w:sz w:val="18"/>
          <w:szCs w:val="18"/>
          <w:u w:val="single" w:color="auto"/>
          <w:color w:val="auto"/>
        </w:rPr>
        <w:t>Section 2.11(b)(i)</w:t>
      </w:r>
      <w:r>
        <w:rPr>
          <w:rFonts w:ascii="Arial" w:cs="Arial" w:eastAsia="Arial" w:hAnsi="Arial"/>
          <w:sz w:val="18"/>
          <w:szCs w:val="18"/>
          <w:color w:val="auto"/>
        </w:rPr>
        <w:t xml:space="preserve"> for all Excess Cash Flow Periods ending after the Closing Date and prior to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not be less than zero for any Excess Cash Flow Period.</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Alternative Currency</w:t>
      </w:r>
      <w:r>
        <w:rPr>
          <w:rFonts w:ascii="Arial" w:cs="Arial" w:eastAsia="Arial" w:hAnsi="Arial"/>
          <w:sz w:val="18"/>
          <w:szCs w:val="18"/>
          <w:color w:val="auto"/>
        </w:rPr>
        <w:t>” means British Pounds Sterling, Euro and any other currencies as shall be agreed from time to time among the Administrative Agent, each Revolving Lender, each applicable Issuing Bank and the Borrower.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any Initial Revolving Credit Commitment and any Additional Revolving Credit Commitment.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aggregate Outstanding Amount at such time of such Lender’s Initial Revolving Credit Exposure and Additional Revolving Credit Exposure.</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Initial Revolving Facility, any Incremental Revolving Facility, any facility governing Extended Revolving Credit Commitments or Extended Revolving Loans and any Replacement Revolving Facility.</w:t>
      </w:r>
    </w:p>
    <w:p>
      <w:pPr>
        <w:spacing w:after="0" w:line="171"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Facility Test Condition</w:t>
      </w:r>
      <w:r>
        <w:rPr>
          <w:rFonts w:ascii="Arial" w:cs="Arial" w:eastAsia="Arial" w:hAnsi="Arial"/>
          <w:sz w:val="16"/>
          <w:szCs w:val="16"/>
          <w:color w:val="auto"/>
        </w:rPr>
        <w:t>” means, as of any date of determination, without duplication, that the aggregate Outstanding Amount of (a) all Revolving Loans (excluding, at the end of the second full Fiscal Quarter ending after the Closing Date, any Revolving Loans borrowed on the Closing Date to finance a portion of the Transactions and/or the payment of any Transaction Costs) including Swingline Loans and (b) LC Disbursements that have not been reimbursed within three Business Days unless the applicable Letters of Credit have been cash collateralized or backstopped in an amount equal to 100% of the then-available face amount exceeds an amount equal to 35% of the Total Revolving Credit Commitment.</w:t>
      </w:r>
    </w:p>
    <w:p>
      <w:pPr>
        <w:spacing w:after="0" w:line="15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Initial Revolving Lender and any Additional Revolving Lender. Unless the context requires otherwise, the term “Revolving Lender” shall include the Swingline Lender.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any Initial Revolving Loans and any Additional Revolving Loans.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RFR</w:t>
      </w:r>
      <w:r>
        <w:rPr>
          <w:rFonts w:ascii="Arial" w:cs="Arial" w:eastAsia="Arial" w:hAnsi="Arial"/>
          <w:sz w:val="16"/>
          <w:szCs w:val="16"/>
          <w:color w:val="auto"/>
        </w:rPr>
        <w:t>” means, for any Obligations consisting of any interest, fees or other amounts denominated in British Pounds Sterling, Daily Simple RFR.</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assigned to such term in the definition of “Daily Simple RFR”.</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Payment</w:t>
      </w:r>
      <w:r>
        <w:rPr>
          <w:rFonts w:ascii="Arial" w:cs="Arial" w:eastAsia="Arial" w:hAnsi="Arial"/>
          <w:sz w:val="18"/>
          <w:szCs w:val="18"/>
          <w:color w:val="auto"/>
        </w:rPr>
        <w:t xml:space="preserve">” means, in respect of any Interest Period in relation to an RFR Loan, the aggregate amount of interest that is, or is scheduled to become, payable under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Lookback Day</w:t>
      </w:r>
      <w:r>
        <w:rPr>
          <w:rFonts w:ascii="Arial" w:cs="Arial" w:eastAsia="Arial" w:hAnsi="Arial"/>
          <w:sz w:val="18"/>
          <w:szCs w:val="18"/>
          <w:color w:val="auto"/>
        </w:rPr>
        <w:t>” has the meaning assigned to such term in the definition of “Daily Simple RFR”.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Daily Simple RFR.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subsidiary of S&amp;P Global Inc.</w:t>
      </w:r>
    </w:p>
    <w:p>
      <w:pPr>
        <w:spacing w:after="0" w:line="223"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lease of any property (whether real, personal or mixed), whether now owned or hereafter acquired, which the Borrower or the relevant Restricted Subsidiary (a) has sold or transferred or is to sell or to transfer to any other Person (other than the Borrower or any of its Restricted Subsidiaries) and (b) intends to use for substantially the same purpose as the property which has been or is to be sold or transferred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by the Borrower or such Restricted Subsidiary to any Person (other than the Borrower or any of its Restricted Subsidiaries) in connection with such lease.</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Consideration</w:t>
      </w:r>
      <w:r>
        <w:rPr>
          <w:rFonts w:ascii="Arial" w:cs="Arial" w:eastAsia="Arial" w:hAnsi="Arial"/>
          <w:sz w:val="18"/>
          <w:szCs w:val="18"/>
          <w:color w:val="auto"/>
        </w:rPr>
        <w:t>” has the meaning assigned to such term in the definition of “Excess Cash Flow.”</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“Scheduled Unavailability Date” has the meaning assigned to such term in Section 1.12.</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or all of its functions.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Hedging Obligations</w:t>
      </w:r>
      <w:r>
        <w:rPr>
          <w:rFonts w:ascii="Arial" w:cs="Arial" w:eastAsia="Arial" w:hAnsi="Arial"/>
          <w:sz w:val="16"/>
          <w:szCs w:val="16"/>
          <w:color w:val="auto"/>
        </w:rPr>
        <w:t>” means all Hedging Obligations (other than any Excluded Swap Obligations) under each Hedge Agreement that</w:t>
      </w:r>
    </w:p>
    <w:p>
      <w:pPr>
        <w:spacing w:after="0" w:line="46" w:lineRule="exact"/>
        <w:rPr>
          <w:sz w:val="20"/>
          <w:szCs w:val="20"/>
          <w:color w:val="auto"/>
        </w:rPr>
      </w:pPr>
    </w:p>
    <w:p>
      <w:pPr>
        <w:jc w:val="both"/>
        <w:ind w:firstLine="7"/>
        <w:spacing w:after="0" w:line="266" w:lineRule="auto"/>
        <w:tabs>
          <w:tab w:leader="none" w:pos="24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is in effect on the Closing Date between any Loan Party and a counterparty that is the Administrative Agent, a Lender, an Arranger or any Affiliate of the Administrative Agent, a Lender or an Arranger as of the Closing Date, (b) is entered into after the Closing Date between any Loan Party and any counterparty that is (or is an Affiliate of) the Administrative Agent, any Lender or any Arranger at the time such Hedge Agreement is entered into or (c) is in effect on the Closing Date or entered into after the Closing Date by any Loan Party with any counterparty designated as a “Secured Hedge Bank” by written notice executed by the Borrower and such counterparty to the Administrative Agent in a form reasonably acceptable to the Administrative Agent, in each case, for which such Loan Party agrees to provide security and in each case that has been designated to the Administrative Agent in writing by the Borrower as being a Secured Hedging Obligation for purposes of the Loan Documents, it being understood that each counterparty thereto shall be deemed (A) to appoint the Administrative Agent as its agent under the applicable Loan Documents and (B) to agree to be bound by the provisions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as if it were a Lender.</w:t>
      </w:r>
    </w:p>
    <w:p>
      <w:pPr>
        <w:spacing w:after="0" w:line="18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means the ratio, as of any date of determination, of (a) Consolidated Secured Debt as of the last day of the Test Period then most recently ended to (b) Consolidated Adjusted EBITDA for the Test Period then most recently ended, in each case of the Borrower and its Restricted Subsidiaries on a consolidated basis.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all Obligations, together with (a) all Banking Services Obligations and (b) all Secured Hedging Obligations.</w:t>
      </w:r>
    </w:p>
    <w:p>
      <w:pPr>
        <w:spacing w:after="0" w:line="23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(i) the Lenders, the Issuing Banks and the Swingline Lender, (ii) the Administrative Agent, (iii) each counterparty to a Hedge Agreement with a Loan Party the obligations under which constitute Secured Hedging Obligations, (iv) each provider of Banking Services to any Loan Party the obligations under which constitute Banking Services Obligations, (v) the Arrangers and (vi) the beneficiaries of each indemnification obligation undertaken by any Loan Party under any Loan Document.</w:t>
      </w:r>
    </w:p>
    <w:p>
      <w:pPr>
        <w:spacing w:after="0" w:line="185"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“Securities” shall not include any earn-out agreement or obligation or any employee bonus or other incentive compensation plan or agreement.</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of the SEC promulgated thereunder.</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Assets</w:t>
      </w:r>
      <w:r>
        <w:rPr>
          <w:rFonts w:ascii="Arial" w:cs="Arial" w:eastAsia="Arial" w:hAnsi="Arial"/>
          <w:sz w:val="18"/>
          <w:szCs w:val="18"/>
          <w:color w:val="auto"/>
        </w:rPr>
        <w:t>” means the accounts receivable, royalty or other revenue streams and other rights to payment subject to a Qualified Securitization Financing and the proceeds thereof.</w:t>
      </w:r>
    </w:p>
    <w:p>
      <w:pPr>
        <w:spacing w:after="0" w:line="171" w:lineRule="exact"/>
        <w:rPr>
          <w:sz w:val="20"/>
          <w:szCs w:val="20"/>
          <w:color w:val="auto"/>
        </w:rPr>
      </w:pPr>
    </w:p>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Fees</w:t>
      </w:r>
      <w:r>
        <w:rPr>
          <w:rFonts w:ascii="Arial" w:cs="Arial" w:eastAsia="Arial" w:hAnsi="Arial"/>
          <w:sz w:val="16"/>
          <w:szCs w:val="16"/>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0" w:name="page111"/>
    <w:bookmarkEnd w:id="110"/>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Financing</w:t>
      </w:r>
      <w:r>
        <w:rPr>
          <w:rFonts w:ascii="Arial" w:cs="Arial" w:eastAsia="Arial" w:hAnsi="Arial"/>
          <w:sz w:val="18"/>
          <w:szCs w:val="18"/>
          <w:color w:val="auto"/>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9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Repurchase Obligation</w:t>
      </w:r>
      <w:r>
        <w:rPr>
          <w:rFonts w:ascii="Arial" w:cs="Arial" w:eastAsia="Arial" w:hAnsi="Arial"/>
          <w:sz w:val="18"/>
          <w:szCs w:val="18"/>
          <w:color w:val="auto"/>
        </w:rPr>
        <w:t>” means any obligation of a seller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5"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Subsidiary</w:t>
      </w:r>
      <w:r>
        <w:rPr>
          <w:rFonts w:ascii="Arial" w:cs="Arial" w:eastAsia="Arial" w:hAnsi="Arial"/>
          <w:sz w:val="16"/>
          <w:szCs w:val="16"/>
          <w:color w:val="auto"/>
        </w:rPr>
        <w:t>”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 (a) no portion of the Indebtedness or any other obligations (contingent or otherwise) of which</w:t>
      </w:r>
    </w:p>
    <w:p>
      <w:pPr>
        <w:spacing w:after="0" w:line="3" w:lineRule="exact"/>
        <w:rPr>
          <w:sz w:val="20"/>
          <w:szCs w:val="20"/>
          <w:color w:val="auto"/>
        </w:rPr>
      </w:pPr>
    </w:p>
    <w:p>
      <w:pPr>
        <w:jc w:val="both"/>
        <w:ind w:firstLine="7"/>
        <w:spacing w:after="0" w:line="265" w:lineRule="auto"/>
        <w:tabs>
          <w:tab w:leader="none" w:pos="221" w:val="left"/>
        </w:tabs>
        <w:numPr>
          <w:ilvl w:val="0"/>
          <w:numId w:val="92"/>
        </w:numPr>
        <w:rPr>
          <w:rFonts w:ascii="Arial" w:cs="Arial" w:eastAsia="Arial" w:hAnsi="Arial"/>
          <w:sz w:val="17"/>
          <w:szCs w:val="17"/>
          <w:color w:val="auto"/>
        </w:rPr>
      </w:pPr>
      <w:r>
        <w:rPr>
          <w:rFonts w:ascii="Arial" w:cs="Arial" w:eastAsia="Arial" w:hAnsi="Arial"/>
          <w:sz w:val="17"/>
          <w:szCs w:val="17"/>
          <w:color w:val="auto"/>
        </w:rPr>
        <w:t>is guaranteed by Holdings, the Borrower or any other Subsidiary of the Borrower, other than another Securitization Subsidiary (excluding guarantees of obligations (other than the principal of, and interest on, Indebtedness) pursuant to Standard Securitization Undertakings), (ii) is recourse to or obligates Holdings, the Borrower or any other Subsidiary of the Borrower, other than another Securitization Subsidiary, in any way other than pursuant to Standard Securitization Undertakings or (iii) subjects any property or asset of Holdings, the Borrower or any other Subsidiary of the Borrower, other than another Securitization Subsidiary, directly or indirectly, contingently or otherwise, to the satisfaction thereof, other than pursuant to Standard Securitization Undertakings, (b) with which none of Holdings, the Borrower or any other Subsidiary of the Borrower, other than another Securitization Subsidiary, has any material contract, agreement, arrangement or understanding other than on terms which the Borrower reasonably believes to be no less favorable to Holdings, the Borrower or such Subsidiary than those that might be obtained at the time from Persons that are not Affiliates of the Borrower and (c) to which none of Holdings, the Borrower or any other Subsidiary of the Borrower, other than another Securitization Subsidiary, has any obligation to maintain or preserve such entity’s financial condition or cause such entity to achieve certain levels of operating results. Any such designation by the board of directors of the Borrower or such other Person shall be evidenced to the Administrative Agent by delivery to the Administrative Agent of a certified copy of the resolution of the board of directors of the Borrower or such other Person giving effect to such designation and a certificate executed by a Responsible Officer certifying that such designation complied with the foregoing conditions.</w:t>
      </w:r>
    </w:p>
    <w:p>
      <w:pPr>
        <w:spacing w:after="0" w:line="18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Pledge and Security Agreement,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among the Loan Parties and the Administrative Agent for the benefit of the Secured Parties.</w:t>
      </w:r>
    </w:p>
    <w:p>
      <w:pPr>
        <w:spacing w:after="0" w:line="17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Incremental Amount</w:t>
      </w:r>
      <w:r>
        <w:rPr>
          <w:rFonts w:ascii="Arial" w:cs="Arial" w:eastAsia="Arial" w:hAnsi="Arial"/>
          <w:sz w:val="17"/>
          <w:szCs w:val="17"/>
          <w:color w:val="auto"/>
        </w:rPr>
        <w:t xml:space="preserve">” means (a) the greater of (i) $235,000,000 and (ii) 100% of Consolidated Adjusted EBITDA as of the last day of the most recently ended Test Period calculated on a Pro Forma Basis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 the aggregate outstanding principal amount of all Incremental Facilities and/or Incremental Equivalent Debt incurred or issued in reliance on the Shared Incremental Amount, after giving effect to any reclassification of such Incremental Facilities or Incremental Equivalent Debt as incurred under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“Incremental Cap”.</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xml:space="preserve">” means any Person the majority of the revenues of which are derived from a business that would be permitted by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if the references to “Restricted Subsidiaries” in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were read to refer to such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1" w:name="page112"/>
    <w:bookmarkEnd w:id="111"/>
    <w:p>
      <w:pPr>
        <w:jc w:val="both"/>
        <w:ind w:firstLine="7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w:t>
      </w:r>
      <w:r>
        <w:rPr>
          <w:rFonts w:ascii="Arial" w:cs="Arial" w:eastAsia="Arial" w:hAnsi="Arial"/>
          <w:sz w:val="18"/>
          <w:szCs w:val="18"/>
          <w:color w:val="FF0000"/>
          <w:strike w:val="1"/>
        </w:rPr>
        <w:t>, with respect to any Business Day, the secured overnight financing rate published for such day by the Federal Reserve Bank of</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 </w:t>
      </w:r>
      <w:r>
        <w:rPr>
          <w:rFonts w:ascii="Arial" w:cs="Arial" w:eastAsia="Arial" w:hAnsi="Arial"/>
          <w:sz w:val="18"/>
          <w:szCs w:val="18"/>
          <w:u w:val="single" w:color="auto"/>
          <w:color w:val="0000FF"/>
          <w:strike w:val="1"/>
        </w:rPr>
        <w:t>the Secured Overnight Financing Rate as administered by the Federal Reserve Bank of New York (or a</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successor administrator)</w:t>
      </w:r>
      <w:r>
        <w:rPr>
          <w:rFonts w:ascii="Arial" w:cs="Arial" w:eastAsia="Arial" w:hAnsi="Arial"/>
          <w:sz w:val="18"/>
          <w:szCs w:val="18"/>
          <w:color w:val="0000FF"/>
          <w:strike w:val="1"/>
        </w:rPr>
        <w:t>.</w:t>
      </w:r>
    </w:p>
    <w:p>
      <w:pPr>
        <w:spacing w:after="0" w:line="19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“SOFR-</w:t>
      </w:r>
      <w:r>
        <w:rPr>
          <w:rFonts w:ascii="Arial" w:cs="Arial" w:eastAsia="Arial" w:hAnsi="Arial"/>
          <w:sz w:val="18"/>
          <w:szCs w:val="18"/>
          <w:u w:val="single" w:color="auto"/>
          <w:color w:val="FF0000"/>
          <w:strike w:val="1"/>
        </w:rPr>
        <w:t>Based Rate</w:t>
      </w:r>
      <w:r>
        <w:rPr>
          <w:rFonts w:ascii="Arial" w:cs="Arial" w:eastAsia="Arial" w:hAnsi="Arial"/>
          <w:sz w:val="18"/>
          <w:szCs w:val="18"/>
          <w:color w:val="FF0000"/>
          <w:strike w:val="1"/>
        </w:rPr>
        <w:t>” means SOFR or Term SOFR.</w:t>
      </w:r>
      <w:r>
        <w:rPr>
          <w:rFonts w:ascii="Arial" w:cs="Arial" w:eastAsia="Arial" w:hAnsi="Arial"/>
          <w:sz w:val="18"/>
          <w:szCs w:val="18"/>
          <w:u w:val="single" w:color="auto"/>
          <w:color w:val="0000FF"/>
        </w:rPr>
        <w:t>Adjustment” with respect to Term SOFR means 0.11448% (11.448 basis points) for an Interest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Period of one-month’s duration, 0.26161% (26.161 basis points) for an Interest Period of three-months’ duration, and 0.42826% (42.826 basis points) for an Interest Period of six-months’ duration.</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with respect to any Business Day, a rate per annum equal to the Sterling Overnight Index Average for such Business Day published by the SONIA Administrator on the SONIA Administrator’s Website.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Debt</w:t>
      </w:r>
      <w:r>
        <w:rPr>
          <w:rFonts w:ascii="Arial" w:cs="Arial" w:eastAsia="Arial" w:hAnsi="Arial"/>
          <w:sz w:val="18"/>
          <w:szCs w:val="18"/>
          <w:color w:val="auto"/>
        </w:rPr>
        <w:t>” has the meaning assigned to such term in the definition of “Permitted Earlier Maturity Indebtedness Exception.”</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Guarantor Release Provision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3.01(a)(i)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(as it relates to the due authorization, execution, delivery and performance of the Loan Documents and the enforceability thereof), </w:t>
      </w:r>
      <w:r>
        <w:rPr>
          <w:rFonts w:ascii="Arial" w:cs="Arial" w:eastAsia="Arial" w:hAnsi="Arial"/>
          <w:sz w:val="18"/>
          <w:szCs w:val="18"/>
          <w:u w:val="single" w:color="auto"/>
          <w:color w:val="auto"/>
        </w:rPr>
        <w:t>3.03(b)(i)</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3.14</w:t>
      </w:r>
      <w:r>
        <w:rPr>
          <w:rFonts w:ascii="Arial" w:cs="Arial" w:eastAsia="Arial" w:hAnsi="Arial"/>
          <w:sz w:val="18"/>
          <w:szCs w:val="18"/>
          <w:color w:val="auto"/>
        </w:rPr>
        <w:t xml:space="preserve"> (as it relates to the creation, validity and perfection of the security interests in the Collateral), </w:t>
      </w:r>
      <w:r>
        <w:rPr>
          <w:rFonts w:ascii="Arial" w:cs="Arial" w:eastAsia="Arial" w:hAnsi="Arial"/>
          <w:sz w:val="18"/>
          <w:szCs w:val="18"/>
          <w:u w:val="single" w:color="auto"/>
          <w:color w:val="auto"/>
        </w:rPr>
        <w:t>3.16, 3.17(a)(ii)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3.17(b)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3.17(c)</w:t>
      </w:r>
      <w:r>
        <w:rPr>
          <w:rFonts w:ascii="Arial" w:cs="Arial" w:eastAsia="Arial" w:hAnsi="Arial"/>
          <w:sz w:val="18"/>
          <w:szCs w:val="18"/>
          <w:color w:val="auto"/>
        </w:rPr>
        <w:t xml:space="preserve"> (solely as it relates to the use of proceeds in violation of FCPA).</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means, collectively, Advent, its controlled Affiliates and funds managed or advised by any of them or any of their respective controlled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 of Credit</w:t>
      </w:r>
      <w:r>
        <w:rPr>
          <w:rFonts w:ascii="Arial" w:cs="Arial" w:eastAsia="Arial" w:hAnsi="Arial"/>
          <w:sz w:val="18"/>
          <w:szCs w:val="18"/>
          <w:color w:val="auto"/>
        </w:rPr>
        <w:t>” means any Letter of Credit other than any Commercial Letter of Credit.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and indemnities entered into by the Borrower or any Subsidiary of the Borrower that are customary in a Securitization Financing.</w:t>
      </w:r>
    </w:p>
    <w:p>
      <w:pPr>
        <w:spacing w:after="0" w:line="171"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Amount</w:t>
      </w:r>
      <w:r>
        <w:rPr>
          <w:rFonts w:ascii="Arial" w:cs="Arial" w:eastAsia="Arial" w:hAnsi="Arial"/>
          <w:sz w:val="16"/>
          <w:szCs w:val="16"/>
          <w:color w:val="auto"/>
        </w:rPr>
        <w:t>” means, with respect to any Letter of Credit, at any time, the maximum amount available to be drawn thereunder, in each case determined (x) as if any future automatic increases in the maximum available amount provided for in any such Letter of Credit had in fact occurred at such time and (y) without regard to whether any conditions to drawing could then be met but after giving effect to all previous drawings made thereunder.</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1.03(b)</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Person</w:t>
      </w:r>
      <w:r>
        <w:rPr>
          <w:rFonts w:ascii="Arial" w:cs="Arial" w:eastAsia="Arial" w:hAnsi="Arial"/>
          <w:sz w:val="18"/>
          <w:szCs w:val="18"/>
          <w:color w:val="auto"/>
        </w:rPr>
        <w:t>” has the meaning assigned to such term in the definition of “Consolidated Net Income.”</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2" w:name="page113"/>
    <w:bookmarkEnd w:id="112"/>
    <w:p>
      <w:pPr>
        <w:jc w:val="both"/>
        <w:ind w:firstLine="74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Transaction</w:t>
      </w:r>
      <w:r>
        <w:rPr>
          <w:rFonts w:ascii="Arial" w:cs="Arial" w:eastAsia="Arial" w:hAnsi="Arial"/>
          <w:sz w:val="16"/>
          <w:szCs w:val="16"/>
          <w:color w:val="auto"/>
        </w:rPr>
        <w:t>” means, with respect to any Test Period, (a) the Transactions, (b) any Permitted Acquisition or any other acquisition, whether by purchase, merger or otherwise, of all or substantially all of the assets of, or any business line, unit or division of, any Person or of a majority of the outstanding Capital Stock of any Person (and, in any event, including any Investment in (x) 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w:t>
      </w:r>
    </w:p>
    <w:p>
      <w:pPr>
        <w:spacing w:after="0" w:line="1" w:lineRule="exact"/>
        <w:rPr>
          <w:sz w:val="20"/>
          <w:szCs w:val="20"/>
          <w:color w:val="auto"/>
        </w:rPr>
      </w:pPr>
    </w:p>
    <w:p>
      <w:pPr>
        <w:jc w:val="both"/>
        <w:ind w:firstLine="7"/>
        <w:spacing w:after="0" w:line="251" w:lineRule="auto"/>
        <w:tabs>
          <w:tab w:leader="none" w:pos="2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Disposition of all or substantially all of the assets or Capital Stock of any subsidiary (or any business unit, line of business or division of the Borrower or a Restricted Subsidiary) not prohibited by this Agreement, (d) the designation of a Restricted Subsidiary as an Unrestricted Subsidiary or an Unrestricted Subsidiary as a Restricted Subsidiary in accordance with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hereof, (e) any incurrence or repayment of Indebtedness and/or (f) any other event that by the terms of the Loan Documents requires pro forma compliance with a test or covenant hereunder or requires such test or covenant to be calculated on a pro forma basis.</w:t>
      </w:r>
    </w:p>
    <w:p>
      <w:pPr>
        <w:spacing w:after="0" w:line="19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such entity’s financial results are required to be included in such Person’s consolidated financial statements under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82"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(x) on the Closing Date, each Subsidiary of the Borrower (other than any such Subsidiary that is an Excluded Subsidiary on the Closing Date) and (y) thereafter, each Subsidiary of the Borrower that becomes a guarantor of the Secured Obligations pursuant to the terms of this Agreement, in each case, until such time as the relevant Subsidiary is released from its obligations under the Loan Guaranty in accordance with the terms and provisions hereof. Notwithstanding the foregoing, the Borrower may elect to cause any Restricted Subsidiary that is not otherwise required to be a Subsidiary Guarantor to provide a Loan Guaranty by causing such Restricted Subsidiary to execute a joinder to the Loan Guaranty in substantially the form attached as an exhibit thereto, and any such Restricted Subsidiary shall be a Loan Party and Subsidiary Guarantor hereunder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election shall be at the sole discretion of the Borrower with the consent of the Administrative Agent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such an election such Restricted Subsidiary shall no longer be deemed to be an Excluded Subsidiary.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6.07(a)</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Rate Conforming Changes</w:t>
      </w:r>
      <w:r>
        <w:rPr>
          <w:rFonts w:ascii="Arial" w:cs="Arial" w:eastAsia="Arial" w:hAnsi="Arial"/>
          <w:sz w:val="17"/>
          <w:szCs w:val="17"/>
          <w:color w:val="auto"/>
        </w:rPr>
        <w:t xml:space="preserve">” means, with respect to </w:t>
      </w:r>
      <w:r>
        <w:rPr>
          <w:rFonts w:ascii="Arial" w:cs="Arial" w:eastAsia="Arial" w:hAnsi="Arial"/>
          <w:sz w:val="17"/>
          <w:szCs w:val="17"/>
          <w:u w:val="single" w:color="auto"/>
          <w:color w:val="0000FF"/>
        </w:rPr>
        <w:t>the use, administration of or any conventions associated with SOFR, Term SOFR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w:t>
      </w:r>
      <w:r>
        <w:rPr>
          <w:rFonts w:ascii="Arial" w:cs="Arial" w:eastAsia="Arial" w:hAnsi="Arial"/>
          <w:sz w:val="17"/>
          <w:szCs w:val="17"/>
          <w:color w:val="0000FF"/>
        </w:rPr>
        <w:t xml:space="preserve"> </w:t>
      </w:r>
      <w:r>
        <w:rPr>
          <w:rFonts w:ascii="Arial" w:cs="Arial" w:eastAsia="Arial" w:hAnsi="Arial"/>
          <w:sz w:val="17"/>
          <w:szCs w:val="17"/>
          <w:color w:val="000000"/>
        </w:rPr>
        <w:t>any proposed Successor Rate,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as applicable,</w:t>
      </w:r>
      <w:r>
        <w:rPr>
          <w:rFonts w:ascii="Arial" w:cs="Arial" w:eastAsia="Arial" w:hAnsi="Arial"/>
          <w:sz w:val="17"/>
          <w:szCs w:val="17"/>
          <w:color w:val="0000FF"/>
        </w:rPr>
        <w:t xml:space="preserve"> </w:t>
      </w:r>
      <w:r>
        <w:rPr>
          <w:rFonts w:ascii="Arial" w:cs="Arial" w:eastAsia="Arial" w:hAnsi="Arial"/>
          <w:sz w:val="17"/>
          <w:szCs w:val="17"/>
          <w:color w:val="000000"/>
        </w:rPr>
        <w:t>any conforming changes to the</w:t>
      </w:r>
      <w:r>
        <w:rPr>
          <w:rFonts w:ascii="Arial" w:cs="Arial" w:eastAsia="Arial" w:hAnsi="Arial"/>
          <w:sz w:val="17"/>
          <w:szCs w:val="17"/>
          <w:color w:val="0000FF"/>
        </w:rPr>
        <w:t xml:space="preserve"> </w:t>
      </w:r>
      <w:r>
        <w:rPr>
          <w:rFonts w:ascii="Arial" w:cs="Arial" w:eastAsia="Arial" w:hAnsi="Arial"/>
          <w:sz w:val="17"/>
          <w:szCs w:val="17"/>
          <w:color w:val="FF0000"/>
          <w:strike w:val="1"/>
        </w:rPr>
        <w:t>definition</w:t>
      </w:r>
      <w:r>
        <w:rPr>
          <w:rFonts w:ascii="Arial" w:cs="Arial" w:eastAsia="Arial" w:hAnsi="Arial"/>
          <w:sz w:val="17"/>
          <w:szCs w:val="17"/>
          <w:u w:val="single" w:color="auto"/>
          <w:color w:val="0000FF"/>
        </w:rPr>
        <w:t>definitions</w:t>
      </w:r>
      <w:r>
        <w:rPr>
          <w:rFonts w:ascii="Arial" w:cs="Arial" w:eastAsia="Arial" w:hAnsi="Arial"/>
          <w:sz w:val="17"/>
          <w:szCs w:val="17"/>
          <w:color w:val="0000FF"/>
        </w:rPr>
        <w:t xml:space="preserve"> </w:t>
      </w:r>
      <w:r>
        <w:rPr>
          <w:rFonts w:ascii="Arial" w:cs="Arial" w:eastAsia="Arial" w:hAnsi="Arial"/>
          <w:sz w:val="17"/>
          <w:szCs w:val="17"/>
          <w:color w:val="000000"/>
        </w:rPr>
        <w:t>of</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“Alternate</w:t>
      </w:r>
      <w:r>
        <w:rPr>
          <w:rFonts w:ascii="Arial" w:cs="Arial" w:eastAsia="Arial" w:hAnsi="Arial"/>
          <w:sz w:val="17"/>
          <w:szCs w:val="17"/>
          <w:color w:val="0000FF"/>
        </w:rPr>
        <w:t xml:space="preserve"> </w:t>
      </w:r>
      <w:r>
        <w:rPr>
          <w:rFonts w:ascii="Arial" w:cs="Arial" w:eastAsia="Arial" w:hAnsi="Arial"/>
          <w:sz w:val="17"/>
          <w:szCs w:val="17"/>
          <w:color w:val="000000"/>
        </w:rPr>
        <w:t>Base Rate</w:t>
      </w:r>
      <w:r>
        <w:rPr>
          <w:rFonts w:ascii="Arial" w:cs="Arial" w:eastAsia="Arial" w:hAnsi="Arial"/>
          <w:sz w:val="17"/>
          <w:szCs w:val="17"/>
          <w:u w:val="single" w:color="auto"/>
          <w:color w:val="0000FF"/>
        </w:rPr>
        <w:t>”</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“SOFR”, “Term SOFR”,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w:t>
      </w:r>
      <w:r>
        <w:rPr>
          <w:rFonts w:ascii="Arial" w:cs="Arial" w:eastAsia="Arial" w:hAnsi="Arial"/>
          <w:sz w:val="17"/>
          <w:szCs w:val="17"/>
          <w:color w:val="000000"/>
        </w:rPr>
        <w:t>Interest Period</w:t>
      </w:r>
      <w:r>
        <w:rPr>
          <w:rFonts w:ascii="Arial" w:cs="Arial" w:eastAsia="Arial" w:hAnsi="Arial"/>
          <w:sz w:val="17"/>
          <w:szCs w:val="17"/>
          <w:u w:val="single" w:color="auto"/>
          <w:color w:val="0000FF"/>
        </w:rPr>
        <w:t>”</w:t>
      </w:r>
      <w:r>
        <w:rPr>
          <w:rFonts w:ascii="Arial" w:cs="Arial" w:eastAsia="Arial" w:hAnsi="Arial"/>
          <w:sz w:val="17"/>
          <w:szCs w:val="17"/>
          <w:color w:val="000000"/>
        </w:rPr>
        <w:t>, timing and frequency of determining rates and making payments of interest and other technical, administrative or operational matters</w:t>
      </w:r>
      <w:r>
        <w:rPr>
          <w:rFonts w:ascii="Arial" w:cs="Arial" w:eastAsia="Arial" w:hAnsi="Arial"/>
          <w:sz w:val="17"/>
          <w:szCs w:val="17"/>
          <w:color w:val="0000FF"/>
        </w:rPr>
        <w:t xml:space="preserve"> </w:t>
      </w:r>
      <w:r>
        <w:rPr>
          <w:rFonts w:ascii="Arial" w:cs="Arial" w:eastAsia="Arial" w:hAnsi="Arial"/>
          <w:sz w:val="17"/>
          <w:szCs w:val="17"/>
          <w:color w:val="000000"/>
        </w:rPr>
        <w:t xml:space="preserve">(including, for the avoidance of doubt, the </w:t>
      </w:r>
      <w:r>
        <w:rPr>
          <w:rFonts w:ascii="Arial" w:cs="Arial" w:eastAsia="Arial" w:hAnsi="Arial"/>
          <w:sz w:val="17"/>
          <w:szCs w:val="17"/>
          <w:color w:val="FF0000"/>
          <w:strike w:val="1"/>
        </w:rPr>
        <w:t>definition</w:t>
      </w:r>
      <w:r>
        <w:rPr>
          <w:rFonts w:ascii="Arial" w:cs="Arial" w:eastAsia="Arial" w:hAnsi="Arial"/>
          <w:sz w:val="17"/>
          <w:szCs w:val="17"/>
          <w:u w:val="single" w:color="auto"/>
          <w:color w:val="0000FF"/>
        </w:rPr>
        <w:t>definitions</w:t>
      </w:r>
      <w:r>
        <w:rPr>
          <w:rFonts w:ascii="Arial" w:cs="Arial" w:eastAsia="Arial" w:hAnsi="Arial"/>
          <w:sz w:val="17"/>
          <w:szCs w:val="17"/>
          <w:color w:val="000000"/>
        </w:rPr>
        <w:t xml:space="preserve"> of </w:t>
      </w:r>
      <w:r>
        <w:rPr>
          <w:rFonts w:ascii="Arial" w:cs="Arial" w:eastAsia="Arial" w:hAnsi="Arial"/>
          <w:sz w:val="17"/>
          <w:szCs w:val="17"/>
          <w:u w:val="single" w:color="auto"/>
          <w:color w:val="0000FF"/>
        </w:rPr>
        <w:t>“</w:t>
      </w:r>
      <w:r>
        <w:rPr>
          <w:rFonts w:ascii="Arial" w:cs="Arial" w:eastAsia="Arial" w:hAnsi="Arial"/>
          <w:sz w:val="17"/>
          <w:szCs w:val="17"/>
          <w:color w:val="000000"/>
        </w:rPr>
        <w:t>Business Day</w:t>
      </w:r>
      <w:r>
        <w:rPr>
          <w:rFonts w:ascii="Arial" w:cs="Arial" w:eastAsia="Arial" w:hAnsi="Arial"/>
          <w:sz w:val="17"/>
          <w:szCs w:val="17"/>
          <w:color w:val="FF0000"/>
          <w:strike w:val="1"/>
        </w:rPr>
        <w:t>,</w:t>
      </w:r>
      <w:r>
        <w:rPr>
          <w:rFonts w:ascii="Arial" w:cs="Arial" w:eastAsia="Arial" w:hAnsi="Arial"/>
          <w:sz w:val="17"/>
          <w:szCs w:val="17"/>
          <w:u w:val="single" w:color="auto"/>
          <w:color w:val="0000FF"/>
        </w:rPr>
        <w:t>” and “U.S. Government Securities Business Day”,</w:t>
      </w:r>
      <w:r>
        <w:rPr>
          <w:rFonts w:ascii="Arial" w:cs="Arial" w:eastAsia="Arial" w:hAnsi="Arial"/>
          <w:sz w:val="17"/>
          <w:szCs w:val="17"/>
          <w:color w:val="000000"/>
        </w:rPr>
        <w:t xml:space="preserve"> timing of borrowing requests or prepayment, conversion or continuation notices and length of lookback periods) as may be appropriate, in the reasonable discretion of the Administrative Agent and in consultation with the Borrower, to reflect the adoption and implementation of such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comparable syndicated credit facilities for the administration of such Successor Rate exists, in such other manner of administration that the Administrative Agent reasonably determines (in consultation with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Borrower) is reasonably necessary in connection with the administration of this Agreement and any other Loan Document).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1" w:lineRule="exact"/>
        <w:rPr>
          <w:sz w:val="20"/>
          <w:szCs w:val="20"/>
          <w:color w:val="auto"/>
        </w:rPr>
      </w:pPr>
    </w:p>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Revolving Lender at any time shall equal to its Applicable Revolving Credit Percentage of the aggregate Swingline Exposure at such time.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BofA, in its capacity as lender of Swingline Loans hereunder, or any successor lender of Swingline Loans hereunder.</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any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71"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means any Initial Term Loan Commitment and any Additional Term Loan Commitment.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Loans provided to or for the benefit of the Borrower pursuant to the terms of this Agreement.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any Initial Term Lender and any Additional Term Lender.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the Initial Term Loans and, if applicable, any Additional Term Loans.</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means </w:t>
      </w:r>
      <w:r>
        <w:rPr>
          <w:rFonts w:ascii="Arial" w:cs="Arial" w:eastAsia="Arial" w:hAnsi="Arial"/>
          <w:sz w:val="18"/>
          <w:szCs w:val="18"/>
          <w:color w:val="FF0000"/>
        </w:rPr>
        <w:t>the forward looking term rate for any period that is approximately (as reasonably determined by the Administrative Agent)</w:t>
      </w:r>
      <w:r>
        <w:rPr>
          <w:rFonts w:ascii="Arial" w:cs="Arial" w:eastAsia="Arial" w:hAnsi="Arial"/>
          <w:sz w:val="18"/>
          <w:szCs w:val="18"/>
          <w:color w:val="auto"/>
        </w:rPr>
        <w:t xml:space="preserve"> </w:t>
      </w:r>
      <w:r>
        <w:rPr>
          <w:rFonts w:ascii="Arial" w:cs="Arial" w:eastAsia="Arial" w:hAnsi="Arial"/>
          <w:sz w:val="18"/>
          <w:szCs w:val="18"/>
          <w:color w:val="FF0000"/>
          <w:strike w:val="1"/>
        </w:rPr>
        <w:t>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 in consultation with the Borrower.</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-495935</wp:posOffset>
            </wp:positionV>
            <wp:extent cx="570611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06110" cy="8255"/>
                    </a:xfrm>
                    <a:prstGeom prst="rect">
                      <a:avLst/>
                    </a:prstGeom>
                    <a:noFill/>
                  </pic:spPr>
                </pic:pic>
              </a:graphicData>
            </a:graphic>
          </wp:anchor>
        </w:drawing>
      </w:r>
    </w:p>
    <w:p>
      <w:pPr>
        <w:spacing w:after="0" w:line="165" w:lineRule="exact"/>
        <w:rPr>
          <w:sz w:val="20"/>
          <w:szCs w:val="20"/>
          <w:color w:val="auto"/>
        </w:rPr>
      </w:pPr>
    </w:p>
    <w:p>
      <w:pPr>
        <w:jc w:val="both"/>
        <w:ind w:firstLine="1105"/>
        <w:spacing w:after="0" w:line="277" w:lineRule="auto"/>
        <w:tabs>
          <w:tab w:leader="none" w:pos="1479" w:val="left"/>
        </w:tabs>
        <w:numPr>
          <w:ilvl w:val="1"/>
          <w:numId w:val="9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for any Interest Period with respect to a Term SOFR Loan, the rate per annum equal to the Term SOFR Screen Rate two (2)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172" w:lineRule="exact"/>
        <w:rPr>
          <w:rFonts w:ascii="Arial" w:cs="Arial" w:eastAsia="Arial" w:hAnsi="Arial"/>
          <w:sz w:val="17"/>
          <w:szCs w:val="17"/>
          <w:u w:val="single" w:color="auto"/>
          <w:color w:val="0000FF"/>
        </w:rPr>
      </w:pPr>
    </w:p>
    <w:p>
      <w:pPr>
        <w:ind w:left="1460" w:hanging="371"/>
        <w:spacing w:after="0"/>
        <w:tabs>
          <w:tab w:leader="none" w:pos="1460" w:val="left"/>
        </w:tabs>
        <w:numPr>
          <w:ilvl w:val="1"/>
          <w:numId w:val="9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for any interest calculation with respect to a Base Rate Loan on any date, the rate per annum equal to the Term SOFR Screen Rate two</w:t>
      </w:r>
    </w:p>
    <w:p>
      <w:pPr>
        <w:spacing w:after="0" w:line="45" w:lineRule="exact"/>
        <w:rPr>
          <w:rFonts w:ascii="Arial" w:cs="Arial" w:eastAsia="Arial" w:hAnsi="Arial"/>
          <w:sz w:val="16"/>
          <w:szCs w:val="16"/>
          <w:u w:val="single" w:color="auto"/>
          <w:color w:val="0000FF"/>
        </w:rPr>
      </w:pPr>
    </w:p>
    <w:p>
      <w:pPr>
        <w:ind w:firstLine="7"/>
        <w:spacing w:after="0" w:line="258" w:lineRule="auto"/>
        <w:tabs>
          <w:tab w:leader="none" w:pos="261" w:val="left"/>
        </w:tabs>
        <w:numPr>
          <w:ilvl w:val="0"/>
          <w:numId w:val="9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U.S. Government Securities Business Days prior to such date with a term of one month commencing that day; provided that if the rate is not published prior to 11:00 a.m. on such determination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4" w:name="page115"/>
    <w:bookmarkEnd w:id="114"/>
    <w:p>
      <w:pPr>
        <w:jc w:val="both"/>
        <w:spacing w:after="0" w:line="275" w:lineRule="auto"/>
        <w:rPr>
          <w:sz w:val="20"/>
          <w:szCs w:val="20"/>
          <w:color w:val="auto"/>
        </w:rPr>
      </w:pPr>
      <w:r>
        <w:rPr>
          <w:rFonts w:ascii="Arial" w:cs="Arial" w:eastAsia="Arial" w:hAnsi="Arial"/>
          <w:sz w:val="18"/>
          <w:szCs w:val="18"/>
          <w:u w:val="single" w:color="auto"/>
          <w:color w:val="0000FF"/>
        </w:rPr>
        <w:t>date then Term SOFR means the Term SOFR Screen Rate on the first U.S. Government Securities Business Day immediately prior thereto, in each case, plus the SOFR Adjustment for such term;</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0000FF"/>
        </w:rPr>
        <w:t>provided that if Term SOFR determined in accordance with either of the foregoing provisions (a) or (b) of this definition would otherwise be less than 0.50%, Term SOFR shall be deemed 0.50% for purposes of this Agreement.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“Term SOFR Borrowing” means a Borrowing Comprised on Term SOFR Loans.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“Term SOFR Loan” means a Loan that bears interest at a rate based on clause (a) of the definition of Term SOFR.</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0000FF"/>
        </w:rPr>
        <w:t>“Term SOFR Screen Rate”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assigned to such term in the lead-in to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xml:space="preserve">” means, as of any date, the period of four consecutive Fiscal Quarters then most recently ended for which financial statements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as applicable, have been delivered (or are required to have been delivered), or to the extent applicable, in accordance with the definition of “Pro Forma Basis,” for which internal financial statements are available (except for purposes of determining actual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it being understood and agreed that prior to the first delivery (or required delivery) of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“Test Period” means the period of four consecutive Fiscal Quarters most recently ended for which financial statements for the Borrower are available.</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$70,000,000.</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the ratio, as of any date of determination, of (a) Consolidated Total Debt outstanding as of the last day of the Test Period then most recently ended to (b) Consolidated Adjusted EBITDA for the Test Period then most recently ended, in each case of the Borrower and its Restricted Subsidiaries on a consolidated basis.</w:t>
      </w:r>
    </w:p>
    <w:p>
      <w:pPr>
        <w:spacing w:after="0" w:line="182" w:lineRule="exact"/>
        <w:rPr>
          <w:sz w:val="20"/>
          <w:szCs w:val="20"/>
          <w:color w:val="auto"/>
        </w:rPr>
      </w:pPr>
    </w:p>
    <w:p>
      <w:pPr>
        <w:jc w:val="both"/>
        <w:ind w:firstLine="82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Commitment</w:t>
      </w:r>
      <w:r>
        <w:rPr>
          <w:rFonts w:ascii="Arial" w:cs="Arial" w:eastAsia="Arial" w:hAnsi="Arial"/>
          <w:sz w:val="18"/>
          <w:szCs w:val="18"/>
          <w:color w:val="auto"/>
        </w:rPr>
        <w:t>” means, at any time, the aggregate amount of each Revolving Credit Commitment of all Revolving Lenders, as in effect at such time.</w:t>
      </w:r>
    </w:p>
    <w:p>
      <w:pPr>
        <w:spacing w:after="0" w:line="171"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w:t>
      </w:r>
      <w:r>
        <w:rPr>
          <w:rFonts w:ascii="Arial" w:cs="Arial" w:eastAsia="Arial" w:hAnsi="Arial"/>
          <w:sz w:val="16"/>
          <w:szCs w:val="16"/>
          <w:color w:val="auto"/>
        </w:rPr>
        <w:t>” means the following: (a) all trademarks (including service marks), common law marks, trade names, trade dress, domain names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dilutions or violations thereof; (d) all rights to sue for past, present, and future infringements, dilutions or violations of the foregoing, including the right to settle suits involving claims and demands for royalties owing; and (e) all domestic rights corresponding to any of the foregoing.</w:t>
      </w:r>
    </w:p>
    <w:p>
      <w:pPr>
        <w:spacing w:after="0" w:line="162" w:lineRule="exact"/>
        <w:rPr>
          <w:sz w:val="20"/>
          <w:szCs w:val="20"/>
          <w:color w:val="auto"/>
        </w:rPr>
      </w:pPr>
    </w:p>
    <w:p>
      <w:pPr>
        <w:jc w:val="both"/>
        <w:ind w:firstLine="74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fees, premiums, expenses and other transaction costs (including original issue discount or upfront fees) payable or otherwise borne by any Parent Company and/or its Subsidiaries in connection with the Transactions and the transactions contemplated thereby.</w:t>
      </w:r>
    </w:p>
    <w:p>
      <w:pPr>
        <w:spacing w:after="0" w:line="12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execution, delivery and performance by the Loan Parties of the Loan Documents to which they are a party and the Borrowing of Loans hereunder on the Closing Date, (b) the Closing Date Refinancing, (c) the IPO and any prepayments under the Existing Credit Agreement in connection therewith and (d) the payment of the Transaction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5" w:name="page116"/>
    <w:bookmarkEnd w:id="115"/>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6.04(a)(viii)</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federal income tax regulations promulgated under the Code.</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LIBO Rate, </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RFR or the Alternate Base Rate.</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1"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 Amount</w:t>
      </w:r>
      <w:r>
        <w:rPr>
          <w:rFonts w:ascii="Arial" w:cs="Arial" w:eastAsia="Arial" w:hAnsi="Arial"/>
          <w:sz w:val="16"/>
          <w:szCs w:val="16"/>
          <w:color w:val="auto"/>
        </w:rPr>
        <w:t xml:space="preserve">” means, as to any Person on any date of determination, the amount of (a) unrestricted Cash and Cash Equivalents of such Person and (b) Cash and Cash Equivalents of such Person that are restricted in favor of the Credit Facilities and/or other permitted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secured Indebtedness (which may also include Cash and Cash Equivalents securing other Indebtedness that is secured by a Lien on Collateral along with the Credit Facilities and/or other permitted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secured Indebtedness) whether or not held in a pledged account.</w:t>
      </w:r>
    </w:p>
    <w:p>
      <w:pPr>
        <w:spacing w:after="0" w:line="15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(i) each Securitization Subsidiary and (ii) any Subsidiary of the Borrower that is listed on </w:t>
      </w:r>
      <w:r>
        <w:rPr>
          <w:rFonts w:ascii="Arial" w:cs="Arial" w:eastAsia="Arial" w:hAnsi="Arial"/>
          <w:sz w:val="18"/>
          <w:szCs w:val="18"/>
          <w:u w:val="single" w:color="auto"/>
          <w:color w:val="auto"/>
        </w:rPr>
        <w:t>Schedule 5.10</w:t>
      </w:r>
      <w:r>
        <w:rPr>
          <w:rFonts w:ascii="Arial" w:cs="Arial" w:eastAsia="Arial" w:hAnsi="Arial"/>
          <w:sz w:val="18"/>
          <w:szCs w:val="18"/>
          <w:color w:val="auto"/>
        </w:rPr>
        <w:t xml:space="preserve"> hereto or designated by the Borrower as an Unrestricted Subsidiary after the Closing Date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0000FF"/>
        </w:rPr>
        <w:t>“U.S. Government Securities Business Day”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Lender</w:t>
      </w:r>
      <w:r>
        <w:rPr>
          <w:rFonts w:ascii="Arial" w:cs="Arial" w:eastAsia="Arial" w:hAnsi="Arial"/>
          <w:sz w:val="17"/>
          <w:szCs w:val="17"/>
          <w:color w:val="auto"/>
        </w:rPr>
        <w:t>” means any Lender or Issuing Bank that is a “United States person” within the meaning of Section 7701(a)(30) of the Code.</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7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effects of any prepayments made on such Indebtedness shall be disregarded in making such calculation.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6" w:name="page117"/>
    <w:bookmarkEnd w:id="116"/>
    <w:p>
      <w:pPr>
        <w:jc w:val="both"/>
        <w:ind w:firstLine="74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w:t>
      </w:r>
    </w:p>
    <w:p>
      <w:pPr>
        <w:spacing w:after="0" w:line="182"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Withdrawal Liability</w:t>
      </w:r>
      <w:r>
        <w:rPr>
          <w:rFonts w:ascii="Arial" w:cs="Arial" w:eastAsia="Arial" w:hAnsi="Arial"/>
          <w:sz w:val="17"/>
          <w:szCs w:val="17"/>
          <w:color w:val="auto"/>
        </w:rPr>
        <w:t>” means the liability to any Multiemployer Plan as the result of a “complete” or “partial” withdrawal by the Borrower or any Restricted Subsidiary or any ERISA Affiliate from such Multiemployer Plan, as such terms are defined in Part I of Subtitle E of Title IV of ERISA.</w:t>
      </w:r>
    </w:p>
    <w:p>
      <w:pPr>
        <w:spacing w:after="0" w:line="14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u w:val="single" w:color="auto"/>
          <w:color w:val="auto"/>
        </w:rPr>
        <w:t>Section 1.02.Classification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xml:space="preserve">, a “LIBO Rate </w:t>
      </w:r>
      <w:r>
        <w:rPr>
          <w:rFonts w:ascii="Arial" w:cs="Arial" w:eastAsia="Arial" w:hAnsi="Arial"/>
          <w:sz w:val="18"/>
          <w:szCs w:val="18"/>
          <w:u w:val="single" w:color="auto"/>
          <w:color w:val="0000FF"/>
        </w:rPr>
        <w:t>Loan”, “Term SOFR</w:t>
      </w:r>
      <w:r>
        <w:rPr>
          <w:rFonts w:ascii="Arial" w:cs="Arial" w:eastAsia="Arial" w:hAnsi="Arial"/>
          <w:sz w:val="18"/>
          <w:szCs w:val="18"/>
          <w:color w:val="auto"/>
        </w:rPr>
        <w:t xml:space="preserve"> Loan”, “RFR Loan” or an “ABR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xml:space="preserve">, a “LIBO Rate </w:t>
      </w:r>
      <w:r>
        <w:rPr>
          <w:rFonts w:ascii="Arial" w:cs="Arial" w:eastAsia="Arial" w:hAnsi="Arial"/>
          <w:sz w:val="18"/>
          <w:szCs w:val="18"/>
          <w:u w:val="single" w:color="auto"/>
          <w:color w:val="0000FF"/>
        </w:rPr>
        <w:t>Revolving Loan” or “Term SOFR</w:t>
      </w:r>
      <w:r>
        <w:rPr>
          <w:rFonts w:ascii="Arial" w:cs="Arial" w:eastAsia="Arial" w:hAnsi="Arial"/>
          <w:sz w:val="18"/>
          <w:szCs w:val="18"/>
          <w:color w:val="0000FF"/>
        </w:rPr>
        <w:t xml:space="preserve"> </w:t>
      </w:r>
      <w:r>
        <w:rPr>
          <w:rFonts w:ascii="Arial" w:cs="Arial" w:eastAsia="Arial" w:hAnsi="Arial"/>
          <w:sz w:val="18"/>
          <w:szCs w:val="18"/>
          <w:color w:val="000000"/>
        </w:rPr>
        <w:t>Term Loan”). Borrowings also may be classified and referred to by Class (</w:t>
      </w:r>
      <w:r>
        <w:rPr>
          <w:rFonts w:ascii="Arial" w:cs="Arial" w:eastAsia="Arial" w:hAnsi="Arial"/>
          <w:sz w:val="18"/>
          <w:szCs w:val="18"/>
          <w:i w:val="1"/>
          <w:iCs w:val="1"/>
          <w:color w:val="000000"/>
        </w:rPr>
        <w:t>e.g.</w:t>
      </w:r>
      <w:r>
        <w:rPr>
          <w:rFonts w:ascii="Arial" w:cs="Arial" w:eastAsia="Arial" w:hAnsi="Arial"/>
          <w:sz w:val="18"/>
          <w:szCs w:val="18"/>
          <w:color w:val="000000"/>
        </w:rPr>
        <w:t>, a “Term Loan Borrowing,” a “Revolving</w:t>
      </w:r>
      <w:r>
        <w:rPr>
          <w:rFonts w:ascii="Arial" w:cs="Arial" w:eastAsia="Arial" w:hAnsi="Arial"/>
          <w:sz w:val="18"/>
          <w:szCs w:val="18"/>
          <w:color w:val="0000FF"/>
        </w:rPr>
        <w:t xml:space="preserve"> </w:t>
      </w:r>
      <w:r>
        <w:rPr>
          <w:rFonts w:ascii="Arial" w:cs="Arial" w:eastAsia="Arial" w:hAnsi="Arial"/>
          <w:sz w:val="18"/>
          <w:szCs w:val="18"/>
          <w:color w:val="000000"/>
        </w:rPr>
        <w:t>Loan Borrowing” or a “Swingline Loan Borrowing”) or by Type (</w:t>
      </w:r>
      <w:r>
        <w:rPr>
          <w:rFonts w:ascii="Arial" w:cs="Arial" w:eastAsia="Arial" w:hAnsi="Arial"/>
          <w:sz w:val="18"/>
          <w:szCs w:val="18"/>
          <w:i w:val="1"/>
          <w:iCs w:val="1"/>
          <w:color w:val="000000"/>
        </w:rPr>
        <w:t>e.g.</w:t>
      </w:r>
      <w:r>
        <w:rPr>
          <w:rFonts w:ascii="Arial" w:cs="Arial" w:eastAsia="Arial" w:hAnsi="Arial"/>
          <w:sz w:val="18"/>
          <w:szCs w:val="18"/>
          <w:color w:val="000000"/>
        </w:rPr>
        <w:t xml:space="preserve">, a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000000"/>
        </w:rPr>
        <w:t xml:space="preserve"> Borrowing”) or by Class and Type (</w:t>
      </w:r>
      <w:r>
        <w:rPr>
          <w:rFonts w:ascii="Arial" w:cs="Arial" w:eastAsia="Arial" w:hAnsi="Arial"/>
          <w:sz w:val="18"/>
          <w:szCs w:val="18"/>
          <w:i w:val="1"/>
          <w:iCs w:val="1"/>
          <w:color w:val="000000"/>
        </w:rPr>
        <w:t>e.g.</w:t>
      </w:r>
      <w:r>
        <w:rPr>
          <w:rFonts w:ascii="Arial" w:cs="Arial" w:eastAsia="Arial" w:hAnsi="Arial"/>
          <w:sz w:val="18"/>
          <w:szCs w:val="18"/>
          <w:color w:val="000000"/>
        </w:rPr>
        <w:t xml:space="preserve">, a “LIBO Rate </w:t>
      </w:r>
      <w:r>
        <w:rPr>
          <w:rFonts w:ascii="Arial" w:cs="Arial" w:eastAsia="Arial" w:hAnsi="Arial"/>
          <w:sz w:val="18"/>
          <w:szCs w:val="18"/>
          <w:u w:val="single" w:color="auto"/>
          <w:color w:val="0000FF"/>
        </w:rPr>
        <w:t>Revolving Loan Borrowing” or “Term SOFR</w:t>
      </w:r>
      <w:r>
        <w:rPr>
          <w:rFonts w:ascii="Arial" w:cs="Arial" w:eastAsia="Arial" w:hAnsi="Arial"/>
          <w:sz w:val="18"/>
          <w:szCs w:val="18"/>
          <w:color w:val="000000"/>
        </w:rPr>
        <w:t xml:space="preserve"> Term Loan Borrowing”). </w:t>
      </w:r>
      <w:r>
        <w:rPr>
          <w:rFonts w:ascii="Arial" w:cs="Arial" w:eastAsia="Arial" w:hAnsi="Arial"/>
          <w:sz w:val="18"/>
          <w:szCs w:val="18"/>
          <w:color w:val="0000FF"/>
        </w:rPr>
        <w:t>For the avoidance of doubt, all LIBO Rate Loans shall be LIBO Rate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Revolving Loans and all LIBO Rate Revolving Loans shall be denominated 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-167640</wp:posOffset>
            </wp:positionV>
            <wp:extent cx="32677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1.03.Terms Generally</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3" w:lineRule="auto"/>
        <w:tabs>
          <w:tab w:leader="none" w:pos="1019"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or in any Loan Document (including any reference to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w:t>
      </w:r>
    </w:p>
    <w:p>
      <w:pPr>
        <w:jc w:val="both"/>
        <w:ind w:firstLine="7"/>
        <w:spacing w:after="0" w:line="285" w:lineRule="auto"/>
        <w:tabs>
          <w:tab w:leader="none" w:pos="29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reference to any Requirement of Law in any Loan Document shall include all statutory and regulatory provisions consolidating, amending, replacing, supplementing or interpreting such Requirement of Law, (c) any reference herein or in any Loan Document to any Person shall be construed to include such Person’s successors and permitted assigns, (d) the words “herein,” “hereof” and “hereunder,” and words of similar import, when used in any Loan Document, shall be construed to refer to such Loan Document in its entirety and not to any particular provision hereof, (e) all references herein or in any Loan Document to Articles, Sections, clauses, paragraphs, Exhibits and Schedules shall be construed to refer to Articles, Sections, clauses and paragraphs of, and Exhibits and Schedules to, such Loan Document, (f) in the computation of periods of time in any Loan Document from a specified date to a later specified date, the word “from” means “from and including,” the words “to” and “until” mean “to but excluding” and the word “through” means “to and including” and (g) the words “asset” and “property,” when used in any Loan Document, shall be construed to have the same meaning and effect and to refer to any and all tangible and intangible assets and properties, including Cash, securities, accounts and contract rights.</w:t>
      </w:r>
    </w:p>
    <w:p>
      <w:pPr>
        <w:spacing w:after="0" w:line="168" w:lineRule="exact"/>
        <w:rPr>
          <w:rFonts w:ascii="Arial" w:cs="Arial" w:eastAsia="Arial" w:hAnsi="Arial"/>
          <w:sz w:val="16"/>
          <w:szCs w:val="16"/>
          <w:color w:val="auto"/>
        </w:rPr>
      </w:pPr>
    </w:p>
    <w:p>
      <w:pPr>
        <w:jc w:val="both"/>
        <w:ind w:firstLine="756"/>
        <w:spacing w:after="0" w:line="258" w:lineRule="auto"/>
        <w:tabs>
          <w:tab w:leader="none" w:pos="1019"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at any time with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w:t>
      </w:r>
      <w:r>
        <w:rPr>
          <w:rFonts w:ascii="Arial" w:cs="Arial" w:eastAsia="Arial" w:hAnsi="Arial"/>
          <w:sz w:val="18"/>
          <w:szCs w:val="18"/>
          <w:u w:val="single" w:color="auto"/>
          <w:color w:val="auto"/>
        </w:rPr>
        <w:t>6.07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6.09</w:t>
      </w:r>
      <w:r>
        <w:rPr>
          <w:rFonts w:ascii="Arial" w:cs="Arial" w:eastAsia="Arial" w:hAnsi="Arial"/>
          <w:sz w:val="18"/>
          <w:szCs w:val="18"/>
          <w:color w:val="auto"/>
        </w:rPr>
        <w:t xml:space="preserve"> in the event that any Indebtedness, Lien, Restricted Payment, Restricted Debt Payment, Investment, Disposition and/or Affiliate transaction, as applicable, meets the criteria of more than one of the categories of transactions or items permitted pursuant to any clause of such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6.02(a)</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7" w:name="page118"/>
    <w:bookmarkEnd w:id="117"/>
    <w:p>
      <w:pPr>
        <w:jc w:val="both"/>
        <w:spacing w:after="0" w:line="283" w:lineRule="auto"/>
        <w:rPr>
          <w:sz w:val="20"/>
          <w:szCs w:val="20"/>
          <w:color w:val="auto"/>
        </w:rPr>
      </w:pPr>
      <w:r>
        <w:rPr>
          <w:rFonts w:ascii="Arial" w:cs="Arial" w:eastAsia="Arial" w:hAnsi="Arial"/>
          <w:sz w:val="16"/>
          <w:szCs w:val="16"/>
          <w:u w:val="single" w:color="auto"/>
          <w:color w:val="auto"/>
        </w:rPr>
        <w:t>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6.09</w:t>
      </w:r>
      <w:r>
        <w:rPr>
          <w:rFonts w:ascii="Arial" w:cs="Arial" w:eastAsia="Arial" w:hAnsi="Arial"/>
          <w:sz w:val="16"/>
          <w:szCs w:val="16"/>
          <w:color w:val="auto"/>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delivery of any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following the initial incurrence of any portion of any Indebtedness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6.01(a)</w:t>
      </w:r>
      <w:r>
        <w:rPr>
          <w:rFonts w:ascii="Arial" w:cs="Arial" w:eastAsia="Arial" w:hAnsi="Arial"/>
          <w:sz w:val="16"/>
          <w:szCs w:val="16"/>
          <w:color w:val="auto"/>
        </w:rPr>
        <w:t>) (such portion of Indebtedness, the “</w:t>
      </w:r>
      <w:r>
        <w:rPr>
          <w:rFonts w:ascii="Arial" w:cs="Arial" w:eastAsia="Arial" w:hAnsi="Arial"/>
          <w:sz w:val="16"/>
          <w:szCs w:val="16"/>
          <w:u w:val="single" w:color="auto"/>
          <w:color w:val="auto"/>
        </w:rPr>
        <w:t>Subject Indebtedness</w:t>
      </w:r>
      <w:r>
        <w:rPr>
          <w:rFonts w:ascii="Arial" w:cs="Arial" w:eastAsia="Arial" w:hAnsi="Arial"/>
          <w:sz w:val="16"/>
          <w:szCs w:val="16"/>
          <w:color w:val="auto"/>
        </w:rPr>
        <w:t xml:space="preserve">”), if any such Subject Indebtedness could, based on any such financial statements, have been incurred under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such Subject Indebtedness shall automatically be reclassified as incurred under the applicable provisions of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(in each case, subject to any other applicable provisions of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including with respect to the limitation on Indebtedness incurred in reliance on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by Restricted Subsidiaries that are not Loan Parties). It is understood and agreed that (A)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6.09</w:t>
      </w:r>
      <w:r>
        <w:rPr>
          <w:rFonts w:ascii="Arial" w:cs="Arial" w:eastAsia="Arial" w:hAnsi="Arial"/>
          <w:sz w:val="16"/>
          <w:szCs w:val="16"/>
          <w:color w:val="auto"/>
        </w:rPr>
        <w:t>, respectively, but may instead be permitted in part under any combination thereof and of any other available exemption and (B) the Borrower (i) shall in its sole discretion determine under which category such Indebtedness, Lien, Restricted Payment, Restricted Debt Payment, Burdensome Agreement, Investment, Disposition and/or Affiliate transaction (or, in each case, any portion there) is permitted and (ii) shall be permitted, in its sole discretion, to make any redetermination and/or to divide, classify or reclassify under which category or categories such Indebtedness, Lien, Restricted Payment, Restricted Debt Payment, Burdensome Agreement, Investment, Disposition and/or Affiliate transaction is permitted from time to time as it may determine, including reclassifying any utilization of Fixed Amounts as incurred under any available Incurrence-Based Amount (but not back again to Fixed Amounts if so reclassified to an Incurrence-Based Amount) and if any such test would be satisfied in any subsequent fiscal quarter following the relevant date of determination, then such reclassification shall be deemed to have automatically occurred at such time. For the avoidance of doubt, if the applicable date for meeting any requirement hereunder or under any other Loan Document falls on a day that is not a Business Day, compliance with such requirement shall not be required prior to noon on the first Business Day following such applicable date.</w:t>
      </w:r>
    </w:p>
    <w:p>
      <w:pPr>
        <w:spacing w:after="0" w:line="39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1.04.Accounting Terms; GAAP</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3" w:lineRule="auto"/>
        <w:tabs>
          <w:tab w:leader="none" w:pos="101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Total Leverage Ratio, the First Lien Leverage Ratio, the Secured Leverage Ratio, the Interest Coverage Ratio, Consolidated Adjusted EBITDA or Consolidated Total Assets shall be construed and interpreted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requests an amendment to any provision hereof to eliminate the effect of any change occurring after the date of delivery of the financial statements described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in GAAP or in the application thereof (including the conversion to IFRS as described below)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becomes effective until such notice shall have been withdrawn or such provision shall have been amended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the Borrower notifies the Administrative Agent that the Borrower (or its applicable Parent Company) is required to report under IFRS or has elected to do so through 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8" w:name="page119"/>
    <w:bookmarkEnd w:id="118"/>
    <w:p>
      <w:pPr>
        <w:spacing w:after="0" w:line="275" w:lineRule="auto"/>
        <w:rPr>
          <w:sz w:val="20"/>
          <w:szCs w:val="20"/>
          <w:color w:val="auto"/>
        </w:rPr>
      </w:pPr>
      <w:r>
        <w:rPr>
          <w:rFonts w:ascii="Arial" w:cs="Arial" w:eastAsia="Arial" w:hAnsi="Arial"/>
          <w:sz w:val="18"/>
          <w:szCs w:val="18"/>
          <w:color w:val="auto"/>
        </w:rPr>
        <w:t>early adoption policy, “GAAP” shall mean international financial reporting standards pursuant to IFRS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such conversion, the Borrower cannot elect to report under GAAP).</w:t>
      </w:r>
    </w:p>
    <w:p>
      <w:pPr>
        <w:spacing w:after="0" w:line="171" w:lineRule="exact"/>
        <w:rPr>
          <w:sz w:val="20"/>
          <w:szCs w:val="20"/>
          <w:color w:val="auto"/>
        </w:rPr>
      </w:pPr>
    </w:p>
    <w:p>
      <w:pPr>
        <w:jc w:val="both"/>
        <w:ind w:firstLine="756"/>
        <w:spacing w:after="0" w:line="286" w:lineRule="auto"/>
        <w:tabs>
          <w:tab w:leader="none" w:pos="10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but subject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hereof, all financial ratios and tests (including the Total Leverage Ratio, the First Lien Leverage Ratio, the Secured Leverage Ratio, the Interest Coverage Ratio and the amount of Consolidated Total Assets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(it being understood, for the avoidance of doubt, that solely for purposes of (x) calculating quarterly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and (y) calculating the First Lien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168" w:lineRule="exact"/>
        <w:rPr>
          <w:rFonts w:ascii="Arial" w:cs="Arial" w:eastAsia="Arial" w:hAnsi="Arial"/>
          <w:sz w:val="16"/>
          <w:szCs w:val="16"/>
          <w:color w:val="auto"/>
        </w:rPr>
      </w:pPr>
    </w:p>
    <w:p>
      <w:pPr>
        <w:jc w:val="both"/>
        <w:ind w:firstLine="756"/>
        <w:spacing w:after="0" w:line="284" w:lineRule="auto"/>
        <w:tabs>
          <w:tab w:leader="none" w:pos="1019"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or in the definition of “Capital Lease,” only those leases that would constitute Capital Leases in conformity with GAAP on April 27, 2017 shall be considered Capital Leases, and all calculations and deliverables under this Agreement or any other Loan Document shall be made or delivered, as applicable, in accordance therewith.</w:t>
      </w:r>
    </w:p>
    <w:p>
      <w:pPr>
        <w:spacing w:after="0" w:line="16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1.05.Effectuation of Transactions</w:t>
      </w:r>
      <w:r>
        <w:rPr>
          <w:rFonts w:ascii="Arial" w:cs="Arial" w:eastAsia="Arial" w:hAnsi="Arial"/>
          <w:sz w:val="18"/>
          <w:szCs w:val="18"/>
          <w:color w:val="auto"/>
        </w:rPr>
        <w:t>. Each of the representations and warranties contained in this Agreement (and all corresponding definitions) is made after giving effect to the Transactions, unless the context otherwise requires.</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u w:val="single" w:color="auto"/>
          <w:color w:val="auto"/>
        </w:rPr>
        <w:t>Section 1.06.Timing of Payment of Performance</w:t>
      </w:r>
      <w:r>
        <w:rPr>
          <w:rFonts w:ascii="Arial" w:cs="Arial" w:eastAsia="Arial" w:hAnsi="Arial"/>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1.07.Times of Day</w:t>
      </w:r>
      <w:r>
        <w:rPr>
          <w:rFonts w:ascii="Arial" w:cs="Arial" w:eastAsia="Arial" w:hAnsi="Arial"/>
          <w:sz w:val="18"/>
          <w:szCs w:val="18"/>
          <w:color w:val="auto"/>
        </w:rPr>
        <w:t>. Unless otherwise specified herein, all references herein to times of day shall be references to New York City time (daylight or standard, as applicable).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1.08.Currency Equivalents Generally</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5" w:lineRule="auto"/>
        <w:tabs>
          <w:tab w:leader="none" w:pos="101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For purposes of any determination (including, without limitation, as to Borrowings, Letters of Credit, LC Commitments, LC Disbursements, LC Exposure, the Letter of Credit Sublimit, Loans, Revolving Credit Commitments and Revolving Credit Exposure) under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and the calculation of compliance with any financial ratio for purposes of taking any action hereunder) or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with respect to the amount of any Borrowing,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in a currency other than Dollars, (i) the Dollar Equivalent amount of a specified transaction in a currency other than Dollars shall be calculated based on the relevant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(the “</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19" w:name="page120"/>
    <w:bookmarkEnd w:id="119"/>
    <w:p>
      <w:pPr>
        <w:jc w:val="both"/>
        <w:spacing w:after="0" w:line="283" w:lineRule="auto"/>
        <w:rPr>
          <w:sz w:val="20"/>
          <w:szCs w:val="20"/>
          <w:color w:val="auto"/>
        </w:rPr>
      </w:pPr>
      <w:r>
        <w:rPr>
          <w:rFonts w:ascii="Arial" w:cs="Arial" w:eastAsia="Arial" w:hAnsi="Arial"/>
          <w:sz w:val="16"/>
          <w:szCs w:val="16"/>
          <w:color w:val="auto"/>
        </w:rPr>
        <w:t xml:space="preserve">calculated at the relevant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other reasonable and customary fees and expenses (including upfront fees and original issue discount) incurred in connection with such refinancing or replacement, (y) any existing commitments unutilized thereunder and (z) additional amounts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and the calculation of compliance with any financial ratio for purposes of taking any action hereunder, on any relevant date of determination, amounts denominated in currencies other than Dollars shall be translated into Dollars at the applicable Exchange Rate used in preparing the financial statements delivered pursuant to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prior to the first such delivery, the financial statements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Notwithstanding the foregoing or anything to the contrary herein, to the extent that the Borrower would not be in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if any Indebtedness denominated in a currency other than Dollars were to be translated into Dollars on the basis of the applicable Exchange Rate used in preparing the financial statements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for the relevant Test Period, but would be in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if such Indebtedness that is denominated in a currency other than in Dollars were instead translated into Dollars on the basis of the average relevant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the First Lien Leverage Ratio as of the last day of such Test Period shall be calculated on the basis of such average relevant Exchange Rates.</w:t>
      </w:r>
    </w:p>
    <w:p>
      <w:pPr>
        <w:spacing w:after="0" w:line="174" w:lineRule="exact"/>
        <w:rPr>
          <w:sz w:val="20"/>
          <w:szCs w:val="20"/>
          <w:color w:val="auto"/>
        </w:rPr>
      </w:pPr>
    </w:p>
    <w:p>
      <w:pPr>
        <w:jc w:val="both"/>
        <w:ind w:firstLine="756"/>
        <w:spacing w:after="0" w:line="262" w:lineRule="auto"/>
        <w:tabs>
          <w:tab w:leader="none" w:pos="101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u w:val="single" w:color="auto"/>
          <w:color w:val="auto"/>
        </w:rPr>
        <w:t>Section 1.09.Cashless Rollovers</w:t>
      </w:r>
      <w:r>
        <w:rPr>
          <w:rFonts w:ascii="Arial" w:cs="Arial" w:eastAsia="Arial" w:hAnsi="Arial"/>
          <w:sz w:val="17"/>
          <w:szCs w:val="17"/>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Replacement Revolving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1.10.Certain Calculations and Tests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7" w:lineRule="auto"/>
        <w:tabs>
          <w:tab w:leader="none" w:pos="10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to the extent that the terms of this Agreement require (i) compliance with any financial ratio or test (including, without limitation,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hereof, any First Lien Leverage Ratio test, any Secured Leverage Ratio test, any Total Leverage Ratio test and/or any Interest Coverage Ratio test) and/or any cap expressed as a percentage of Consolidated Adjusted EBITDA or (ii) the absence of a Default or Event of Default (or any type of Default or Event of Default) as a condition to (A) the consummation of any transaction in connection with any acquisition or similar Investment (including the assumption or incurrence of Indebtedness), (B) the making of any Restricted Payment and/or (C) the making of any Restricted Debt Payment, the determination of whether the relevant condition is satisfied may be made, at the election of the Borrower, (1) in the case of any acquisition or similar Investment (including with respect to any Indebtedness assumed or incurred in connection therewith), at the time of (or on the basis of the financial statements for the most recently ended Test Period at the time of) either (x) in the case of any Limited Condition Acquisition, the execution of the definitive agreement with respect to such acquisition or Investment or (y) the consummation of such acquisition or Investment, (2)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0" w:name="page121"/>
    <w:bookmarkEnd w:id="120"/>
    <w:p>
      <w:pPr>
        <w:jc w:val="both"/>
        <w:spacing w:after="0" w:line="268" w:lineRule="auto"/>
        <w:rPr>
          <w:sz w:val="20"/>
          <w:szCs w:val="20"/>
          <w:color w:val="auto"/>
        </w:rPr>
      </w:pPr>
      <w:r>
        <w:rPr>
          <w:rFonts w:ascii="Arial" w:cs="Arial" w:eastAsia="Arial" w:hAnsi="Arial"/>
          <w:sz w:val="17"/>
          <w:szCs w:val="17"/>
          <w:color w:val="auto"/>
        </w:rPr>
        <w:t xml:space="preserve">case of any Restricted Payment (including with respect to any Indebtedness assumed or incurred in connection therewith), at the time of (or on the basis of the financial statements for the most recently ended Test Period at the time of) (x) the declaration of such Restricted Payment so long as such Restricted Payment is made within 60 days of such declaration or (y) the making of such Restricted Payment and (3) in the case of any Restricted Debt Payment (including with respect to any Indebtedness assumed or incurred in connection therewith), at the time of (or on the basis of the financial statements for the most recently ended Test Period at the time of)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(II) to the extent definitive documents in respect thereof have been executed or the declaration of any Restricted Payment or delivery of notice with respect to a Restricted Debt Payment (which definitive documents, declaration or notice has not terminated or expired without the consummation thereof), any additional acquisition, Investment, Restricted Payment, Restricted Debt Payment and/or any related Indebtedness (including the intended use of proceeds thereof) that the Borrower has elected to be determined as set forth in this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179" w:lineRule="exact"/>
        <w:rPr>
          <w:sz w:val="20"/>
          <w:szCs w:val="20"/>
          <w:color w:val="auto"/>
        </w:rPr>
      </w:pPr>
    </w:p>
    <w:p>
      <w:pPr>
        <w:jc w:val="both"/>
        <w:ind w:firstLine="756"/>
        <w:spacing w:after="0" w:line="254" w:lineRule="auto"/>
        <w:tabs>
          <w:tab w:leader="none" w:pos="10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For purposes of determining the permissibility of any action, change, transaction or event that requires a calculation of any financial ratio or test (including, without limitation,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hereof, any First Lien Leverage Ratio test, any Secured Leverage Ratio test, any Total Leverage Ratio test and/or any Interest Coverage Ratio test and/or the amount of Consolidated Adjusted EBITDA or Consolidated Total Assets), such financial ratio or test shall be calculated at the time such action is taken (subject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such change is made, such transaction is consummated or such event occurs, as the case may be, and no Default or Event of Default shall be deemed to have occurred solely as a result of a change in such financial ratio or test occurring after such calculation.</w:t>
      </w:r>
    </w:p>
    <w:p>
      <w:pPr>
        <w:spacing w:after="0" w:line="190" w:lineRule="exact"/>
        <w:rPr>
          <w:rFonts w:ascii="Arial" w:cs="Arial" w:eastAsia="Arial" w:hAnsi="Arial"/>
          <w:sz w:val="18"/>
          <w:szCs w:val="18"/>
          <w:color w:val="auto"/>
        </w:rPr>
      </w:pPr>
    </w:p>
    <w:p>
      <w:pPr>
        <w:jc w:val="both"/>
        <w:ind w:firstLine="756"/>
        <w:spacing w:after="0" w:line="268" w:lineRule="auto"/>
        <w:tabs>
          <w:tab w:leader="none" w:pos="101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with respect to any amounts incurred or transactions entered into (or consummated) in reliance on a provision of this Agreement that does not require compliance with a financial ratio or test (including, without limitation,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hereof, any First Lien Leverage Ratio test, any Secured Leverage Ratio test, any Total Leverage Ratio test and/or any Interest Coverage Ratio test) (any such amounts, the “</w:t>
      </w:r>
      <w:r>
        <w:rPr>
          <w:rFonts w:ascii="Arial" w:cs="Arial" w:eastAsia="Arial" w:hAnsi="Arial"/>
          <w:sz w:val="17"/>
          <w:szCs w:val="17"/>
          <w:u w:val="single" w:color="auto"/>
          <w:color w:val="auto"/>
        </w:rPr>
        <w:t>Fixed Amounts</w:t>
      </w:r>
      <w:r>
        <w:rPr>
          <w:rFonts w:ascii="Arial" w:cs="Arial" w:eastAsia="Arial" w:hAnsi="Arial"/>
          <w:sz w:val="17"/>
          <w:szCs w:val="17"/>
          <w:color w:val="auto"/>
        </w:rPr>
        <w:t xml:space="preserve">”) substantially concurrently with any amounts incurred or transactions entered into (or consummated) in reliance on a provision of this Agreement that requires compliance with a financial ratio or test (including, without limitation,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hereof, any First Lien Leverage Ratio test, any Secured Leverage Ratio test, any Total Leverage Ratio test and/or any Interest Coverage Ratio test) (any such amounts, the “</w:t>
      </w:r>
      <w:r>
        <w:rPr>
          <w:rFonts w:ascii="Arial" w:cs="Arial" w:eastAsia="Arial" w:hAnsi="Arial"/>
          <w:sz w:val="17"/>
          <w:szCs w:val="17"/>
          <w:u w:val="single" w:color="auto"/>
          <w:color w:val="auto"/>
        </w:rPr>
        <w:t>Incurrence-Based Amounts</w:t>
      </w:r>
      <w:r>
        <w:rPr>
          <w:rFonts w:ascii="Arial" w:cs="Arial" w:eastAsia="Arial" w:hAnsi="Arial"/>
          <w:sz w:val="17"/>
          <w:szCs w:val="17"/>
          <w:color w:val="auto"/>
        </w:rPr>
        <w:t xml:space="preserve">”), it is understood and agreed that the Fixed Amounts shall be disregarded in the calculation of the financial ratio or test applicable to the Incurrence-Based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incurrence of Indebtedness or Liens constituting Fixed Amounts shall be taken into account for purposes of Incurrence-Based Amounts under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Revolving Loans borrowed in connection with any transactions pursuant to which an Incurrence-Based Amount is being determined shall be disregarded for purposes of calculating the applicable Incurrence-Based Amounts.</w:t>
      </w:r>
    </w:p>
    <w:p>
      <w:pPr>
        <w:spacing w:after="0" w:line="178" w:lineRule="exact"/>
        <w:rPr>
          <w:rFonts w:ascii="Arial" w:cs="Arial" w:eastAsia="Arial" w:hAnsi="Arial"/>
          <w:sz w:val="17"/>
          <w:szCs w:val="17"/>
          <w:color w:val="auto"/>
        </w:rPr>
      </w:pPr>
    </w:p>
    <w:p>
      <w:pPr>
        <w:ind w:firstLine="756"/>
        <w:spacing w:after="0" w:line="305" w:lineRule="auto"/>
        <w:tabs>
          <w:tab w:leader="none" w:pos="101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48" w:lineRule="exact"/>
        <w:rPr>
          <w:rFonts w:ascii="Arial" w:cs="Arial" w:eastAsia="Arial" w:hAnsi="Arial"/>
          <w:sz w:val="17"/>
          <w:szCs w:val="17"/>
          <w:color w:val="auto"/>
        </w:rPr>
      </w:pPr>
    </w:p>
    <w:p>
      <w:pPr>
        <w:jc w:val="both"/>
        <w:ind w:firstLine="756"/>
        <w:spacing w:after="0" w:line="284" w:lineRule="auto"/>
        <w:tabs>
          <w:tab w:leader="none" w:pos="101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The increase in amounts secured by Liens by virtue of accrual of interest, the accretion of accreted value, the payment of interest or dividends in the form of additional Indebtedness, amortization of original issue discount and increases in the amount of Indebtedness outstanding solely as a result of fluctuations in the exchange rate of currencies will not be deemed to be an incurrence of Liens for purposes of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66"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u w:val="single" w:color="auto"/>
          <w:color w:val="auto"/>
        </w:rPr>
        <w:t>Section 1.11.Divisions</w:t>
      </w:r>
      <w:r>
        <w:rPr>
          <w:rFonts w:ascii="Arial" w:cs="Arial" w:eastAsia="Arial" w:hAnsi="Arial"/>
          <w:sz w:val="16"/>
          <w:szCs w:val="16"/>
          <w:color w:val="auto"/>
        </w:rPr>
        <w:t>. For all purposes under the Loan Documents, in connection with any division or plan of division under Delaware law (or any comparable event under a different jurisdiction’s laws), if any asset, right, obligation or liability of any Restricted Subsidiary becomes the asset, right, obligation or liability of a different Person, then it shall be deemed to have been transferred from such Restricted Subsidiary to the subsequent Person.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1.12.Effect of Benchmark Transition Event</w:t>
      </w:r>
      <w:r>
        <w:rPr>
          <w:rFonts w:ascii="Arial" w:cs="Arial" w:eastAsia="Arial" w:hAnsi="Arial"/>
          <w:sz w:val="18"/>
          <w:szCs w:val="18"/>
          <w:color w:val="auto"/>
        </w:rPr>
        <w:t>.</w:t>
      </w:r>
    </w:p>
    <w:p>
      <w:pPr>
        <w:spacing w:after="0" w:line="223" w:lineRule="exact"/>
        <w:rPr>
          <w:sz w:val="20"/>
          <w:szCs w:val="20"/>
          <w:color w:val="auto"/>
        </w:rPr>
      </w:pPr>
    </w:p>
    <w:p>
      <w:pPr>
        <w:ind w:firstLine="756"/>
        <w:spacing w:after="0" w:line="275" w:lineRule="auto"/>
        <w:tabs>
          <w:tab w:leader="none" w:pos="1017" w:val="left"/>
        </w:tabs>
        <w:numPr>
          <w:ilvl w:val="0"/>
          <w:numId w:val="104"/>
        </w:numPr>
        <w:rPr>
          <w:rFonts w:ascii="Arial" w:cs="Arial" w:eastAsia="Arial" w:hAnsi="Arial"/>
          <w:sz w:val="18"/>
          <w:szCs w:val="18"/>
          <w:color w:val="FF0000"/>
          <w:strike w:val="1"/>
        </w:rPr>
      </w:pPr>
      <w:r>
        <w:rPr>
          <w:rFonts w:ascii="Arial" w:cs="Arial" w:eastAsia="Arial" w:hAnsi="Arial"/>
          <w:sz w:val="18"/>
          <w:szCs w:val="18"/>
          <w:u w:val="single" w:color="auto"/>
          <w:color w:val="0000FF"/>
        </w:rPr>
        <w:t>(a)</w:t>
      </w:r>
      <w:r>
        <w:rPr>
          <w:rFonts w:ascii="Arial" w:cs="Arial" w:eastAsia="Arial" w:hAnsi="Arial"/>
          <w:sz w:val="18"/>
          <w:szCs w:val="18"/>
          <w:color w:val="0000FF"/>
        </w:rPr>
        <w:t xml:space="preserve"> </w:t>
      </w:r>
      <w:r>
        <w:rPr>
          <w:rFonts w:ascii="Arial" w:cs="Arial" w:eastAsia="Arial" w:hAnsi="Arial"/>
          <w:sz w:val="18"/>
          <w:szCs w:val="18"/>
          <w:color w:val="000000"/>
        </w:rPr>
        <w:t>Notwithstanding anything to the contrary in this Agreement or any other Loan Documents, if the Administrative Agent determines</w:t>
      </w:r>
      <w:r>
        <w:rPr>
          <w:rFonts w:ascii="Arial" w:cs="Arial" w:eastAsia="Arial" w:hAnsi="Arial"/>
          <w:sz w:val="18"/>
          <w:szCs w:val="18"/>
          <w:color w:val="0000FF"/>
        </w:rPr>
        <w:t xml:space="preserve"> </w:t>
      </w:r>
      <w:r>
        <w:rPr>
          <w:rFonts w:ascii="Arial" w:cs="Arial" w:eastAsia="Arial" w:hAnsi="Arial"/>
          <w:sz w:val="18"/>
          <w:szCs w:val="18"/>
          <w:color w:val="000000"/>
        </w:rPr>
        <w:t>(which determination shall be conclusive absent manifest error), or the Borrower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1" w:name="page122"/>
    <w:bookmarkEnd w:id="121"/>
    <w:p>
      <w:pPr>
        <w:spacing w:after="0" w:line="275" w:lineRule="auto"/>
        <w:rPr>
          <w:sz w:val="20"/>
          <w:szCs w:val="20"/>
          <w:color w:val="auto"/>
        </w:rPr>
      </w:pPr>
      <w:r>
        <w:rPr>
          <w:rFonts w:ascii="Arial" w:cs="Arial" w:eastAsia="Arial" w:hAnsi="Arial"/>
          <w:sz w:val="18"/>
          <w:szCs w:val="18"/>
          <w:color w:val="auto"/>
        </w:rPr>
        <w:t>Required Lenders notify the Administrative Agent (with, in the case of the Required Lenders, a copy to the Borrower) that the Borrower or Required Lenders (as applicable) have determined with respect to an Applicable Currency, that:</w:t>
      </w:r>
    </w:p>
    <w:p>
      <w:pPr>
        <w:spacing w:after="0" w:line="171" w:lineRule="exact"/>
        <w:rPr>
          <w:sz w:val="20"/>
          <w:szCs w:val="20"/>
          <w:color w:val="auto"/>
        </w:rPr>
      </w:pPr>
    </w:p>
    <w:p>
      <w:pPr>
        <w:jc w:val="both"/>
        <w:ind w:left="760" w:firstLine="1045"/>
        <w:spacing w:after="0" w:line="262" w:lineRule="auto"/>
        <w:tabs>
          <w:tab w:leader="none" w:pos="20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Relevant Rate for such Applicable Currency for any Interest Period hereunder or any other tenors of such Relevant Rate, including because the Relevant Rate for such Applicable Currency is not available or published on a current basis at such time and such circumstances are unlikely to be temporary; or</w:t>
      </w:r>
    </w:p>
    <w:p>
      <w:pPr>
        <w:spacing w:after="0" w:line="182" w:lineRule="exact"/>
        <w:rPr>
          <w:sz w:val="20"/>
          <w:szCs w:val="20"/>
          <w:color w:val="auto"/>
        </w:rPr>
      </w:pPr>
    </w:p>
    <w:p>
      <w:pPr>
        <w:jc w:val="both"/>
        <w:ind w:left="760" w:firstLine="1048"/>
        <w:spacing w:after="0" w:line="254" w:lineRule="auto"/>
        <w:rPr>
          <w:sz w:val="20"/>
          <w:szCs w:val="20"/>
          <w:color w:val="auto"/>
        </w:rPr>
      </w:pPr>
      <w:r>
        <w:rPr>
          <w:rFonts w:ascii="Arial" w:cs="Arial" w:eastAsia="Arial" w:hAnsi="Arial"/>
          <w:sz w:val="18"/>
          <w:szCs w:val="18"/>
          <w:color w:val="auto"/>
        </w:rPr>
        <w:t>(ii)the administrator of the Relevant Rate for such Applicable Currency or a Governmental Authority having jurisdiction over the Administrative Agent or such administrator has made a public statement identifying a specific date after which the Relevant Rate for such Applicable Currency shall no longer be made available, or used for determining the interest rate of loans denominated in such Applicable Currency, provided that, in each case, at the time of such statement, there is no successor administrator that is reasonably satisfactory to the Administrative Agent that will continue to provide the Relevant Rate for such Applicable Currency after such specific date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91"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(iii)the administrator of the Relevant Rate for such Applicable Currency or a Governmental Authority having jurisdiction over such administrator has made a public statement announcing that all Interest Periods and other tenors of the Relevant Rate are no longer representative; or</w:t>
      </w:r>
    </w:p>
    <w:p>
      <w:pPr>
        <w:spacing w:after="0" w:line="182"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(iv)syndicated loans being executed at the time of such determination, or that include language similar to that contained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are being executed or amended (as applicable) to incorporate or adopt a new benchmark interest rate to replace the Relevant Rate for such Applicable Currency,</w:t>
      </w:r>
    </w:p>
    <w:p>
      <w:pPr>
        <w:spacing w:after="0" w:line="18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color w:val="auto"/>
        </w:rPr>
        <w:t xml:space="preserve">or if the events or circumstances of the type described in </w:t>
      </w:r>
      <w:r>
        <w:rPr>
          <w:rFonts w:ascii="Arial" w:cs="Arial" w:eastAsia="Arial" w:hAnsi="Arial"/>
          <w:sz w:val="17"/>
          <w:szCs w:val="17"/>
          <w:u w:val="single" w:color="auto"/>
          <w:color w:val="auto"/>
        </w:rPr>
        <w:t>Section 1.12(a)(i)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have occurred with respect to the Successor Rate then in effect, then, reasonably promptly after such determination by the Administrative Agent or receipt by the Administrative Agent of such notice from the Borrower or (I) with respect to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denominated in Dollars, the Required Lenders or (II) with respect to Revolving Loans denominated in an Applicable Currency (other than Dollars), the Required Revolving Lenders, as applicable, notwithstanding anything to the contrary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Administrative Agent and the Borrower may amend this Agreement solely for the purpose of replacing the Relevant Rate for such Applicable Currency or any then-current Successor Rate for such Applicable Currency in accordance with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with (x) in the case of </w:t>
      </w:r>
      <w:r>
        <w:rPr>
          <w:rFonts w:ascii="Arial" w:cs="Arial" w:eastAsia="Arial" w:hAnsi="Arial"/>
          <w:sz w:val="17"/>
          <w:szCs w:val="17"/>
          <w:color w:val="FF0000"/>
          <w:strike w:val="1"/>
        </w:rPr>
        <w:t>LIBO</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denominated in Dollars, one or more</w:t>
      </w:r>
      <w:r>
        <w:rPr>
          <w:rFonts w:ascii="Arial" w:cs="Arial" w:eastAsia="Arial" w:hAnsi="Arial"/>
          <w:sz w:val="17"/>
          <w:szCs w:val="17"/>
          <w:color w:val="FF0000"/>
        </w:rPr>
        <w:t xml:space="preserve"> </w:t>
      </w:r>
      <w:r>
        <w:rPr>
          <w:rFonts w:ascii="Arial" w:cs="Arial" w:eastAsia="Arial" w:hAnsi="Arial"/>
          <w:sz w:val="17"/>
          <w:szCs w:val="17"/>
          <w:color w:val="FF0000"/>
          <w:strike w:val="1"/>
        </w:rPr>
        <w:t>SOFR-Based</w:t>
      </w:r>
      <w:r>
        <w:rPr>
          <w:rFonts w:ascii="Arial" w:cs="Arial" w:eastAsia="Arial" w:hAnsi="Arial"/>
          <w:sz w:val="17"/>
          <w:szCs w:val="17"/>
          <w:u w:val="single" w:color="auto"/>
          <w:color w:val="0000FF"/>
        </w:rPr>
        <w:t>Successor</w:t>
      </w:r>
      <w:r>
        <w:rPr>
          <w:rFonts w:ascii="Arial" w:cs="Arial" w:eastAsia="Arial" w:hAnsi="Arial"/>
          <w:sz w:val="17"/>
          <w:szCs w:val="17"/>
          <w:color w:val="FF0000"/>
        </w:rPr>
        <w:t xml:space="preserve"> </w:t>
      </w:r>
      <w:r>
        <w:rPr>
          <w:rFonts w:ascii="Arial" w:cs="Arial" w:eastAsia="Arial" w:hAnsi="Arial"/>
          <w:sz w:val="17"/>
          <w:szCs w:val="17"/>
          <w:color w:val="000000"/>
        </w:rPr>
        <w:t>Rates or (y) in the case of any Applicable Currency with another</w:t>
      </w:r>
      <w:r>
        <w:rPr>
          <w:rFonts w:ascii="Arial" w:cs="Arial" w:eastAsia="Arial" w:hAnsi="Arial"/>
          <w:sz w:val="17"/>
          <w:szCs w:val="17"/>
          <w:color w:val="FF0000"/>
        </w:rPr>
        <w:t xml:space="preserve"> </w:t>
      </w:r>
      <w:r>
        <w:rPr>
          <w:rFonts w:ascii="Arial" w:cs="Arial" w:eastAsia="Arial" w:hAnsi="Arial"/>
          <w:sz w:val="17"/>
          <w:szCs w:val="17"/>
          <w:color w:val="000000"/>
        </w:rPr>
        <w:t>alternate benchmark rate giving due consideration to any evolving or then existing convention for comparable syndicated credit facilities for such alternative benchmarks for such Applicable Currency and, in each case, including any mathematical or other adjustments to such benchmark giving due consideration to any evolving or then existing convention for comparable syndicated credit facilities for such benchmarks for such Applicable Currency</w:t>
      </w:r>
      <w:r>
        <w:rPr>
          <w:rFonts w:ascii="Arial" w:cs="Arial" w:eastAsia="Arial" w:hAnsi="Arial"/>
          <w:sz w:val="17"/>
          <w:szCs w:val="17"/>
          <w:color w:val="FF0000"/>
          <w:strike w:val="1"/>
        </w:rPr>
        <w:t>, which adjustment</w:t>
      </w:r>
      <w:r>
        <w:rPr>
          <w:rFonts w:ascii="Arial" w:cs="Arial" w:eastAsia="Arial" w:hAnsi="Arial"/>
          <w:sz w:val="17"/>
          <w:szCs w:val="17"/>
          <w:color w:val="000000"/>
        </w:rPr>
        <w:t xml:space="preserve"> </w:t>
      </w:r>
      <w:r>
        <w:rPr>
          <w:rFonts w:ascii="Arial" w:cs="Arial" w:eastAsia="Arial" w:hAnsi="Arial"/>
          <w:sz w:val="17"/>
          <w:szCs w:val="17"/>
          <w:color w:val="FF0000"/>
          <w:strike w:val="1"/>
        </w:rPr>
        <w:t>or method for calculating such adjustment shall be published on an information service as selected by the Administrative Agent from time to time in its reasonable discretion in consultation with the Borrower and may be periodically updated (each, an “</w:t>
      </w:r>
      <w:r>
        <w:rPr>
          <w:rFonts w:ascii="Arial" w:cs="Arial" w:eastAsia="Arial" w:hAnsi="Arial"/>
          <w:sz w:val="17"/>
          <w:szCs w:val="17"/>
          <w:u w:val="single" w:color="auto"/>
          <w:color w:val="FF0000"/>
          <w:strike w:val="1"/>
        </w:rPr>
        <w:t>Adjustment</w:t>
      </w:r>
      <w:r>
        <w:rPr>
          <w:rFonts w:ascii="Arial" w:cs="Arial" w:eastAsia="Arial" w:hAnsi="Arial"/>
          <w:sz w:val="17"/>
          <w:szCs w:val="17"/>
          <w:color w:val="FF0000"/>
          <w:strike w:val="1"/>
        </w:rPr>
        <w:t xml:space="preserve">;” and </w:t>
      </w:r>
      <w:r>
        <w:rPr>
          <w:rFonts w:ascii="Arial" w:cs="Arial" w:eastAsia="Arial" w:hAnsi="Arial"/>
          <w:sz w:val="17"/>
          <w:szCs w:val="17"/>
          <w:u w:val="single" w:color="auto"/>
          <w:color w:val="0000FF"/>
          <w:strike w:val="1"/>
        </w:rPr>
        <w:t>(</w:t>
      </w:r>
      <w:r>
        <w:rPr>
          <w:rFonts w:ascii="Arial" w:cs="Arial" w:eastAsia="Arial" w:hAnsi="Arial"/>
          <w:sz w:val="17"/>
          <w:szCs w:val="17"/>
          <w:color w:val="000000"/>
          <w:strike w:val="1"/>
        </w:rPr>
        <w:t>any such proposed rate, a</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w:t>
      </w:r>
      <w:r>
        <w:rPr>
          <w:rFonts w:ascii="Arial" w:cs="Arial" w:eastAsia="Arial" w:hAnsi="Arial"/>
          <w:sz w:val="17"/>
          <w:szCs w:val="17"/>
          <w:u w:val="single" w:color="auto"/>
          <w:color w:val="000000"/>
          <w:strike w:val="1"/>
        </w:rPr>
        <w:t>Successor Rate</w:t>
      </w:r>
      <w:r>
        <w:rPr>
          <w:rFonts w:ascii="Arial" w:cs="Arial" w:eastAsia="Arial" w:hAnsi="Arial"/>
          <w:sz w:val="17"/>
          <w:szCs w:val="17"/>
          <w:color w:val="000000"/>
          <w:strike w:val="1"/>
        </w:rPr>
        <w:t>”)</w:t>
      </w:r>
      <w:r>
        <w:rPr>
          <w:rFonts w:ascii="Arial" w:cs="Arial" w:eastAsia="Arial" w:hAnsi="Arial"/>
          <w:sz w:val="17"/>
          <w:szCs w:val="17"/>
          <w:color w:val="FF0000"/>
          <w:strike w:val="1"/>
        </w:rPr>
        <w:t>, and any</w:t>
      </w:r>
      <w:r>
        <w:rPr>
          <w:rFonts w:ascii="Arial" w:cs="Arial" w:eastAsia="Arial" w:hAnsi="Arial"/>
          <w:sz w:val="17"/>
          <w:szCs w:val="17"/>
          <w:u w:val="single" w:color="auto"/>
          <w:color w:val="0000FF"/>
          <w:strike w:val="1"/>
        </w:rPr>
        <w:t>. Any</w:t>
      </w:r>
      <w:r>
        <w:rPr>
          <w:rFonts w:ascii="Arial" w:cs="Arial" w:eastAsia="Arial" w:hAnsi="Arial"/>
          <w:sz w:val="17"/>
          <w:szCs w:val="17"/>
          <w:color w:val="000000"/>
          <w:strike w:val="1"/>
        </w:rPr>
        <w:t xml:space="preserve"> such amendment shall become effective at 5:00 p.m. on the fifth Business Day after the Administrative Agent shall have posted such proposed amendment to all Lenders </w:t>
      </w:r>
      <w:r>
        <w:rPr>
          <w:rFonts w:ascii="Arial" w:cs="Arial" w:eastAsia="Arial" w:hAnsi="Arial"/>
          <w:sz w:val="17"/>
          <w:szCs w:val="17"/>
          <w:u w:val="single" w:color="auto"/>
          <w:color w:val="0000FF"/>
          <w:strike w:val="1"/>
        </w:rPr>
        <w:t>and the Borrower</w:t>
      </w:r>
      <w:r>
        <w:rPr>
          <w:rFonts w:ascii="Arial" w:cs="Arial" w:eastAsia="Arial" w:hAnsi="Arial"/>
          <w:sz w:val="17"/>
          <w:szCs w:val="17"/>
          <w:color w:val="000000"/>
          <w:strike w:val="1"/>
        </w:rPr>
        <w:t xml:space="preserve"> unless, prior to such time, Lenders comprising </w:t>
      </w:r>
      <w:r>
        <w:rPr>
          <w:rFonts w:ascii="Arial" w:cs="Arial" w:eastAsia="Arial" w:hAnsi="Arial"/>
          <w:sz w:val="17"/>
          <w:szCs w:val="17"/>
          <w:color w:val="FF0000"/>
          <w:strike w:val="1"/>
        </w:rPr>
        <w:t>(I) with respect to LIBO Rate Loans</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denominated in Dollars, the Required Lenders and (II) with respect to Revolving Loans denominated in an Applicable Currency (other than Dollars), the Required Revolving Lenders, as applicable, have delivered to the Administrative Agent written notice that such required lenders (A) in the case of an amendment to replace the LIBO Rate with respect to LIBO Rate Loans denominated in Dollars with a rate described in clause (x), object to any Adjustment; or (B) in the case of an amendment to replace the Relevant Rate with respect to Loans denominated in such Applicable Currency with a rate described in clause (y), object to such amendment; provided that for the avoidance of doubt, in the case of an amendment to replace the LIBO Rate with respect to LIBO Rate Loans denominated in Dollars, such required lenders shall not be entitled to object to any SOFR-Based Rate contained in any such amendment.</w:t>
      </w:r>
      <w:r>
        <w:rPr>
          <w:rFonts w:ascii="Arial" w:cs="Arial" w:eastAsia="Arial" w:hAnsi="Arial"/>
          <w:sz w:val="17"/>
          <w:szCs w:val="17"/>
          <w:u w:val="single" w:color="auto"/>
          <w:color w:val="0000FF"/>
          <w:strike w:val="1"/>
        </w:rPr>
        <w:t>the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Required Lenders object to such amendment.</w:t>
      </w:r>
    </w:p>
    <w:p>
      <w:pPr>
        <w:spacing w:after="0" w:line="18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Any Successor Rate shall be applied in a manner consistent with </w:t>
      </w:r>
      <w:r>
        <w:rPr>
          <w:rFonts w:ascii="Arial" w:cs="Arial" w:eastAsia="Arial" w:hAnsi="Arial"/>
          <w:sz w:val="18"/>
          <w:szCs w:val="18"/>
          <w:u w:val="single" w:color="auto"/>
          <w:color w:val="0000FF"/>
        </w:rPr>
        <w:t>prevailing</w:t>
      </w:r>
      <w:r>
        <w:rPr>
          <w:rFonts w:ascii="Arial" w:cs="Arial" w:eastAsia="Arial" w:hAnsi="Arial"/>
          <w:sz w:val="18"/>
          <w:szCs w:val="18"/>
          <w:color w:val="auto"/>
        </w:rPr>
        <w:t xml:space="preserve"> market practice for comparable syndicated loans being executed at the time of such determination; provided that to the extent such </w:t>
      </w:r>
      <w:r>
        <w:rPr>
          <w:rFonts w:ascii="Arial" w:cs="Arial" w:eastAsia="Arial" w:hAnsi="Arial"/>
          <w:sz w:val="18"/>
          <w:szCs w:val="18"/>
          <w:u w:val="single" w:color="auto"/>
          <w:color w:val="0000FF"/>
        </w:rPr>
        <w:t>prevailing</w:t>
      </w:r>
      <w:r>
        <w:rPr>
          <w:rFonts w:ascii="Arial" w:cs="Arial" w:eastAsia="Arial" w:hAnsi="Arial"/>
          <w:sz w:val="18"/>
          <w:szCs w:val="18"/>
          <w:color w:val="auto"/>
        </w:rPr>
        <w:t xml:space="preserve"> market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2" w:name="page123"/>
    <w:bookmarkEnd w:id="122"/>
    <w:p>
      <w:pPr>
        <w:jc w:val="both"/>
        <w:spacing w:after="0" w:line="275" w:lineRule="auto"/>
        <w:rPr>
          <w:sz w:val="20"/>
          <w:szCs w:val="20"/>
          <w:color w:val="auto"/>
        </w:rPr>
      </w:pPr>
      <w:r>
        <w:rPr>
          <w:rFonts w:ascii="Arial" w:cs="Arial" w:eastAsia="Arial" w:hAnsi="Arial"/>
          <w:sz w:val="18"/>
          <w:szCs w:val="18"/>
          <w:color w:val="auto"/>
        </w:rPr>
        <w:t>practice is not administratively feasible for the Administrative Agent, such Successor Rate shall be applied in a manner as otherwise reasonably determined by the Administrative Agent in consultation with the Borrower.</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Notwithstanding anything to the contrary herein, if at any time any Successor Rate as so determined would otherwise be less than (a) solely with respect to the Initial Term Loans, 0.50% per annum, then such Successor Rate will be deemed to be 0.50% per annum and (b) solely with respect to the Initial Revolving Loans, 0% per annum, then such Successor Rate will be deemed to be 0% per annum, in each case for the purposes of this Agreement and the other Loan Documents.</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In connection with the implementation of a Successor Rate, the Administrative Agent will have the right to make Successor Rate Conforming Changes from time to time and, notwithstanding anything to the contrary herein or in any other Loan Document, any amendments implementing such Successor Rate Conforming Changes will become effective without any further action or consent of any other party to this Agreement (other than the Borrower (such consent not to be unreasonably withheld or delayed)); provided that, with respect to any such amendment effected, the Administrative Agent shall post each such amendment implementing such Successor Rate Conforming Changes to the Borrower and the Lenders reasonably promptly after such amendment becomes effective.</w:t>
      </w:r>
    </w:p>
    <w:p>
      <w:pPr>
        <w:spacing w:after="0" w:line="191" w:lineRule="exact"/>
        <w:rPr>
          <w:sz w:val="20"/>
          <w:szCs w:val="20"/>
          <w:color w:val="auto"/>
        </w:rPr>
      </w:pPr>
    </w:p>
    <w:p>
      <w:pPr>
        <w:jc w:val="both"/>
        <w:ind w:firstLine="756"/>
        <w:spacing w:after="0" w:line="286" w:lineRule="auto"/>
        <w:tabs>
          <w:tab w:leader="none" w:pos="101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If, at the end of any Interest Period, relevant interest payment date or payment period for interest calculated, no Successor Rate has been determined in accordance with clause (a)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the Scheduled Unavailability Date has occurred (as applicable), the Administrative Agent will promptly so notify the Borrower and each Lender and thereafter, (x) the obligation of the Lenders to make or maintain Loans whose interest is determined by reference to the Relevant Rate in any Applicable Currency with respect to which such circumstances exist shall be suspended (to the extent of the affected Loans, Interest Periods, interest payment dates or payment periods) and (y) the Relevant Rate component shall no longer be utilized in determining the Alternate Base Rate, until the Successor Rate has been determined in accordance with clause (a) for such Applicable Currency. Upon receipt of such notice, the Borrower may revoke any pending request for a Borrowing of, conversion to or continuation of the Loans (to the extent of the affected Loans, Interest Periods, interest payment dates or payment periods) or, failing that, (i) (A) if the requested Loans are denominated in Dollars, will be deemed to have converted such request into a request for a Borrowing of ABR Loans (subject to the foregoing clause (y) in the amount specified therein), and (B) if the requested Loans are denominated in an Applicable Currency other than Dollars, any such request shall be deemed to have been converted to an ABR Borrowing in the Dollar Equivalent thereof on the last day of the Interest Period applicable thereto.</w:t>
      </w:r>
    </w:p>
    <w:p>
      <w:pPr>
        <w:spacing w:after="0" w:line="16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u w:val="single" w:color="auto"/>
          <w:color w:val="auto"/>
        </w:rPr>
        <w:t>Section 1.13.</w:t>
      </w:r>
      <w:r>
        <w:rPr>
          <w:rFonts w:ascii="Arial" w:cs="Arial" w:eastAsia="Arial" w:hAnsi="Arial"/>
          <w:sz w:val="17"/>
          <w:szCs w:val="17"/>
          <w:u w:val="single" w:color="auto"/>
          <w:color w:val="0000FF"/>
        </w:rPr>
        <w:t>Interest Rates. The Administrative Agent does not warrant, nor accept responsibility, nor shall the Administrative Agent have any</w:t>
      </w:r>
      <w:r>
        <w:rPr>
          <w:rFonts w:ascii="Arial" w:cs="Arial" w:eastAsia="Arial" w:hAnsi="Arial"/>
          <w:sz w:val="17"/>
          <w:szCs w:val="17"/>
          <w:u w:val="single" w:color="auto"/>
          <w:color w:val="auto"/>
        </w:rPr>
        <w:t xml:space="preserve"> </w:t>
      </w:r>
      <w:r>
        <w:rPr>
          <w:rFonts w:ascii="Arial" w:cs="Arial" w:eastAsia="Arial" w:hAnsi="Arial"/>
          <w:sz w:val="17"/>
          <w:szCs w:val="17"/>
          <w:u w:val="single" w:color="auto"/>
          <w:color w:val="0000FF"/>
        </w:rPr>
        <w:t>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Successor Rate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any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ARTICLE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2.01.Commitments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2" w:lineRule="auto"/>
        <w:tabs>
          <w:tab w:leader="none" w:pos="101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(i) each Initial Term Lender severally, and not jointly, agrees to make Initial Term Loans to the Borrower on the Closing Date in Dollars in a principal amount not to exceed its Initial Term Loan Commitment and (ii) each Initial Revolving Lender severally, and not jointly, agrees to make Initial Revolving Loans to the Borrower in Dollars or in any Revolving Alternative Currency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the Borrower may borrow, pay or prepay and reborrow Initial Revolving Loans. Amounts paid or prepaid in respect of the Initial Term Loans may not be reborrowed.</w:t>
      </w:r>
    </w:p>
    <w:p>
      <w:pPr>
        <w:spacing w:after="0" w:line="193" w:lineRule="exact"/>
        <w:rPr>
          <w:rFonts w:ascii="Arial" w:cs="Arial" w:eastAsia="Arial" w:hAnsi="Arial"/>
          <w:sz w:val="18"/>
          <w:szCs w:val="18"/>
          <w:color w:val="auto"/>
        </w:rPr>
      </w:pPr>
    </w:p>
    <w:p>
      <w:pPr>
        <w:jc w:val="both"/>
        <w:ind w:firstLine="756"/>
        <w:spacing w:after="0" w:line="258" w:lineRule="auto"/>
        <w:tabs>
          <w:tab w:leader="none" w:pos="101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any applicable Refinancing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or Incremental Facility Amendment.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2.02.Loans and Borrowings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2" w:lineRule="auto"/>
        <w:tabs>
          <w:tab w:leader="none" w:pos="101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jc w:val="both"/>
        <w:ind w:firstLine="756"/>
        <w:spacing w:after="0" w:line="286" w:lineRule="auto"/>
        <w:tabs>
          <w:tab w:leader="none" w:pos="101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each Borrowing shall be comprised entirely of ABR Loans, LIBO Rate </w:t>
      </w:r>
      <w:r>
        <w:rPr>
          <w:rFonts w:ascii="Arial" w:cs="Arial" w:eastAsia="Arial" w:hAnsi="Arial"/>
          <w:sz w:val="16"/>
          <w:szCs w:val="16"/>
          <w:u w:val="single" w:color="auto"/>
          <w:color w:val="0000FF"/>
        </w:rPr>
        <w:t>Loans, Term SOFR</w:t>
      </w:r>
      <w:r>
        <w:rPr>
          <w:rFonts w:ascii="Arial" w:cs="Arial" w:eastAsia="Arial" w:hAnsi="Arial"/>
          <w:sz w:val="16"/>
          <w:szCs w:val="16"/>
          <w:color w:val="auto"/>
        </w:rPr>
        <w:t xml:space="preserve"> Loans or RFR Loans as the Borrower may request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Swingline Loan shall be an ABR Loan. Each Lender at its option may make any LIBO Rate </w:t>
      </w:r>
      <w:r>
        <w:rPr>
          <w:rFonts w:ascii="Arial" w:cs="Arial" w:eastAsia="Arial" w:hAnsi="Arial"/>
          <w:sz w:val="16"/>
          <w:szCs w:val="16"/>
          <w:u w:val="single" w:color="auto"/>
          <w:color w:val="0000FF"/>
        </w:rPr>
        <w:t>Loan, Term SOFR</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or RFR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jc w:val="both"/>
        <w:ind w:firstLine="7"/>
        <w:spacing w:after="0" w:line="284" w:lineRule="auto"/>
        <w:tabs>
          <w:tab w:leader="none" w:pos="22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any exercise of such option shall not affect the obligation of the Borrower to repay such Loan in accordance with the terms of this Agreement, (ii) such LIBO Rate </w:t>
      </w:r>
      <w:r>
        <w:rPr>
          <w:rFonts w:ascii="Arial" w:cs="Arial" w:eastAsia="Arial" w:hAnsi="Arial"/>
          <w:sz w:val="16"/>
          <w:szCs w:val="16"/>
          <w:u w:val="single" w:color="auto"/>
          <w:color w:val="0000FF"/>
        </w:rPr>
        <w:t>Loan, Term SOFR</w:t>
      </w:r>
      <w:r>
        <w:rPr>
          <w:rFonts w:ascii="Arial" w:cs="Arial" w:eastAsia="Arial" w:hAnsi="Arial"/>
          <w:sz w:val="16"/>
          <w:szCs w:val="16"/>
          <w:color w:val="auto"/>
        </w:rPr>
        <w:t xml:space="preserve"> Loan or RFR Loan shall be deemed to have been made and held by such Lender, and the obligation of the Borrower to repay such LIBO Rate </w:t>
      </w:r>
      <w:r>
        <w:rPr>
          <w:rFonts w:ascii="Arial" w:cs="Arial" w:eastAsia="Arial" w:hAnsi="Arial"/>
          <w:sz w:val="16"/>
          <w:szCs w:val="16"/>
          <w:u w:val="single" w:color="auto"/>
          <w:color w:val="0000FF"/>
        </w:rPr>
        <w:t>Loan, Term SOFR</w:t>
      </w:r>
      <w:r>
        <w:rPr>
          <w:rFonts w:ascii="Arial" w:cs="Arial" w:eastAsia="Arial" w:hAnsi="Arial"/>
          <w:sz w:val="16"/>
          <w:szCs w:val="16"/>
          <w:color w:val="auto"/>
        </w:rPr>
        <w:t xml:space="preserve"> Loan or RFR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domestic or foreign branch or Affiliate of such Lender shall be entitled to any greater indemnification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in respect of any U.S. federal withholding tax with respect to such LIBO Rate </w:t>
      </w:r>
      <w:r>
        <w:rPr>
          <w:rFonts w:ascii="Arial" w:cs="Arial" w:eastAsia="Arial" w:hAnsi="Arial"/>
          <w:sz w:val="16"/>
          <w:szCs w:val="16"/>
          <w:u w:val="single" w:color="auto"/>
          <w:color w:val="0000FF"/>
        </w:rPr>
        <w:t>Loan, Term SOFR</w:t>
      </w:r>
      <w:r>
        <w:rPr>
          <w:rFonts w:ascii="Arial" w:cs="Arial" w:eastAsia="Arial" w:hAnsi="Arial"/>
          <w:sz w:val="16"/>
          <w:szCs w:val="16"/>
          <w:color w:val="auto"/>
        </w:rPr>
        <w:t xml:space="preserve"> Loan or RFR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73" w:lineRule="exact"/>
        <w:rPr>
          <w:rFonts w:ascii="Arial" w:cs="Arial" w:eastAsia="Arial" w:hAnsi="Arial"/>
          <w:sz w:val="16"/>
          <w:szCs w:val="16"/>
          <w:color w:val="auto"/>
        </w:rPr>
      </w:pPr>
    </w:p>
    <w:p>
      <w:pPr>
        <w:jc w:val="both"/>
        <w:ind w:firstLine="756"/>
        <w:spacing w:after="0" w:line="254" w:lineRule="auto"/>
        <w:tabs>
          <w:tab w:leader="none" w:pos="101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auto"/>
        </w:rPr>
        <w:t xml:space="preserve"> Borrowing, or when any RFR Loan Borrowing is made, such Borrowing shall comprise an aggregate principal amount that is an integral multiple of $1,000,000 and not less than $5,000,000. Each ABR Borrowing when made shall be in a minimum principal amount of $500,000 and in an integral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Swingline Loan Borrowing may be made in a lesser aggregate amount that is (x) equal to the entire aggregate unused Revolving Credit Commitments or (y) required to finance the reimbursement of an LC Disbursement as contemplated by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4" w:name="page125"/>
    <w:bookmarkEnd w:id="124"/>
    <w:p>
      <w:pPr>
        <w:spacing w:after="0" w:line="275" w:lineRule="auto"/>
        <w:rPr>
          <w:sz w:val="20"/>
          <w:szCs w:val="20"/>
          <w:color w:val="auto"/>
        </w:rPr>
      </w:pPr>
      <w:r>
        <w:rPr>
          <w:rFonts w:ascii="Arial" w:cs="Arial" w:eastAsia="Arial" w:hAnsi="Arial"/>
          <w:sz w:val="18"/>
          <w:szCs w:val="18"/>
          <w:color w:val="auto"/>
        </w:rPr>
        <w:t xml:space="preserve">more than a total of six </w:t>
      </w:r>
      <w:r>
        <w:rPr>
          <w:rFonts w:ascii="Arial" w:cs="Arial" w:eastAsia="Arial" w:hAnsi="Arial"/>
          <w:sz w:val="18"/>
          <w:szCs w:val="18"/>
          <w:u w:val="single" w:color="auto"/>
          <w:color w:val="0000FF"/>
        </w:rPr>
        <w:t>(6)</w:t>
      </w:r>
      <w:r>
        <w:rPr>
          <w:rFonts w:ascii="Arial" w:cs="Arial" w:eastAsia="Arial" w:hAnsi="Arial"/>
          <w:sz w:val="18"/>
          <w:szCs w:val="18"/>
          <w:color w:val="auto"/>
        </w:rPr>
        <w:t xml:space="preserve"> different Interest Periods in effect for LIBO Rate </w:t>
      </w:r>
      <w:r>
        <w:rPr>
          <w:rFonts w:ascii="Arial" w:cs="Arial" w:eastAsia="Arial" w:hAnsi="Arial"/>
          <w:sz w:val="18"/>
          <w:szCs w:val="18"/>
          <w:u w:val="single" w:color="auto"/>
          <w:color w:val="0000FF"/>
        </w:rPr>
        <w:t>Borrowings or Term SOFR</w:t>
      </w:r>
      <w:r>
        <w:rPr>
          <w:rFonts w:ascii="Arial" w:cs="Arial" w:eastAsia="Arial" w:hAnsi="Arial"/>
          <w:sz w:val="18"/>
          <w:szCs w:val="18"/>
          <w:color w:val="auto"/>
        </w:rPr>
        <w:t xml:space="preserve"> Borrowings of the same currency at any time outstanding (or such greater number of different Interest Periods as the Administrative Agent may agree from time to time).</w:t>
      </w:r>
    </w:p>
    <w:p>
      <w:pPr>
        <w:spacing w:after="0" w:line="171" w:lineRule="exact"/>
        <w:rPr>
          <w:sz w:val="20"/>
          <w:szCs w:val="20"/>
          <w:color w:val="auto"/>
        </w:rPr>
      </w:pPr>
    </w:p>
    <w:p>
      <w:pPr>
        <w:ind w:firstLine="756"/>
        <w:spacing w:after="0" w:line="305" w:lineRule="auto"/>
        <w:tabs>
          <w:tab w:leader="none" w:pos="101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spacing w:after="0" w:line="14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u w:val="single" w:color="auto"/>
          <w:color w:val="auto"/>
        </w:rPr>
        <w:t>Section 2.03.Requests for Borrowings</w:t>
      </w:r>
      <w:r>
        <w:rPr>
          <w:rFonts w:ascii="Arial" w:cs="Arial" w:eastAsia="Arial" w:hAnsi="Arial"/>
          <w:sz w:val="17"/>
          <w:szCs w:val="17"/>
          <w:color w:val="auto"/>
        </w:rPr>
        <w:t xml:space="preserve">. Each Term Loan Borrowing, each Revolving Loan Borrowing, each conversion of Term Loans or Revolving Loans from one Type to the other, and each continuation of LIBO Rate </w:t>
      </w:r>
      <w:r>
        <w:rPr>
          <w:rFonts w:ascii="Arial" w:cs="Arial" w:eastAsia="Arial" w:hAnsi="Arial"/>
          <w:sz w:val="17"/>
          <w:szCs w:val="17"/>
          <w:u w:val="single" w:color="auto"/>
          <w:color w:val="0000FF"/>
        </w:rPr>
        <w:t>Loans or Term SOFR</w:t>
      </w:r>
      <w:r>
        <w:rPr>
          <w:rFonts w:ascii="Arial" w:cs="Arial" w:eastAsia="Arial" w:hAnsi="Arial"/>
          <w:sz w:val="17"/>
          <w:szCs w:val="17"/>
          <w:color w:val="auto"/>
        </w:rPr>
        <w:t xml:space="preserve"> Loans shall be made upon irrevocable notice by the Borrower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notices in respect of Term Loan Borrowings and/or Revolving Loan Borrowing (x) to be made on the Closing Date may be conditioned on the Closing Date and (y) to be made in connection with any acquisition, investment or irrevocable repayment or redemption of Indebtedness may be conditioned on the closing of such Permitted Acquisition, permitted Investment or permitted irrevocable repayment or redemption of Indebtedness). Each such notice must be in in the form of a written Borrowing Request, appropriately completed and signed by a Responsible Officer of the Borrower or by telephone (and immediately confirmed by delivery of a written Borrowing Request, appropriately completed and signed by a Responsible Officer of the Borrower) and must be received by the Administrative Agent (by hand delivery, fax or other electronic transmission (including “.pdf” or “.tif”)) not later than (i) 11:00 a.m. </w:t>
      </w:r>
      <w:r>
        <w:rPr>
          <w:rFonts w:ascii="Arial" w:cs="Arial" w:eastAsia="Arial" w:hAnsi="Arial"/>
          <w:sz w:val="17"/>
          <w:szCs w:val="17"/>
          <w:color w:val="FF0000"/>
          <w:strike w:val="1"/>
        </w:rPr>
        <w:t>three</w:t>
      </w:r>
      <w:r>
        <w:rPr>
          <w:rFonts w:ascii="Arial" w:cs="Arial" w:eastAsia="Arial" w:hAnsi="Arial"/>
          <w:sz w:val="17"/>
          <w:szCs w:val="17"/>
          <w:u w:val="single" w:color="auto"/>
          <w:color w:val="0000FF"/>
        </w:rPr>
        <w:t>two (2)</w:t>
      </w:r>
      <w:r>
        <w:rPr>
          <w:rFonts w:ascii="Arial" w:cs="Arial" w:eastAsia="Arial" w:hAnsi="Arial"/>
          <w:sz w:val="17"/>
          <w:szCs w:val="17"/>
          <w:color w:val="auto"/>
        </w:rPr>
        <w:t xml:space="preserve"> Business Days prior to the requested day of any Borrowing, conversion to or continuation of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denominated in Dollars </w:t>
      </w:r>
      <w:r>
        <w:rPr>
          <w:rFonts w:ascii="Arial" w:cs="Arial" w:eastAsia="Arial" w:hAnsi="Arial"/>
          <w:sz w:val="17"/>
          <w:szCs w:val="17"/>
          <w:color w:val="FF0000"/>
        </w:rPr>
        <w:t>(or one Business Day in the case of any Borrowing of LIBO Rate Initial Term Loans</w:t>
      </w:r>
      <w:r>
        <w:rPr>
          <w:rFonts w:ascii="Arial" w:cs="Arial" w:eastAsia="Arial" w:hAnsi="Arial"/>
          <w:sz w:val="17"/>
          <w:szCs w:val="17"/>
          <w:color w:val="auto"/>
        </w:rPr>
        <w:t xml:space="preserve"> </w:t>
      </w:r>
      <w:r>
        <w:rPr>
          <w:rFonts w:ascii="Arial" w:cs="Arial" w:eastAsia="Arial" w:hAnsi="Arial"/>
          <w:sz w:val="17"/>
          <w:szCs w:val="17"/>
          <w:color w:val="FF0000"/>
          <w:strike w:val="1"/>
        </w:rPr>
        <w:t>in Dollars to be made on the Closing Date or two Business Days in the case of any Borrowing of LIBO Rate Revolving Loans to be made on the Closing Date)</w:t>
      </w:r>
      <w:r>
        <w:rPr>
          <w:rFonts w:ascii="Arial" w:cs="Arial" w:eastAsia="Arial" w:hAnsi="Arial"/>
          <w:sz w:val="17"/>
          <w:szCs w:val="17"/>
          <w:color w:val="000000"/>
          <w:strike w:val="1"/>
        </w:rPr>
        <w:t>, (ii) 11:00 a.m. four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(4)</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Business Days prior to the requested day of any Borrowing, conversion to or continuation of LIBO Rate Loans or RFR Loans</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denominated in a Revolving Alternative Currency and (iii) 11:00 a.m. on the requested date of any Borrowing of ABR Loans (other than Swingline Loans) (or, in each case, such later time as is reasonably acceptable to the Administrative Agent); </w:t>
      </w:r>
      <w:r>
        <w:rPr>
          <w:rFonts w:ascii="Arial" w:cs="Arial" w:eastAsia="Arial" w:hAnsi="Arial"/>
          <w:sz w:val="17"/>
          <w:szCs w:val="17"/>
          <w:u w:val="single" w:color="auto"/>
          <w:color w:val="000000"/>
          <w:strike w:val="1"/>
        </w:rPr>
        <w:t>provided</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00"/>
          <w:strike w:val="1"/>
        </w:rPr>
        <w:t>however</w:t>
      </w:r>
      <w:r>
        <w:rPr>
          <w:rFonts w:ascii="Arial" w:cs="Arial" w:eastAsia="Arial" w:hAnsi="Arial"/>
          <w:sz w:val="17"/>
          <w:szCs w:val="17"/>
          <w:color w:val="000000"/>
          <w:strike w:val="1"/>
        </w:rPr>
        <w:t xml:space="preserve">, that if the Borrower wishes to request LIBO Rate </w:t>
      </w:r>
      <w:r>
        <w:rPr>
          <w:rFonts w:ascii="Arial" w:cs="Arial" w:eastAsia="Arial" w:hAnsi="Arial"/>
          <w:sz w:val="17"/>
          <w:szCs w:val="17"/>
          <w:u w:val="single" w:color="auto"/>
          <w:color w:val="0000FF"/>
          <w:strike w:val="1"/>
        </w:rPr>
        <w:t>Loans or Term SOFR</w:t>
      </w:r>
      <w:r>
        <w:rPr>
          <w:rFonts w:ascii="Arial" w:cs="Arial" w:eastAsia="Arial" w:hAnsi="Arial"/>
          <w:sz w:val="17"/>
          <w:szCs w:val="17"/>
          <w:color w:val="000000"/>
          <w:strike w:val="1"/>
        </w:rPr>
        <w:t xml:space="preserve"> Loans having an Interest Period of other than one, three or six months in duration as provided in the definition of “Interest Period,” (A) the applicable notice from the Borrower must be received by the Administrative Agent not later than 11:00 a.m. four </w:t>
      </w:r>
      <w:r>
        <w:rPr>
          <w:rFonts w:ascii="Arial" w:cs="Arial" w:eastAsia="Arial" w:hAnsi="Arial"/>
          <w:sz w:val="17"/>
          <w:szCs w:val="17"/>
          <w:u w:val="single" w:color="auto"/>
          <w:color w:val="0000FF"/>
          <w:strike w:val="1"/>
        </w:rPr>
        <w:t>(4)</w:t>
      </w:r>
      <w:r>
        <w:rPr>
          <w:rFonts w:ascii="Arial" w:cs="Arial" w:eastAsia="Arial" w:hAnsi="Arial"/>
          <w:sz w:val="17"/>
          <w:szCs w:val="17"/>
          <w:color w:val="000000"/>
          <w:strike w:val="1"/>
        </w:rPr>
        <w:t xml:space="preserve"> Business Days prior to the requested date of the relevant Borrowing (or such later time as is reasonably acceptable to the Administrative Agent), conversion or continuation, whereupon the Administrative Agent shall give prompt notice to the appropriate Lenders of such request and determine whether the requested Interest Period is available to them and (B) the Administrative Agent shall promptly notify the Borrower whether or not the requested Interest Period is available to the appropriate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-1453515</wp:posOffset>
            </wp:positionV>
            <wp:extent cx="39579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957955" cy="8255"/>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no election as to the Type of Borrowing is specified, then the requested Borrowing shall be (x) with respect to a Loan in Dollars, an ABR Loan,</w:t>
      </w:r>
    </w:p>
    <w:p>
      <w:pPr>
        <w:spacing w:after="0" w:line="46" w:lineRule="exact"/>
        <w:rPr>
          <w:sz w:val="20"/>
          <w:szCs w:val="20"/>
          <w:color w:val="auto"/>
        </w:rPr>
      </w:pPr>
    </w:p>
    <w:p>
      <w:pPr>
        <w:jc w:val="both"/>
        <w:ind w:firstLine="7"/>
        <w:spacing w:after="0" w:line="267" w:lineRule="auto"/>
        <w:tabs>
          <w:tab w:leader="none" w:pos="27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with respect to a Loan </w:t>
      </w:r>
      <w:r>
        <w:rPr>
          <w:rFonts w:ascii="Arial" w:cs="Arial" w:eastAsia="Arial" w:hAnsi="Arial"/>
          <w:sz w:val="17"/>
          <w:szCs w:val="17"/>
          <w:u w:val="single" w:color="auto"/>
          <w:color w:val="0000FF"/>
        </w:rPr>
        <w:t>in</w:t>
      </w:r>
      <w:r>
        <w:rPr>
          <w:rFonts w:ascii="Arial" w:cs="Arial" w:eastAsia="Arial" w:hAnsi="Arial"/>
          <w:sz w:val="17"/>
          <w:szCs w:val="17"/>
          <w:color w:val="auto"/>
        </w:rPr>
        <w:t xml:space="preserve"> any </w:t>
      </w:r>
      <w:r>
        <w:rPr>
          <w:rFonts w:ascii="Arial" w:cs="Arial" w:eastAsia="Arial" w:hAnsi="Arial"/>
          <w:sz w:val="17"/>
          <w:szCs w:val="17"/>
          <w:color w:val="FF0000"/>
          <w:strike w:val="1"/>
        </w:rPr>
        <w:t>Revolver</w:t>
      </w:r>
      <w:r>
        <w:rPr>
          <w:rFonts w:ascii="Arial" w:cs="Arial" w:eastAsia="Arial" w:hAnsi="Arial"/>
          <w:sz w:val="17"/>
          <w:szCs w:val="17"/>
          <w:u w:val="single" w:color="auto"/>
          <w:color w:val="0000FF"/>
        </w:rPr>
        <w:t>Revolving</w:t>
      </w:r>
      <w:r>
        <w:rPr>
          <w:rFonts w:ascii="Arial" w:cs="Arial" w:eastAsia="Arial" w:hAnsi="Arial"/>
          <w:sz w:val="17"/>
          <w:szCs w:val="17"/>
          <w:color w:val="auto"/>
        </w:rPr>
        <w:t xml:space="preserve"> Alternative Currency other than British Pounds Sterling, a </w:t>
      </w:r>
      <w:r>
        <w:rPr>
          <w:rFonts w:ascii="Arial" w:cs="Arial" w:eastAsia="Arial" w:hAnsi="Arial"/>
          <w:sz w:val="17"/>
          <w:szCs w:val="17"/>
          <w:color w:val="FF0000"/>
          <w:strike w:val="1"/>
        </w:rPr>
        <w:t>LIBO</w:t>
      </w:r>
      <w:r>
        <w:rPr>
          <w:rFonts w:ascii="Arial" w:cs="Arial" w:eastAsia="Arial" w:hAnsi="Arial"/>
          <w:sz w:val="17"/>
          <w:szCs w:val="17"/>
          <w:u w:val="single" w:color="auto"/>
          <w:color w:val="0000FF"/>
        </w:rPr>
        <w:t>Relevant</w:t>
      </w:r>
      <w:r>
        <w:rPr>
          <w:rFonts w:ascii="Arial" w:cs="Arial" w:eastAsia="Arial" w:hAnsi="Arial"/>
          <w:sz w:val="17"/>
          <w:szCs w:val="17"/>
          <w:color w:val="auto"/>
        </w:rPr>
        <w:t xml:space="preserve"> Rate Loan Borrowing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LIBO Rate Borrowing, as applicable,</w:t>
      </w:r>
      <w:r>
        <w:rPr>
          <w:rFonts w:ascii="Arial" w:cs="Arial" w:eastAsia="Arial" w:hAnsi="Arial"/>
          <w:sz w:val="17"/>
          <w:szCs w:val="17"/>
          <w:color w:val="0000FF"/>
        </w:rPr>
        <w:t xml:space="preserve"> </w:t>
      </w:r>
      <w:r>
        <w:rPr>
          <w:rFonts w:ascii="Arial" w:cs="Arial" w:eastAsia="Arial" w:hAnsi="Arial"/>
          <w:sz w:val="17"/>
          <w:szCs w:val="17"/>
          <w:color w:val="000000"/>
        </w:rPr>
        <w:t>with a one month Interest Period and (z) with respect to a Loan in British Pounds Sterling,</w:t>
      </w:r>
      <w:r>
        <w:rPr>
          <w:rFonts w:ascii="Arial" w:cs="Arial" w:eastAsia="Arial" w:hAnsi="Arial"/>
          <w:sz w:val="17"/>
          <w:szCs w:val="17"/>
          <w:color w:val="0000FF"/>
        </w:rPr>
        <w:t xml:space="preserve"> </w:t>
      </w:r>
      <w:r>
        <w:rPr>
          <w:rFonts w:ascii="Arial" w:cs="Arial" w:eastAsia="Arial" w:hAnsi="Arial"/>
          <w:sz w:val="17"/>
          <w:szCs w:val="17"/>
          <w:color w:val="FF0000"/>
          <w:strike w:val="1"/>
        </w:rPr>
        <w:t>a</w:t>
      </w:r>
      <w:r>
        <w:rPr>
          <w:rFonts w:ascii="Arial" w:cs="Arial" w:eastAsia="Arial" w:hAnsi="Arial"/>
          <w:sz w:val="17"/>
          <w:szCs w:val="17"/>
          <w:u w:val="single" w:color="auto"/>
          <w:color w:val="0000FF"/>
        </w:rPr>
        <w:t>an</w:t>
      </w:r>
      <w:r>
        <w:rPr>
          <w:rFonts w:ascii="Arial" w:cs="Arial" w:eastAsia="Arial" w:hAnsi="Arial"/>
          <w:sz w:val="17"/>
          <w:szCs w:val="17"/>
          <w:color w:val="0000FF"/>
        </w:rPr>
        <w:t xml:space="preserve"> </w:t>
      </w:r>
      <w:r>
        <w:rPr>
          <w:rFonts w:ascii="Arial" w:cs="Arial" w:eastAsia="Arial" w:hAnsi="Arial"/>
          <w:sz w:val="17"/>
          <w:szCs w:val="17"/>
          <w:color w:val="000000"/>
        </w:rPr>
        <w:t>RFR Borrowing. If no</w:t>
      </w:r>
      <w:r>
        <w:rPr>
          <w:rFonts w:ascii="Arial" w:cs="Arial" w:eastAsia="Arial" w:hAnsi="Arial"/>
          <w:sz w:val="17"/>
          <w:szCs w:val="17"/>
          <w:color w:val="0000FF"/>
        </w:rPr>
        <w:t xml:space="preserve"> </w:t>
      </w:r>
      <w:r>
        <w:rPr>
          <w:rFonts w:ascii="Arial" w:cs="Arial" w:eastAsia="Arial" w:hAnsi="Arial"/>
          <w:sz w:val="17"/>
          <w:szCs w:val="17"/>
          <w:color w:val="000000"/>
        </w:rPr>
        <w:t xml:space="preserve">Interest Period is specified with respect to any requested LIBO Rate </w:t>
      </w:r>
      <w:r>
        <w:rPr>
          <w:rFonts w:ascii="Arial" w:cs="Arial" w:eastAsia="Arial" w:hAnsi="Arial"/>
          <w:sz w:val="17"/>
          <w:szCs w:val="17"/>
          <w:u w:val="single" w:color="auto"/>
          <w:color w:val="0000FF"/>
        </w:rPr>
        <w:t>Borrowing or Relevant Rate</w:t>
      </w:r>
      <w:r>
        <w:rPr>
          <w:rFonts w:ascii="Arial" w:cs="Arial" w:eastAsia="Arial" w:hAnsi="Arial"/>
          <w:sz w:val="17"/>
          <w:szCs w:val="17"/>
          <w:color w:val="000000"/>
        </w:rPr>
        <w:t xml:space="preserve"> Borrowing, then the Borrower shall be deemed to have selected an Interest Period of one month’s duration. If no election as to the currency of the requested Borrowing is specified, then the Borrower shall be deemed to have selected a Borrowing in Dollars. The Administrative Agent shall advise each Lender of the details and amount of any Loan to be made as part of the relevant requested Borrowing (x) in the case of any ABR Borrowing, on the same Business Day of receipt of a Borrowing Request in accordance with this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or (y) in the case of any LIBO Rate </w:t>
      </w:r>
      <w:r>
        <w:rPr>
          <w:rFonts w:ascii="Arial" w:cs="Arial" w:eastAsia="Arial" w:hAnsi="Arial"/>
          <w:sz w:val="17"/>
          <w:szCs w:val="17"/>
          <w:u w:val="single" w:color="auto"/>
          <w:color w:val="0000FF"/>
        </w:rPr>
        <w:t>Borrowing, Term SOFR</w:t>
      </w:r>
      <w:r>
        <w:rPr>
          <w:rFonts w:ascii="Arial" w:cs="Arial" w:eastAsia="Arial" w:hAnsi="Arial"/>
          <w:sz w:val="17"/>
          <w:szCs w:val="17"/>
          <w:color w:val="000000"/>
        </w:rPr>
        <w:t xml:space="preserve"> Borrowing or RFR Loan, no later than one Business Day following receipt of a Borrowing Request in accordance with this </w:t>
      </w:r>
      <w:r>
        <w:rPr>
          <w:rFonts w:ascii="Arial" w:cs="Arial" w:eastAsia="Arial" w:hAnsi="Arial"/>
          <w:sz w:val="17"/>
          <w:szCs w:val="17"/>
          <w:u w:val="single" w:color="auto"/>
          <w:color w:val="000000"/>
        </w:rPr>
        <w:t>Section 2.03</w:t>
      </w:r>
      <w:r>
        <w:rPr>
          <w:rFonts w:ascii="Arial" w:cs="Arial" w:eastAsia="Arial" w:hAnsi="Arial"/>
          <w:sz w:val="17"/>
          <w:szCs w:val="17"/>
          <w:color w:val="000000"/>
        </w:rPr>
        <w: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2.04.Swingline Loans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74" w:lineRule="auto"/>
        <w:tabs>
          <w:tab w:leader="none" w:pos="101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the Swingline Lender agrees to make Swingline Loans in Dollars to the Borrower from time to time on and after the Closing Date and until the Latest Revolving Credit Maturity Date, in an aggregate principal amount at any time outstanding not to exceed $50,000,000;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Swingline Lender shall not be required to make any Swingline Loan to refinance any outstanding Swingline Loan and (ii) after giving effect to any Swingline Loan, the aggregate Outstanding Amount of all Revolving Loans, Swingline Loans and LC Exposure shall not exceed the Total Revolving Credit Commitment. Each Swingline Loan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5" w:name="page126"/>
    <w:bookmarkEnd w:id="125"/>
    <w:p>
      <w:pPr>
        <w:jc w:val="both"/>
        <w:spacing w:after="0" w:line="287" w:lineRule="auto"/>
        <w:rPr>
          <w:sz w:val="20"/>
          <w:szCs w:val="20"/>
          <w:color w:val="auto"/>
        </w:rPr>
      </w:pPr>
      <w:r>
        <w:rPr>
          <w:rFonts w:ascii="Arial" w:cs="Arial" w:eastAsia="Arial" w:hAnsi="Arial"/>
          <w:sz w:val="16"/>
          <w:szCs w:val="16"/>
          <w:color w:val="auto"/>
        </w:rPr>
        <w:t xml:space="preserve">shall be in a minimum principal amount of not less than $100,000 or such lesser amount as may be agreed by the Swingline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any Swingline Loan may be in an aggregate amount that is (x) equal to the entire unused balance of the aggregate unused Revolving Credit Commitments or (y) required to finance the reimbursement of an LC Disbursement as contemplated by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Arial" w:cs="Arial" w:eastAsia="Arial" w:hAnsi="Arial"/>
          <w:sz w:val="16"/>
          <w:szCs w:val="16"/>
          <w:u w:val="single" w:color="auto"/>
          <w:color w:val="auto"/>
        </w:rPr>
        <w:t>Section 2.05(e)</w:t>
      </w:r>
      <w:r>
        <w:rPr>
          <w:rFonts w:ascii="Arial" w:cs="Arial" w:eastAsia="Arial" w:hAnsi="Arial"/>
          <w:sz w:val="16"/>
          <w:szCs w:val="16"/>
          <w:color w:val="auto"/>
        </w:rPr>
        <w:t>, by remittance to the applicable Issuing Bank).</w:t>
      </w:r>
    </w:p>
    <w:p>
      <w:pPr>
        <w:spacing w:after="0" w:line="170" w:lineRule="exact"/>
        <w:rPr>
          <w:sz w:val="20"/>
          <w:szCs w:val="20"/>
          <w:color w:val="auto"/>
        </w:rPr>
      </w:pPr>
    </w:p>
    <w:p>
      <w:pPr>
        <w:jc w:val="both"/>
        <w:ind w:firstLine="756"/>
        <w:spacing w:after="0" w:line="283" w:lineRule="auto"/>
        <w:tabs>
          <w:tab w:leader="none" w:pos="10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not later than 12:00 noon on any Business Day require the Revolving Lenders to purchase participations on the second Business Day following receipt of such notice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effecting a wire transfer of immediately available funds, in the same manner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Revolving Loans made by such Revolving Lender (and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2.04(b)</w:t>
      </w:r>
      <w:r>
        <w:rPr>
          <w:rFonts w:ascii="Arial" w:cs="Arial" w:eastAsia="Arial" w:hAnsi="Arial"/>
          <w:sz w:val="16"/>
          <w:szCs w:val="16"/>
          <w:color w:val="auto"/>
        </w:rPr>
        <w:t>), and the Administrative Agent shall promptly remit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Swingline Lender the amounts so received by it from the Revolving Lenders. The Administrative Agent shall notify the Borrower of any participation in any Swingline Loan acquired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and thereafter payments in respect of such Swingline Loan shall be made to the Administrative Agent and not to the Swingline Lender. Any amounts received by the Swingline Lender from the Borrower in respect of any Swingline Loan after receipt by the Swingline Lender of the proceeds of any sale of participations therein shall be promptly remitted by the Swingline Lender to the Administrative Agent, and any such amounts received by the Administrative Agent shall be promptly remitted by the Administrative Agent to the Revolving Lenders that have made their payments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and to the Swingline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2.04(b)</w:t>
      </w:r>
      <w:r>
        <w:rPr>
          <w:rFonts w:ascii="Arial" w:cs="Arial" w:eastAsia="Arial" w:hAnsi="Arial"/>
          <w:sz w:val="16"/>
          <w:szCs w:val="16"/>
          <w:color w:val="auto"/>
        </w:rPr>
        <w:t xml:space="preserve"> shall not relieve the Borrower of any default in the payment thereof.</w:t>
      </w:r>
    </w:p>
    <w:p>
      <w:pPr>
        <w:spacing w:after="0" w:line="390" w:lineRule="exact"/>
        <w:rPr>
          <w:rFonts w:ascii="Arial" w:cs="Arial" w:eastAsia="Arial" w:hAnsi="Arial"/>
          <w:sz w:val="16"/>
          <w:szCs w:val="16"/>
          <w:color w:val="auto"/>
        </w:rPr>
      </w:pPr>
    </w:p>
    <w:p>
      <w:pPr>
        <w:jc w:val="both"/>
        <w:ind w:firstLine="756"/>
        <w:spacing w:after="0" w:line="270" w:lineRule="auto"/>
        <w:tabs>
          <w:tab w:leader="none" w:pos="10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amounts owing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shall be conclusive absent manifest error.</w:t>
      </w:r>
    </w:p>
    <w:p>
      <w:pPr>
        <w:spacing w:after="0" w:line="180" w:lineRule="exact"/>
        <w:rPr>
          <w:rFonts w:ascii="Arial" w:cs="Arial" w:eastAsia="Arial" w:hAnsi="Arial"/>
          <w:sz w:val="17"/>
          <w:szCs w:val="17"/>
          <w:color w:val="auto"/>
        </w:rPr>
      </w:pPr>
    </w:p>
    <w:p>
      <w:pPr>
        <w:jc w:val="both"/>
        <w:ind w:firstLine="756"/>
        <w:spacing w:after="0" w:line="310" w:lineRule="auto"/>
        <w:tabs>
          <w:tab w:leader="none" w:pos="10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BofA may, upon ten days’ prior written notice to the Borrower and the Lenders, resign as Swingline Lender, which resignation shall be effective as of the date referenced in such notice (but in no event less than ten days after the delivery of such written notice). In the event of any such resignation, the Borrower shall be entitled to appoint any Revolving Lender that is willing to accept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6" w:name="page127"/>
    <w:bookmarkEnd w:id="126"/>
    <w:p>
      <w:pPr>
        <w:jc w:val="both"/>
        <w:spacing w:after="0" w:line="255" w:lineRule="auto"/>
        <w:rPr>
          <w:sz w:val="20"/>
          <w:szCs w:val="20"/>
          <w:color w:val="auto"/>
        </w:rPr>
      </w:pPr>
      <w:r>
        <w:rPr>
          <w:rFonts w:ascii="Arial" w:cs="Arial" w:eastAsia="Arial" w:hAnsi="Arial"/>
          <w:sz w:val="18"/>
          <w:szCs w:val="18"/>
          <w:color w:val="auto"/>
        </w:rPr>
        <w:t>appointment as successor Swingline Lender hereunder. Upon the acceptance of any such appointment, the successor Swingline Lender shall thereupon succeed to and become vested with all the rights, powers, privileges and duties of the retiring Swingline Lender, and the retiring Swingline Lender, as applicable, shall be discharged from its duties and obligations in such capacity hereunder. In the event that the successor Swingline Lender resigns, the Borrower shall promptly repay all outstanding Swingline Loans on the effective date of such resignation (which repayment may be effectuated with the proceeds of a Borrowing).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2.05.Letters of Credit</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(a) General</w:t>
      </w:r>
      <w:r>
        <w:rPr>
          <w:rFonts w:ascii="Arial" w:cs="Arial" w:eastAsia="Arial" w:hAnsi="Arial"/>
          <w:sz w:val="18"/>
          <w:szCs w:val="18"/>
          <w:color w:val="auto"/>
        </w:rPr>
        <w:t>.</w:t>
      </w:r>
    </w:p>
    <w:p>
      <w:pPr>
        <w:spacing w:after="0" w:line="223" w:lineRule="exact"/>
        <w:rPr>
          <w:sz w:val="20"/>
          <w:szCs w:val="20"/>
          <w:color w:val="auto"/>
        </w:rPr>
      </w:pPr>
    </w:p>
    <w:p>
      <w:pPr>
        <w:jc w:val="both"/>
        <w:ind w:left="760" w:firstLine="1045"/>
        <w:spacing w:after="0" w:line="287" w:lineRule="auto"/>
        <w:tabs>
          <w:tab w:leader="none" w:pos="204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(i) each Issuing Bank agrees, in each case in reliance upon the agreements of the other Revolving Lenders set forth in this </w:t>
      </w:r>
      <w:r>
        <w:rPr>
          <w:rFonts w:ascii="Arial" w:cs="Arial" w:eastAsia="Arial" w:hAnsi="Arial"/>
          <w:sz w:val="16"/>
          <w:szCs w:val="16"/>
          <w:u w:val="single" w:color="auto"/>
          <w:color w:val="auto"/>
        </w:rPr>
        <w:t>Section 2.05</w:t>
      </w:r>
      <w:r>
        <w:rPr>
          <w:rFonts w:ascii="Arial" w:cs="Arial" w:eastAsia="Arial" w:hAnsi="Arial"/>
          <w:sz w:val="16"/>
          <w:szCs w:val="16"/>
          <w:color w:val="auto"/>
        </w:rPr>
        <w:t>, (A) from time to time on any Business Day during the period from the Closing Date to the fifth Business Day prior to the Latest Revolving Credit Maturity Date, upon the request of the Borrower, to issue Letters of Credit in Dollars or (in the case of the Issuing Bank set forth in clause (a) of the definition thereof) in any Revolving Alternative Currency issued on sight basis only for the account of the Borrower and/or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a co-applicant, and be jointly and severally liable, with respect to each Letter of Credit issued for the account of a Subsidiary thereof) and to amend or renew Letters of Credit previously issued by it, in accordance with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and (B) to honor drafts of the Letters of Credit, and (ii) the Revolving Lenders severally agree to participate in the Letters of Credit issued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It is hereby acknowledged and agreed that notwithstanding anything in this Agreement to the contrary, each Existing Letters of Credit shall constitute a “Letter of Credit” for all purposes of this Agreement and shall be deemed “issued” hereunder on the Closing Date without any further notice or action.</w:t>
      </w:r>
    </w:p>
    <w:p>
      <w:pPr>
        <w:spacing w:after="0" w:line="165" w:lineRule="exact"/>
        <w:rPr>
          <w:sz w:val="20"/>
          <w:szCs w:val="20"/>
          <w:color w:val="auto"/>
        </w:rPr>
      </w:pPr>
    </w:p>
    <w:p>
      <w:pPr>
        <w:jc w:val="both"/>
        <w:ind w:left="760" w:firstLine="1048"/>
        <w:spacing w:after="0" w:line="283" w:lineRule="auto"/>
        <w:rPr>
          <w:sz w:val="20"/>
          <w:szCs w:val="20"/>
          <w:color w:val="auto"/>
        </w:rPr>
      </w:pPr>
      <w:r>
        <w:rPr>
          <w:rFonts w:ascii="Arial" w:cs="Arial" w:eastAsia="Arial" w:hAnsi="Arial"/>
          <w:sz w:val="16"/>
          <w:szCs w:val="16"/>
          <w:color w:val="auto"/>
        </w:rPr>
        <w:t xml:space="preserve">(ii)To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request to issue a Letter of Credit, which shall specify that it is being issued under this Agreement, in the form of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attached hereto. To the extent required by the applicable Issuing Bank in the case of the issuance of any Letter of Credit expressly for the benefit of any Subsidiary other than a Loan Party, the issuance of such Letter of Credit shall be contingent upon the Administrative Agent’s receipt of any documentation and other information required by regulatory authorities under applicable “know your customer” and anti-money laundering rules and regulations, including the USA PATRIOT Act. To the extent required by the applicable Issuing Bank in connection the issuance of any Letter of Credit, the Borrower will complete any application procedures and documents reasonably requested by such Issuing Bank with respect to the beneficiary of such Letter of Credit. To request an amendment, extension or renewal of an outstanding Letter of Credit (other than any automatic extension of a Letter of Credit permitted under </w:t>
      </w:r>
      <w:r>
        <w:rPr>
          <w:rFonts w:ascii="Arial" w:cs="Arial" w:eastAsia="Arial" w:hAnsi="Arial"/>
          <w:sz w:val="16"/>
          <w:szCs w:val="16"/>
          <w:u w:val="single" w:color="auto"/>
          <w:color w:val="auto"/>
        </w:rPr>
        <w:t>Section 2.05(c)</w:t>
      </w:r>
      <w:r>
        <w:rPr>
          <w:rFonts w:ascii="Arial" w:cs="Arial" w:eastAsia="Arial" w:hAnsi="Arial"/>
          <w:sz w:val="16"/>
          <w:szCs w:val="16"/>
          <w:color w:val="auto"/>
        </w:rPr>
        <w:t>), the Borrower shall submit such a request to the applicable Issuing Bank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representations or warranties, covenants or events of default not set forth in this Agreement (and to the extent inconsistent herewith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inconsistent herewith, shall be deemed to automatically incorporate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7" w:name="page128"/>
    <w:bookmarkEnd w:id="127"/>
    <w:p>
      <w:pPr>
        <w:jc w:val="both"/>
        <w:ind w:left="760"/>
        <w:spacing w:after="0" w:line="287" w:lineRule="auto"/>
        <w:rPr>
          <w:sz w:val="20"/>
          <w:szCs w:val="20"/>
          <w:color w:val="auto"/>
        </w:rPr>
      </w:pPr>
      <w:r>
        <w:rPr>
          <w:rFonts w:ascii="Arial" w:cs="Arial" w:eastAsia="Arial" w:hAnsi="Arial"/>
          <w:sz w:val="16"/>
          <w:szCs w:val="16"/>
          <w:color w:val="auto"/>
        </w:rPr>
        <w:t>applicable standards, qualifications, thresholds and exceptions set forth herein without action by any Person). No Letter of Credit may be issued, amended, extended or renewed unless (and on the issuance, amendment, extension or renewal of each Letter of Credit the Borrower shall be deemed to represent and warrant that), after giving effect to such issuance, amendment, extension, or renewal (i) the LC Exposure does not exceed the Letter of Credit Sublimit, (ii)(A) the aggregate amount of the Initial Revolving Credit Exposure does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extending beyond the Maturity Date applicable to the Revolving Credit Commitments of any Class, the aggregate amount of the LC Exposure attributable to Letters of Credit expiring after such Maturity Date does not exceed the aggregate amount of the Revolving Credit Commitments then in effect that are scheduled to remain in effect after such Maturity Date.</w:t>
      </w:r>
    </w:p>
    <w:p>
      <w:pPr>
        <w:spacing w:after="0" w:line="17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(iii)An Issuing Bank shall be under no obligation to issue any Letter of Credit if:</w:t>
      </w:r>
    </w:p>
    <w:p>
      <w:pPr>
        <w:spacing w:after="0" w:line="223" w:lineRule="exact"/>
        <w:rPr>
          <w:sz w:val="20"/>
          <w:szCs w:val="20"/>
          <w:color w:val="auto"/>
        </w:rPr>
      </w:pPr>
    </w:p>
    <w:p>
      <w:pPr>
        <w:jc w:val="both"/>
        <w:ind w:left="1500" w:firstLine="754"/>
        <w:spacing w:after="0" w:line="290" w:lineRule="auto"/>
        <w:tabs>
          <w:tab w:leader="none" w:pos="2548" w:val="left"/>
        </w:tabs>
        <w:numPr>
          <w:ilvl w:val="2"/>
          <w:numId w:val="115"/>
        </w:numPr>
        <w:rPr>
          <w:rFonts w:ascii="Arial" w:cs="Arial" w:eastAsia="Arial" w:hAnsi="Arial"/>
          <w:sz w:val="16"/>
          <w:szCs w:val="16"/>
          <w:color w:val="auto"/>
        </w:rPr>
      </w:pPr>
      <w:r>
        <w:rPr>
          <w:rFonts w:ascii="Arial" w:cs="Arial" w:eastAsia="Arial" w:hAnsi="Arial"/>
          <w:sz w:val="16"/>
          <w:szCs w:val="16"/>
          <w:color w:val="auto"/>
        </w:rPr>
        <w:t>any order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deems material to it;</w:t>
      </w:r>
    </w:p>
    <w:p>
      <w:pPr>
        <w:spacing w:after="0" w:line="163" w:lineRule="exact"/>
        <w:rPr>
          <w:rFonts w:ascii="Arial" w:cs="Arial" w:eastAsia="Arial" w:hAnsi="Arial"/>
          <w:sz w:val="16"/>
          <w:szCs w:val="16"/>
          <w:color w:val="auto"/>
        </w:rPr>
      </w:pPr>
    </w:p>
    <w:p>
      <w:pPr>
        <w:ind w:left="2560" w:hanging="306"/>
        <w:spacing w:after="0"/>
        <w:tabs>
          <w:tab w:leader="none" w:pos="25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laws binding upon such Issuing Bank;</w:t>
      </w:r>
    </w:p>
    <w:p>
      <w:pPr>
        <w:spacing w:after="0" w:line="222" w:lineRule="exact"/>
        <w:rPr>
          <w:rFonts w:ascii="Arial" w:cs="Arial" w:eastAsia="Arial" w:hAnsi="Arial"/>
          <w:sz w:val="18"/>
          <w:szCs w:val="18"/>
          <w:color w:val="auto"/>
        </w:rPr>
      </w:pPr>
    </w:p>
    <w:p>
      <w:pPr>
        <w:ind w:left="1500" w:firstLine="754"/>
        <w:spacing w:after="0" w:line="275" w:lineRule="auto"/>
        <w:tabs>
          <w:tab w:leader="none" w:pos="2548"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if after giving effect thereto, the aggregate undrawn amount of all outstanding Letters of Credit issued by such Issuing Bank at such time would exceed such Issuing Bank’s LC Commitment; or</w:t>
      </w:r>
    </w:p>
    <w:p>
      <w:pPr>
        <w:spacing w:after="0" w:line="170" w:lineRule="exact"/>
        <w:rPr>
          <w:rFonts w:ascii="Arial" w:cs="Arial" w:eastAsia="Arial" w:hAnsi="Arial"/>
          <w:sz w:val="18"/>
          <w:szCs w:val="18"/>
          <w:color w:val="auto"/>
        </w:rPr>
      </w:pPr>
    </w:p>
    <w:p>
      <w:pPr>
        <w:ind w:left="1500" w:firstLine="754"/>
        <w:spacing w:after="0" w:line="275" w:lineRule="auto"/>
        <w:tabs>
          <w:tab w:leader="none" w:pos="2548"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in the case of Barclays Bank PLC, Citibank, N.A., Jefferies Finance LLC, Morgan Stanley Senior Funding, Inc. and Goldman Sachs Bank USA, if such Letter of Credit is a Commercial Letter of Credit or trade Letter of Credit.</w:t>
      </w:r>
    </w:p>
    <w:p>
      <w:pPr>
        <w:spacing w:after="0" w:line="170" w:lineRule="exact"/>
        <w:rPr>
          <w:rFonts w:ascii="Arial" w:cs="Arial" w:eastAsia="Arial" w:hAnsi="Arial"/>
          <w:sz w:val="18"/>
          <w:szCs w:val="18"/>
          <w:color w:val="auto"/>
        </w:rPr>
      </w:pPr>
    </w:p>
    <w:p>
      <w:pPr>
        <w:ind w:left="1020" w:hanging="264"/>
        <w:spacing w:after="0"/>
        <w:tabs>
          <w:tab w:leader="none" w:pos="1020" w:val="left"/>
        </w:tabs>
        <w:numPr>
          <w:ilvl w:val="0"/>
          <w:numId w:val="1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firstLine="1505"/>
        <w:spacing w:after="0" w:line="254" w:lineRule="auto"/>
        <w:tabs>
          <w:tab w:leader="none" w:pos="179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No Standby Letter of Credit shall expire later than the earlier of (A) the date that is one year after the date of the issuance of such Standby Letter of Credit and (B) the date that is five Business Days prior to the Latest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Standby Letter of Credit may provide for the automatic extension thereof for any number of additional periods of up to one year in duration (which additional periods shall not extend beyond the date referred to in the preceding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unless 100% of the then-available face amount thereof is Cash collateralized or backstopped on or before the date that such Letter of Credit is extended beyond the date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pursuant to arrangements reasonably satisfactory to the relevant Issuing Bank).</w:t>
      </w:r>
    </w:p>
    <w:p>
      <w:pPr>
        <w:spacing w:after="0" w:line="190" w:lineRule="exact"/>
        <w:rPr>
          <w:rFonts w:ascii="Arial" w:cs="Arial" w:eastAsia="Arial" w:hAnsi="Arial"/>
          <w:sz w:val="18"/>
          <w:szCs w:val="18"/>
          <w:color w:val="auto"/>
        </w:rPr>
      </w:pPr>
    </w:p>
    <w:p>
      <w:pPr>
        <w:ind w:firstLine="1505"/>
        <w:spacing w:after="0" w:line="275" w:lineRule="auto"/>
        <w:tabs>
          <w:tab w:leader="none" w:pos="180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 Commercial Letter of Credit shall expire later than the earlier to occur of (A) 180 days after the issuance thereof and (B) the date that is five Business Days prior to the Latest Revolving Credit Maturity Date.</w:t>
      </w:r>
    </w:p>
    <w:p>
      <w:pPr>
        <w:spacing w:after="0" w:line="170" w:lineRule="exact"/>
        <w:rPr>
          <w:rFonts w:ascii="Arial" w:cs="Arial" w:eastAsia="Arial" w:hAnsi="Arial"/>
          <w:sz w:val="18"/>
          <w:szCs w:val="18"/>
          <w:color w:val="auto"/>
        </w:rPr>
      </w:pPr>
    </w:p>
    <w:p>
      <w:pPr>
        <w:ind w:left="1020" w:hanging="264"/>
        <w:spacing w:after="0"/>
        <w:tabs>
          <w:tab w:leader="none" w:pos="1020" w:val="left"/>
        </w:tabs>
        <w:numPr>
          <w:ilvl w:val="0"/>
          <w:numId w:val="1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8" w:name="page129"/>
    <w:bookmarkEnd w:id="128"/>
    <w:p>
      <w:pPr>
        <w:jc w:val="both"/>
        <w:ind w:left="760" w:firstLine="1045"/>
        <w:spacing w:after="0" w:line="267" w:lineRule="auto"/>
        <w:tabs>
          <w:tab w:leader="none" w:pos="2048" w:val="left"/>
        </w:tabs>
        <w:numPr>
          <w:ilvl w:val="2"/>
          <w:numId w:val="117"/>
        </w:numPr>
        <w:rPr>
          <w:rFonts w:ascii="Arial" w:cs="Arial" w:eastAsia="Arial" w:hAnsi="Arial"/>
          <w:sz w:val="17"/>
          <w:szCs w:val="17"/>
          <w:color w:val="auto"/>
        </w:rPr>
      </w:pPr>
      <w:r>
        <w:rPr>
          <w:rFonts w:ascii="Arial" w:cs="Arial" w:eastAsia="Arial" w:hAnsi="Arial"/>
          <w:sz w:val="17"/>
          <w:szCs w:val="17"/>
          <w:color w:val="auto"/>
        </w:rPr>
        <w:t xml:space="preserve">By the issuance of any Letter of Credit (or an amendment to any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85" w:lineRule="exact"/>
        <w:rPr>
          <w:rFonts w:ascii="Arial" w:cs="Arial" w:eastAsia="Arial" w:hAnsi="Arial"/>
          <w:sz w:val="17"/>
          <w:szCs w:val="17"/>
          <w:color w:val="auto"/>
        </w:rPr>
      </w:pPr>
    </w:p>
    <w:p>
      <w:pPr>
        <w:ind w:left="1020" w:hanging="264"/>
        <w:spacing w:after="0"/>
        <w:tabs>
          <w:tab w:leader="none" w:pos="1020" w:val="left"/>
        </w:tabs>
        <w:numPr>
          <w:ilvl w:val="0"/>
          <w:numId w:val="1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firstLine="1505"/>
        <w:spacing w:after="0" w:line="284" w:lineRule="auto"/>
        <w:tabs>
          <w:tab w:leader="none" w:pos="179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If the applicable Issuing Bank makes any LC Disbursement in respect of a Letter of Credit, the Borrower shall reimburse such LC Disbursement by paying to the Administrative Agent (or, in the case of Commercial Letters of Credit, the applicable Issuing Bank) an amount equal to such LC Disbursement not later than 11:00 a.m. two Business Days (or, three Business Days, if such notice is not received prior to the time the Borrower is required to deliver a notice of borrowing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for any Revolving Loan (other than a Swingline Loan)) immediately following the date on which the Borrower receives notice of such LC Disbursement under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that such payment be financed with a Swingline Loan Borrowing in an equivalent amount and, to the extent so financed, the obligation of the Borrower to make such payment shall be discharged and replaced by the resulting Swingline Loan (subject to the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If the Borrower fails to make such payment when due, the Administrative Agent shall notify each Revolving Lender of any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Loans made by such Revolving Lender (and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171" w:lineRule="exact"/>
        <w:rPr>
          <w:rFonts w:ascii="Arial" w:cs="Arial" w:eastAsia="Arial" w:hAnsi="Arial"/>
          <w:sz w:val="16"/>
          <w:szCs w:val="16"/>
          <w:color w:val="auto"/>
        </w:rPr>
      </w:pPr>
    </w:p>
    <w:p>
      <w:pPr>
        <w:jc w:val="both"/>
        <w:ind w:firstLine="1505"/>
        <w:spacing w:after="0" w:line="290" w:lineRule="auto"/>
        <w:tabs>
          <w:tab w:leader="none" w:pos="180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amounts owing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be conclusive absent manifest error.</w:t>
      </w:r>
    </w:p>
    <w:p>
      <w:pPr>
        <w:spacing w:after="0" w:line="163" w:lineRule="exact"/>
        <w:rPr>
          <w:rFonts w:ascii="Arial" w:cs="Arial" w:eastAsia="Arial" w:hAnsi="Arial"/>
          <w:sz w:val="16"/>
          <w:szCs w:val="16"/>
          <w:color w:val="auto"/>
        </w:rPr>
      </w:pPr>
    </w:p>
    <w:p>
      <w:pPr>
        <w:jc w:val="both"/>
        <w:ind w:firstLine="756"/>
        <w:spacing w:after="0" w:line="277" w:lineRule="auto"/>
        <w:tabs>
          <w:tab w:leader="none" w:pos="1019" w:val="left"/>
        </w:tabs>
        <w:numPr>
          <w:ilvl w:val="0"/>
          <w:numId w:val="11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obligation of the Borrower to reimburse LC Disbursements as provided in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29" w:name="page130"/>
    <w:bookmarkEnd w:id="129"/>
    <w:p>
      <w:pPr>
        <w:jc w:val="both"/>
        <w:spacing w:after="0" w:line="284" w:lineRule="auto"/>
        <w:rPr>
          <w:sz w:val="20"/>
          <w:szCs w:val="20"/>
          <w:color w:val="auto"/>
        </w:rPr>
      </w:pPr>
      <w:r>
        <w:rPr>
          <w:rFonts w:ascii="Arial" w:cs="Arial" w:eastAsia="Arial" w:hAnsi="Arial"/>
          <w:sz w:val="16"/>
          <w:szCs w:val="16"/>
          <w:color w:val="auto"/>
        </w:rPr>
        <w:t xml:space="preserve">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any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1" w:lineRule="exact"/>
        <w:rPr>
          <w:sz w:val="20"/>
          <w:szCs w:val="20"/>
          <w:color w:val="auto"/>
        </w:rPr>
      </w:pPr>
    </w:p>
    <w:p>
      <w:pPr>
        <w:jc w:val="both"/>
        <w:ind w:firstLine="756"/>
        <w:spacing w:after="0" w:line="255" w:lineRule="auto"/>
        <w:tabs>
          <w:tab w:leader="none" w:pos="1019" w:val="left"/>
        </w:tabs>
        <w:numPr>
          <w:ilvl w:val="0"/>
          <w:numId w:val="1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electronic means) upon any LC Disbursement thereunder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failure to give or delay in giving such notice shall relieve the Borrower of its obligation to reimburse such Issuing Bank and the Revolving Lenders with respect to any such LC Disbursement.</w:t>
      </w:r>
    </w:p>
    <w:p>
      <w:pPr>
        <w:spacing w:after="0" w:line="190" w:lineRule="exact"/>
        <w:rPr>
          <w:rFonts w:ascii="Arial" w:cs="Arial" w:eastAsia="Arial" w:hAnsi="Arial"/>
          <w:sz w:val="18"/>
          <w:szCs w:val="18"/>
          <w:u w:val="single" w:color="auto"/>
          <w:color w:val="auto"/>
        </w:rPr>
      </w:pPr>
    </w:p>
    <w:p>
      <w:pPr>
        <w:jc w:val="both"/>
        <w:ind w:firstLine="756"/>
        <w:spacing w:after="0" w:line="268" w:lineRule="auto"/>
        <w:tabs>
          <w:tab w:leader="none" w:pos="1019" w:val="left"/>
        </w:tabs>
        <w:numPr>
          <w:ilvl w:val="0"/>
          <w:numId w:val="11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makes any LC Disbursement,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Initial Revolving Loans that are ABR Loans or, if such LC Disbursement is not denominated in Dollars, at a rate per annum then applicable to Initial Revolving Loans denominated in such currency (or, to the extent of the participation in such LC Disbursement by any Revolving Lender of another Class, the rate per annum then applicable to the Revolving Loans of such other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Section, then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to reimburse such Issuing Bank shall be for the account of such Revolving Lender to the extent of such payment and shall be payable on the date on which the Borrower is required to reimburse the applicable LC Disbursement in full (and, thereafter, on demand).</w:t>
      </w:r>
    </w:p>
    <w:p>
      <w:pPr>
        <w:spacing w:after="0" w:line="178" w:lineRule="exact"/>
        <w:rPr>
          <w:rFonts w:ascii="Arial" w:cs="Arial" w:eastAsia="Arial" w:hAnsi="Arial"/>
          <w:sz w:val="17"/>
          <w:szCs w:val="17"/>
          <w:u w:val="single" w:color="auto"/>
          <w:color w:val="auto"/>
        </w:rPr>
      </w:pPr>
    </w:p>
    <w:p>
      <w:pPr>
        <w:ind w:left="1020" w:hanging="264"/>
        <w:spacing w:after="0"/>
        <w:tabs>
          <w:tab w:leader="none" w:pos="1020" w:val="left"/>
        </w:tabs>
        <w:numPr>
          <w:ilvl w:val="0"/>
          <w:numId w:val="1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Replacement or Resignation of an Issuing Bank or Designation of New Issuing Banks</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firstLine="1505"/>
        <w:spacing w:after="0" w:line="269" w:lineRule="auto"/>
        <w:tabs>
          <w:tab w:leader="none" w:pos="1802"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Any Issuing Bank may be replaced with the consent of the Administrative Agent (not to be unreasonably withheld or delayed) at any time by written agreement among the Borrower, the Administrative Agent and the successor Issuing Bank. The Administrative Agent shall notify the Revolving Lenders of any such replacement of an Issuing Bank. At the time any such replacement becomes effective, the Borrower shall pay all unpaid fees accrued for the account of the replaced Issuing Bank pursuant to </w:t>
      </w:r>
      <w:r>
        <w:rPr>
          <w:rFonts w:ascii="Arial" w:cs="Arial" w:eastAsia="Arial" w:hAnsi="Arial"/>
          <w:sz w:val="17"/>
          <w:szCs w:val="17"/>
          <w:u w:val="single" w:color="auto"/>
          <w:color w:val="auto"/>
        </w:rPr>
        <w:t>Section 2.12(b)(ii)</w:t>
      </w:r>
      <w:r>
        <w:rPr>
          <w:rFonts w:ascii="Arial" w:cs="Arial" w:eastAsia="Arial" w:hAnsi="Arial"/>
          <w:sz w:val="17"/>
          <w:szCs w:val="17"/>
          <w:color w:val="auto"/>
        </w:rPr>
        <w:t>. From and after the effective date of any such replacement, (a) the successor Issuing Bank shall have all the rights and obligations of the replaced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18"/>
          <w:szCs w:val="18"/>
          <w:color w:val="auto"/>
        </w:rPr>
        <w:t xml:space="preserve">obligations of an Issuing Bank under this Agreement with respect to Letters of Credit issued by it prior to such replacement, but shall not be required to issue additional Letters of Credit. The Borrower may, at any time and from time to time with the consent of the Administrative Agent (which consent shall not be unreasonably withheld or delayed) and the relevant Revolving Lender, designate one or more additional Revolving Lenders in writing to act as an issuing bank under the terms of this Agreement. Any Revolving Lender designated as an issuing bank pursuant to this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who agrees in writing to such designation shall be deemed to be an “Issuing Bank” (in addition to being a Revolving Lender) in respect of Letters of Credit issued or to be issued by such Revolving Lender, and, with respect to such Letters of Credit, such term shall thereafter apply to the other Issuing Banks and such Revolving Lender.</w:t>
      </w:r>
    </w:p>
    <w:p>
      <w:pPr>
        <w:spacing w:after="0" w:line="193" w:lineRule="exact"/>
        <w:rPr>
          <w:sz w:val="20"/>
          <w:szCs w:val="20"/>
          <w:color w:val="auto"/>
        </w:rPr>
      </w:pPr>
    </w:p>
    <w:p>
      <w:pPr>
        <w:jc w:val="both"/>
        <w:ind w:firstLine="1505"/>
        <w:spacing w:after="0" w:line="253" w:lineRule="auto"/>
        <w:tabs>
          <w:tab w:leader="none" w:pos="181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each Issuing Bank may, upon ten days’ prior written notice to the Borrower, each other Issuing Bank and the Lenders, resign as an Issuing Bank, which resignation shall be effective as of the date referenced in such notice (but in no event less than ten days after the delivery of such written notice); it being understood that in the event of any such resignation, any Letter of Credit then outstanding shall remain outstanding (irrespective of whether any amounts have been drawn at such time). In the event of any such resignation as an Issuing Bank, the Borrower shall be entitled to appoint any Revolving Lender that accepts such appointment in writing as successor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spacing w:after="0" w:line="189" w:lineRule="exact"/>
        <w:rPr>
          <w:rFonts w:ascii="Arial" w:cs="Arial" w:eastAsia="Arial" w:hAnsi="Arial"/>
          <w:sz w:val="18"/>
          <w:szCs w:val="18"/>
          <w:color w:val="auto"/>
        </w:rPr>
      </w:pPr>
    </w:p>
    <w:p>
      <w:pPr>
        <w:ind w:left="1020" w:hanging="264"/>
        <w:spacing w:after="0"/>
        <w:tabs>
          <w:tab w:leader="none" w:pos="1020" w:val="left"/>
        </w:tabs>
        <w:numPr>
          <w:ilvl w:val="0"/>
          <w:numId w:val="1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firstLine="1505"/>
        <w:spacing w:after="0" w:line="270" w:lineRule="auto"/>
        <w:tabs>
          <w:tab w:leader="none" w:pos="18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If any Event of Default exists and the Loans have been declared due and payable in accordance with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hereof, then on the Business Day on which the Borrower receives notice from the Administrative Agent at the direction of the Required Revolving Lenders demanding the deposit of Cash collateral pursuant to this </w:t>
      </w:r>
      <w:r>
        <w:rPr>
          <w:rFonts w:ascii="Arial" w:cs="Arial" w:eastAsia="Arial" w:hAnsi="Arial"/>
          <w:sz w:val="17"/>
          <w:szCs w:val="17"/>
          <w:u w:val="single" w:color="auto"/>
          <w:color w:val="auto"/>
        </w:rPr>
        <w:t>paragraph (i)</w:t>
      </w:r>
      <w:r>
        <w:rPr>
          <w:rFonts w:ascii="Arial" w:cs="Arial" w:eastAsia="Arial" w:hAnsi="Arial"/>
          <w:sz w:val="17"/>
          <w:szCs w:val="17"/>
          <w:color w:val="auto"/>
        </w:rPr>
        <w:t>, the Borrower shall deposit, in an interest-bearing account with the Administrative Agent, in the name of the Administrative Agent and for the benefit of the Revolving Lenders (the “</w:t>
      </w:r>
      <w:r>
        <w:rPr>
          <w:rFonts w:ascii="Arial" w:cs="Arial" w:eastAsia="Arial" w:hAnsi="Arial"/>
          <w:sz w:val="17"/>
          <w:szCs w:val="17"/>
          <w:u w:val="single" w:color="auto"/>
          <w:color w:val="auto"/>
        </w:rPr>
        <w:t>LC Collateral Account</w:t>
      </w:r>
      <w:r>
        <w:rPr>
          <w:rFonts w:ascii="Arial" w:cs="Arial" w:eastAsia="Arial" w:hAnsi="Arial"/>
          <w:sz w:val="17"/>
          <w:szCs w:val="17"/>
          <w:color w:val="auto"/>
        </w:rPr>
        <w:t>”), an amount in Cash equal to 100% of the LC Exposure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then on deposit in the LC Collateral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7"/>
          <w:szCs w:val="17"/>
          <w:u w:val="single" w:color="auto"/>
          <w:color w:val="auto"/>
        </w:rPr>
        <w:t>Sections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505"/>
        <w:spacing w:after="0" w:line="287" w:lineRule="auto"/>
        <w:tabs>
          <w:tab w:leader="none" w:pos="179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Any such deposit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be held by the Administrative Agent as collateral for the payment and performance of the Secured Obligations in accordance with the provisions of this </w:t>
      </w:r>
      <w:r>
        <w:rPr>
          <w:rFonts w:ascii="Arial" w:cs="Arial" w:eastAsia="Arial" w:hAnsi="Arial"/>
          <w:sz w:val="16"/>
          <w:szCs w:val="16"/>
          <w:u w:val="single" w:color="auto"/>
          <w:color w:val="auto"/>
        </w:rPr>
        <w:t>paragraph (i)</w:t>
      </w:r>
      <w:r>
        <w:rPr>
          <w:rFonts w:ascii="Arial" w:cs="Arial" w:eastAsia="Arial" w:hAnsi="Arial"/>
          <w:sz w:val="16"/>
          <w:szCs w:val="16"/>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2.06.[Reserved]</w:t>
      </w:r>
      <w:r>
        <w:rPr>
          <w:rFonts w:ascii="Arial" w:cs="Arial" w:eastAsia="Arial" w:hAnsi="Arial"/>
          <w:sz w:val="18"/>
          <w:szCs w:val="18"/>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2.07.Funding of Borrowings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77" w:lineRule="auto"/>
        <w:tabs>
          <w:tab w:leader="none" w:pos="101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it hereunder not later than 1:00 p.m., in each case on the Business Day specified in the applicable Borrowing Request by wire transfer of immediately available funds to the account of the Administrative Agent most recently designated by it for such purpose by notice to the Lenders in an amount equal to such Lender’s respective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The Administrative Agent will make such Loans available to the Borrower by promptly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1" w:name="page132"/>
    <w:bookmarkEnd w:id="131"/>
    <w:p>
      <w:pPr>
        <w:jc w:val="both"/>
        <w:spacing w:after="0" w:line="262" w:lineRule="auto"/>
        <w:rPr>
          <w:sz w:val="20"/>
          <w:szCs w:val="20"/>
          <w:color w:val="auto"/>
        </w:rPr>
      </w:pPr>
      <w:r>
        <w:rPr>
          <w:rFonts w:ascii="Arial" w:cs="Arial" w:eastAsia="Arial" w:hAnsi="Arial"/>
          <w:sz w:val="18"/>
          <w:szCs w:val="18"/>
          <w:color w:val="auto"/>
        </w:rPr>
        <w:t xml:space="preserve">crediting the amounts so received, in like funds, to the account designated in the relevant Borrowing Request or as otherwise directed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Swingline Loans made to finance the reimbursement of any LC Disbursement as provided in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shall be remitted by the Administrative Agent to the applicable Issuing Bank.</w:t>
      </w:r>
    </w:p>
    <w:p>
      <w:pPr>
        <w:spacing w:after="0" w:line="182" w:lineRule="exact"/>
        <w:rPr>
          <w:sz w:val="20"/>
          <w:szCs w:val="20"/>
          <w:color w:val="auto"/>
        </w:rPr>
      </w:pPr>
    </w:p>
    <w:p>
      <w:pPr>
        <w:jc w:val="both"/>
        <w:ind w:firstLine="756"/>
        <w:spacing w:after="0" w:line="285" w:lineRule="auto"/>
        <w:tabs>
          <w:tab w:leader="none" w:pos="10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Unless the Administrative Agent has received notice from any Lender prior to the proposed date of any Borrowing (or, in the case of any Borrowing of ABR Loans, prior to 12:00 noon on the date of such Borrowing) that such Lender will not make available to the Administrative Agent such Lender’s share of any Borrowing prior to the proposed date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2.07(b)</w:t>
      </w:r>
      <w:r>
        <w:rPr>
          <w:rFonts w:ascii="Arial" w:cs="Arial" w:eastAsia="Arial" w:hAnsi="Arial"/>
          <w:sz w:val="16"/>
          <w:szCs w:val="16"/>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2.08.Type; Interest Elections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9" w:lineRule="auto"/>
        <w:tabs>
          <w:tab w:leader="none" w:pos="101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Each Borrowing shall initially be of the Type specified in the applicable Borrowing Request and, in the case of any LIBO Rate </w:t>
      </w:r>
      <w:r>
        <w:rPr>
          <w:rFonts w:ascii="Arial" w:cs="Arial" w:eastAsia="Arial" w:hAnsi="Arial"/>
          <w:sz w:val="17"/>
          <w:szCs w:val="17"/>
          <w:u w:val="single" w:color="auto"/>
          <w:color w:val="0000FF"/>
        </w:rPr>
        <w:t>Borrowing 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Term SOFR</w:t>
      </w:r>
      <w:r>
        <w:rPr>
          <w:rFonts w:ascii="Arial" w:cs="Arial" w:eastAsia="Arial" w:hAnsi="Arial"/>
          <w:sz w:val="17"/>
          <w:szCs w:val="17"/>
          <w:color w:val="0000FF"/>
        </w:rPr>
        <w:t xml:space="preserve"> </w:t>
      </w:r>
      <w:r>
        <w:rPr>
          <w:rFonts w:ascii="Arial" w:cs="Arial" w:eastAsia="Arial" w:hAnsi="Arial"/>
          <w:sz w:val="17"/>
          <w:szCs w:val="17"/>
          <w:color w:val="000000"/>
        </w:rPr>
        <w:t>Borrowing, shall have an initial Interest Period as specified in such Borrowing Request;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 any Revolving Loan Borrowing in a</w:t>
      </w:r>
      <w:r>
        <w:rPr>
          <w:rFonts w:ascii="Arial" w:cs="Arial" w:eastAsia="Arial" w:hAnsi="Arial"/>
          <w:sz w:val="17"/>
          <w:szCs w:val="17"/>
          <w:color w:val="0000FF"/>
        </w:rPr>
        <w:t xml:space="preserve"> </w:t>
      </w:r>
      <w:r>
        <w:rPr>
          <w:rFonts w:ascii="Arial" w:cs="Arial" w:eastAsia="Arial" w:hAnsi="Arial"/>
          <w:sz w:val="17"/>
          <w:szCs w:val="17"/>
          <w:color w:val="000000"/>
        </w:rPr>
        <w:t xml:space="preserve">Revolving Alternative Currency (other than British Pounds Sterling) shall be a LIBO Rate Borrowing and any Revolving Loan Borrowing in British Pounds Sterling shall be an RFR Loan. Thereafter, the Borrower may elect to convert any Borrowing to a Borrowing of a different Type or to continue such Borrowing and, in the case of a LIBO Rate </w:t>
      </w:r>
      <w:r>
        <w:rPr>
          <w:rFonts w:ascii="Arial" w:cs="Arial" w:eastAsia="Arial" w:hAnsi="Arial"/>
          <w:sz w:val="17"/>
          <w:szCs w:val="17"/>
          <w:u w:val="single" w:color="auto"/>
          <w:color w:val="0000FF"/>
        </w:rPr>
        <w:t>Borrowing or Term SOFR</w:t>
      </w:r>
      <w:r>
        <w:rPr>
          <w:rFonts w:ascii="Arial" w:cs="Arial" w:eastAsia="Arial" w:hAnsi="Arial"/>
          <w:sz w:val="17"/>
          <w:szCs w:val="17"/>
          <w:color w:val="000000"/>
        </w:rPr>
        <w:t xml:space="preserve"> Borrowing, may elect Interest Periods therefor, all as provided in this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w:t>
      </w:r>
      <w:r>
        <w:rPr>
          <w:rFonts w:ascii="Arial" w:cs="Arial" w:eastAsia="Arial" w:hAnsi="Arial"/>
          <w:sz w:val="17"/>
          <w:szCs w:val="17"/>
          <w:u w:val="single" w:color="auto"/>
          <w:color w:val="000000"/>
        </w:rPr>
        <w:t>Section 2.08</w:t>
      </w:r>
      <w:r>
        <w:rPr>
          <w:rFonts w:ascii="Arial" w:cs="Arial" w:eastAsia="Arial" w:hAnsi="Arial"/>
          <w:sz w:val="17"/>
          <w:szCs w:val="17"/>
          <w:color w:val="000000"/>
        </w:rPr>
        <w:t xml:space="preserve"> shall not apply to Swingline Loans, which may not be converted or continued.</w:t>
      </w:r>
    </w:p>
    <w:p>
      <w:pPr>
        <w:spacing w:after="0" w:line="182" w:lineRule="exact"/>
        <w:rPr>
          <w:rFonts w:ascii="Arial" w:cs="Arial" w:eastAsia="Arial" w:hAnsi="Arial"/>
          <w:sz w:val="17"/>
          <w:szCs w:val="17"/>
          <w:color w:val="auto"/>
        </w:rPr>
      </w:pPr>
    </w:p>
    <w:p>
      <w:pPr>
        <w:jc w:val="both"/>
        <w:ind w:firstLine="756"/>
        <w:spacing w:after="0" w:line="285" w:lineRule="auto"/>
        <w:tabs>
          <w:tab w:leader="none" w:pos="101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To make an election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the Borrower shall (i) deliver an Interest Election Request, appropriately completed and signed by a Responsible Officer of the Borrower or (ii) provide telephonic notice (promptly confirmed in writing by delivery of a written Interest Election Request, appropriately completed and signed by a Responsible Officer of the Borrower) of the applicable election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under this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such Interest Election Request must be received by the Administrative Agent (by hand delivery, fax or other electronic transmission (including “.pdf” or “.tif”)) not later than (i) 11:00 a.m. three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Business Days prior to the requested day of any Borrowing, conversion or continuation of LIBO Rate Loans </w:t>
      </w:r>
      <w:r>
        <w:rPr>
          <w:rFonts w:ascii="Arial" w:cs="Arial" w:eastAsia="Arial" w:hAnsi="Arial"/>
          <w:sz w:val="16"/>
          <w:szCs w:val="16"/>
          <w:color w:val="FF0000"/>
          <w:strike w:val="1"/>
        </w:rPr>
        <w:t>(or one Business Day in the case of any Borrowing of or conversion to LIBO Rate Loans in Dollars to be made on the</w:t>
      </w:r>
      <w:r>
        <w:rPr>
          <w:rFonts w:ascii="Arial" w:cs="Arial" w:eastAsia="Arial" w:hAnsi="Arial"/>
          <w:sz w:val="16"/>
          <w:szCs w:val="16"/>
          <w:color w:val="auto"/>
        </w:rPr>
        <w:t xml:space="preserve"> </w:t>
      </w:r>
      <w:r>
        <w:rPr>
          <w:rFonts w:ascii="Arial" w:cs="Arial" w:eastAsia="Arial" w:hAnsi="Arial"/>
          <w:sz w:val="16"/>
          <w:szCs w:val="16"/>
          <w:color w:val="FF0000"/>
          <w:strike w:val="1"/>
        </w:rPr>
        <w:t>Closing Date)</w:t>
      </w:r>
      <w:r>
        <w:rPr>
          <w:rFonts w:ascii="Arial" w:cs="Arial" w:eastAsia="Arial" w:hAnsi="Arial"/>
          <w:sz w:val="16"/>
          <w:szCs w:val="16"/>
          <w:color w:val="FF0000"/>
        </w:rPr>
        <w:t xml:space="preserve"> </w:t>
      </w:r>
      <w:r>
        <w:rPr>
          <w:rFonts w:ascii="Arial" w:cs="Arial" w:eastAsia="Arial" w:hAnsi="Arial"/>
          <w:sz w:val="16"/>
          <w:szCs w:val="16"/>
          <w:color w:val="0000FF"/>
        </w:rPr>
        <w:t>or Term SOFR Loans</w:t>
      </w:r>
      <w:r>
        <w:rPr>
          <w:rFonts w:ascii="Arial" w:cs="Arial" w:eastAsia="Arial" w:hAnsi="Arial"/>
          <w:sz w:val="16"/>
          <w:szCs w:val="16"/>
          <w:color w:val="FF0000"/>
        </w:rPr>
        <w:t xml:space="preserve"> </w:t>
      </w:r>
      <w:r>
        <w:rPr>
          <w:rFonts w:ascii="Arial" w:cs="Arial" w:eastAsia="Arial" w:hAnsi="Arial"/>
          <w:sz w:val="16"/>
          <w:szCs w:val="16"/>
          <w:color w:val="000000"/>
        </w:rPr>
        <w:t>and (ii) 11:00 a.m. on the requested date of any Borrowing of ABR Loans (or, in each case, such later time as is</w:t>
      </w:r>
      <w:r>
        <w:rPr>
          <w:rFonts w:ascii="Arial" w:cs="Arial" w:eastAsia="Arial" w:hAnsi="Arial"/>
          <w:sz w:val="16"/>
          <w:szCs w:val="16"/>
          <w:color w:val="FF0000"/>
        </w:rPr>
        <w:t xml:space="preserve"> </w:t>
      </w:r>
      <w:r>
        <w:rPr>
          <w:rFonts w:ascii="Arial" w:cs="Arial" w:eastAsia="Arial" w:hAnsi="Arial"/>
          <w:sz w:val="16"/>
          <w:szCs w:val="16"/>
          <w:color w:val="000000"/>
        </w:rPr>
        <w:t xml:space="preserve">reasonably acceptable to the Administrative Agent);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if the Borrower wishes to request LIBO Rate </w:t>
      </w:r>
      <w:r>
        <w:rPr>
          <w:rFonts w:ascii="Arial" w:cs="Arial" w:eastAsia="Arial" w:hAnsi="Arial"/>
          <w:sz w:val="16"/>
          <w:szCs w:val="16"/>
          <w:u w:val="single" w:color="auto"/>
          <w:color w:val="0000FF"/>
        </w:rPr>
        <w:t>Loans or Term SOFR</w:t>
      </w:r>
      <w:r>
        <w:rPr>
          <w:rFonts w:ascii="Arial" w:cs="Arial" w:eastAsia="Arial" w:hAnsi="Arial"/>
          <w:sz w:val="16"/>
          <w:szCs w:val="16"/>
          <w:color w:val="000000"/>
        </w:rPr>
        <w:t xml:space="preserve"> Loans having an Interest Period of other than one, three or six months in duration as provided in the definition of “Interest Period,” (A) the applicable notice from the Borrower must be received by the Administrative Agent not later than 11:00 a.m. four </w:t>
      </w:r>
      <w:r>
        <w:rPr>
          <w:rFonts w:ascii="Arial" w:cs="Arial" w:eastAsia="Arial" w:hAnsi="Arial"/>
          <w:sz w:val="16"/>
          <w:szCs w:val="16"/>
          <w:u w:val="single" w:color="auto"/>
          <w:color w:val="0000FF"/>
        </w:rPr>
        <w:t>(4)</w:t>
      </w:r>
      <w:r>
        <w:rPr>
          <w:rFonts w:ascii="Arial" w:cs="Arial" w:eastAsia="Arial" w:hAnsi="Arial"/>
          <w:sz w:val="16"/>
          <w:szCs w:val="16"/>
          <w:color w:val="000000"/>
        </w:rPr>
        <w:t xml:space="preserve"> Business Days prior to the requested date of the relevant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12:00 noon three </w:t>
      </w:r>
      <w:r>
        <w:rPr>
          <w:rFonts w:ascii="Arial" w:cs="Arial" w:eastAsia="Arial" w:hAnsi="Arial"/>
          <w:sz w:val="16"/>
          <w:szCs w:val="16"/>
          <w:u w:val="single" w:color="auto"/>
          <w:color w:val="0000FF"/>
        </w:rPr>
        <w:t>(3)</w:t>
      </w:r>
      <w:r>
        <w:rPr>
          <w:rFonts w:ascii="Arial" w:cs="Arial" w:eastAsia="Arial" w:hAnsi="Arial"/>
          <w:sz w:val="16"/>
          <w:szCs w:val="16"/>
          <w:color w:val="000000"/>
        </w:rPr>
        <w:t xml:space="preserve"> Business Days before the requested date of the relevant Borrowing, conversion or continuation,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-863600</wp:posOffset>
            </wp:positionV>
            <wp:extent cx="10636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Administrative Agent shall notify the Borrower whether or not the requested Interest Period is available to the appropriate Lenders.</w:t>
      </w:r>
    </w:p>
    <w:p>
      <w:pPr>
        <w:spacing w:after="0" w:line="22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 xml:space="preserve">If any such Interest Election Request requests a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auto"/>
        </w:rPr>
        <w:t xml:space="preserve"> Borrowing but does not specify an Interest Period, then the Borrower shall be deemed to have selected an Interest Period of one month’s duration.</w:t>
      </w:r>
    </w:p>
    <w:p>
      <w:pPr>
        <w:spacing w:after="0" w:line="171" w:lineRule="exact"/>
        <w:rPr>
          <w:sz w:val="20"/>
          <w:szCs w:val="20"/>
          <w:color w:val="auto"/>
        </w:rPr>
      </w:pPr>
    </w:p>
    <w:p>
      <w:pPr>
        <w:ind w:firstLine="756"/>
        <w:spacing w:after="0" w:line="275" w:lineRule="auto"/>
        <w:tabs>
          <w:tab w:leader="none" w:pos="10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756"/>
        <w:spacing w:after="0" w:line="253" w:lineRule="auto"/>
        <w:tabs>
          <w:tab w:leader="none" w:pos="10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If the Borrower fails to deliver a timely Interest Election Request with respect to a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auto"/>
        </w:rPr>
        <w:t xml:space="preserve"> Borrowing prior to the end of the Interest Period applicable thereto, then, unless such Borrowing is repaid as provided herein, such Borrowing shall be converted at the end of such Interest Period to </w:t>
      </w:r>
      <w:r>
        <w:rPr>
          <w:rFonts w:ascii="Arial" w:cs="Arial" w:eastAsia="Arial" w:hAnsi="Arial"/>
          <w:sz w:val="18"/>
          <w:szCs w:val="18"/>
          <w:color w:val="FF0000"/>
          <w:strike w:val="1"/>
        </w:rPr>
        <w:t>an</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auto"/>
        </w:rPr>
        <w:t xml:space="preserve"> Borrowing with an Interest Period of one month. Notwithstanding anything to the contrary herein, if an Event of Default exists and the Administrative Agent, at the request of the Required Lenders, so notifies the Borrower, then, so long as such Event of Default exists (i) no outstanding Borrowing may be converted to or continued as a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auto"/>
        </w:rPr>
        <w:t xml:space="preserve"> Borrowing and (ii) unless repaid, each LIBO Rate </w:t>
      </w:r>
      <w:r>
        <w:rPr>
          <w:rFonts w:ascii="Arial" w:cs="Arial" w:eastAsia="Arial" w:hAnsi="Arial"/>
          <w:sz w:val="18"/>
          <w:szCs w:val="18"/>
          <w:u w:val="single" w:color="auto"/>
          <w:color w:val="0000FF"/>
        </w:rPr>
        <w:t>Borrowing or Term SOFR</w:t>
      </w:r>
      <w:r>
        <w:rPr>
          <w:rFonts w:ascii="Arial" w:cs="Arial" w:eastAsia="Arial" w:hAnsi="Arial"/>
          <w:sz w:val="18"/>
          <w:szCs w:val="18"/>
          <w:color w:val="auto"/>
        </w:rPr>
        <w:t xml:space="preserve"> Borrowing</w:t>
      </w:r>
      <w:r>
        <w:rPr>
          <w:rFonts w:ascii="Arial" w:cs="Arial" w:eastAsia="Arial" w:hAnsi="Arial"/>
          <w:sz w:val="18"/>
          <w:szCs w:val="18"/>
          <w:u w:val="single" w:color="auto"/>
          <w:color w:val="0000FF"/>
        </w:rPr>
        <w:t>, as applicable,</w:t>
      </w:r>
      <w:r>
        <w:rPr>
          <w:rFonts w:ascii="Arial" w:cs="Arial" w:eastAsia="Arial" w:hAnsi="Arial"/>
          <w:sz w:val="18"/>
          <w:szCs w:val="18"/>
          <w:color w:val="auto"/>
        </w:rPr>
        <w:t xml:space="preserve"> shall be converted to an ABR Borrowing at the end of the then-current Interest Period applicable thereto.</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2.09.Termination and Reduction of Commitments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70" w:lineRule="auto"/>
        <w:tabs>
          <w:tab w:leader="none" w:pos="101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Unless previously terminated, (i) the Initial Term Loan Commitments on the Closing Date shall automatically terminate upon the making of the Initial Term Loans on the Closing Date, (ii) the Initial Revolving Credit Commitments shall automatically terminate on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or Incremental Facility Amendment, the undrawn amount thereof shall automatically terminate and (iv) the Additional Revolving Credit Commitments of any Class shall automatically terminate on the Maturity Date specified therefor in the applicable Refinancing Amendment, Extension Amendment or Incremental Facility Amendment.</w:t>
      </w:r>
    </w:p>
    <w:p>
      <w:pPr>
        <w:spacing w:after="0" w:line="180" w:lineRule="exact"/>
        <w:rPr>
          <w:rFonts w:ascii="Arial" w:cs="Arial" w:eastAsia="Arial" w:hAnsi="Arial"/>
          <w:sz w:val="17"/>
          <w:szCs w:val="17"/>
          <w:color w:val="auto"/>
        </w:rPr>
      </w:pPr>
    </w:p>
    <w:p>
      <w:pPr>
        <w:jc w:val="both"/>
        <w:ind w:firstLine="756"/>
        <w:spacing w:after="0" w:line="290" w:lineRule="auto"/>
        <w:tabs>
          <w:tab w:leader="none" w:pos="101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Upon delivery of the notice required by </w:t>
      </w:r>
      <w:r>
        <w:rPr>
          <w:rFonts w:ascii="Arial" w:cs="Arial" w:eastAsia="Arial" w:hAnsi="Arial"/>
          <w:sz w:val="16"/>
          <w:szCs w:val="16"/>
          <w:u w:val="single" w:color="auto"/>
          <w:color w:val="auto"/>
        </w:rPr>
        <w:t>Section 2.09(c)</w:t>
      </w:r>
      <w:r>
        <w:rPr>
          <w:rFonts w:ascii="Arial" w:cs="Arial" w:eastAsia="Arial" w:hAnsi="Arial"/>
          <w:sz w:val="16"/>
          <w:szCs w:val="16"/>
          <w:color w:val="auto"/>
        </w:rPr>
        <w:t xml:space="preserve">, the Borrower may at any time terminate or from time to time reduce, the Revolving Credit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and Swingline Loans, the aggregate amount of the Revolving Credit Exposure attributable to the Revolving Credit Commitments of such Class would exceed the aggregate amount Revolving Credit Commitments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the establishment of any Additional Revolving Credit Commitments, any such termination or reduction of the Revolving Credit Commitments of any Class shall be subject to the provisions set forth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w:t>
      </w:r>
      <w:r>
        <w:rPr>
          <w:rFonts w:ascii="Arial" w:cs="Arial" w:eastAsia="Arial" w:hAnsi="Arial"/>
          <w:sz w:val="16"/>
          <w:szCs w:val="16"/>
          <w:color w:val="auto"/>
        </w:rPr>
        <w:t>, as applicable.</w:t>
      </w:r>
    </w:p>
    <w:p>
      <w:pPr>
        <w:spacing w:after="0" w:line="163" w:lineRule="exact"/>
        <w:rPr>
          <w:rFonts w:ascii="Arial" w:cs="Arial" w:eastAsia="Arial" w:hAnsi="Arial"/>
          <w:sz w:val="16"/>
          <w:szCs w:val="16"/>
          <w:color w:val="auto"/>
        </w:rPr>
      </w:pPr>
    </w:p>
    <w:p>
      <w:pPr>
        <w:jc w:val="both"/>
        <w:ind w:firstLine="756"/>
        <w:spacing w:after="0" w:line="269" w:lineRule="auto"/>
        <w:tabs>
          <w:tab w:leader="none" w:pos="101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any Revolving Credit Commitment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in writing at least three Business Days prior to the effective date of such termination or reduction (or such later date to which the Administrative Agent may agree), specifying such election and the effective date thereof. Promptly following receipt of any notice, the Administrative Agent shall advise the Revolving Lenders of each applicable Class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it is conditioned upon the effectiveness of other transactions, in which case such notice may be revoked or delayed by the Borrower (by notice to the Administrative Agent on or prior to the specified effective date) if such condition is not satisfied or is delayed. Any termination or reduction of any Revolving Credit Commitment pursuant to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be permanent. Upon any reduction of any Revolving Credit Commitment, the Revolving Credit Commitment of each Revolving Lender of the relevant Class shall be reduced by such Revolving Lender’s Applicable Percentage of such reduction amount.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3" w:name="page134"/>
    <w:bookmarkEnd w:id="133"/>
    <w:p>
      <w:pPr>
        <w:ind w:left="760"/>
        <w:spacing w:after="0"/>
        <w:rPr>
          <w:sz w:val="20"/>
          <w:szCs w:val="20"/>
          <w:color w:val="auto"/>
        </w:rPr>
      </w:pPr>
      <w:r>
        <w:rPr>
          <w:rFonts w:ascii="Arial" w:cs="Arial" w:eastAsia="Arial" w:hAnsi="Arial"/>
          <w:sz w:val="18"/>
          <w:szCs w:val="18"/>
          <w:u w:val="single" w:color="auto"/>
          <w:color w:val="auto"/>
        </w:rPr>
        <w:t>Section 2.10.Repayment of Loans; Evidence of Debt</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3" w:lineRule="auto"/>
        <w:tabs>
          <w:tab w:leader="none" w:pos="101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The Borrower hereby unconditionally promises to repay the outstanding principal amount of the Initial Term Loans to the Administrative Agent for the account of each Term Lender (x) commencing March 31, 2022, on the last Business Day of each March, June, September and December prior to the Initial Term Loan Maturity Date (each such date being referred to as a “</w:t>
      </w:r>
      <w:r>
        <w:rPr>
          <w:rFonts w:ascii="Arial" w:cs="Arial" w:eastAsia="Arial" w:hAnsi="Arial"/>
          <w:sz w:val="18"/>
          <w:szCs w:val="18"/>
          <w:u w:val="single" w:color="auto"/>
          <w:color w:val="auto"/>
        </w:rPr>
        <w:t>Loan Installment Date</w:t>
      </w:r>
      <w:r>
        <w:rPr>
          <w:rFonts w:ascii="Arial" w:cs="Arial" w:eastAsia="Arial" w:hAnsi="Arial"/>
          <w:sz w:val="18"/>
          <w:szCs w:val="18"/>
          <w:color w:val="auto"/>
        </w:rPr>
        <w:t xml:space="preserve">”), in each case in an amount equal to 0.25% of the original principal amount of the Initial Term Loans (as such payments may be reduced from time to time as a result of the application of prepayments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repurchases in accordance with </w:t>
      </w:r>
      <w:r>
        <w:rPr>
          <w:rFonts w:ascii="Arial" w:cs="Arial" w:eastAsia="Arial" w:hAnsi="Arial"/>
          <w:sz w:val="18"/>
          <w:szCs w:val="18"/>
          <w:u w:val="single" w:color="auto"/>
          <w:color w:val="auto"/>
        </w:rPr>
        <w:t>Section 9.05(g)</w:t>
      </w:r>
      <w:r>
        <w:rPr>
          <w:rFonts w:ascii="Arial" w:cs="Arial" w:eastAsia="Arial" w:hAnsi="Arial"/>
          <w:sz w:val="18"/>
          <w:szCs w:val="18"/>
          <w:color w:val="auto"/>
        </w:rPr>
        <w:t xml:space="preserve"> or increased as a result of any increase in the amount of such Initial Term Loans pursuant to </w:t>
      </w:r>
      <w:r>
        <w:rPr>
          <w:rFonts w:ascii="Arial" w:cs="Arial" w:eastAsia="Arial" w:hAnsi="Arial"/>
          <w:sz w:val="18"/>
          <w:szCs w:val="18"/>
          <w:u w:val="single" w:color="auto"/>
          <w:color w:val="auto"/>
        </w:rPr>
        <w:t>Section 2.22(a)</w:t>
      </w:r>
      <w:r>
        <w:rPr>
          <w:rFonts w:ascii="Arial" w:cs="Arial" w:eastAsia="Arial" w:hAnsi="Arial"/>
          <w:sz w:val="18"/>
          <w:szCs w:val="18"/>
          <w:color w:val="auto"/>
        </w:rPr>
        <w:t>), and (y)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w:t>
      </w:r>
    </w:p>
    <w:p>
      <w:pPr>
        <w:spacing w:after="0" w:line="189" w:lineRule="exact"/>
        <w:rPr>
          <w:sz w:val="20"/>
          <w:szCs w:val="20"/>
          <w:color w:val="auto"/>
        </w:rPr>
      </w:pPr>
    </w:p>
    <w:p>
      <w:pPr>
        <w:jc w:val="both"/>
        <w:ind w:firstLine="756"/>
        <w:spacing w:after="0" w:line="300" w:lineRule="auto"/>
        <w:tabs>
          <w:tab w:leader="none" w:pos="108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Borrower shall repay the Additional Term Loans of any Class in such scheduled amortization installments and on such date or dates as shall be specified therefor in the applicable Refinancing Amendment, Incremental Facility Agreement or Extension Amendment (as such payments may be reduced from time to time as a result of the application of prepayments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repurchases in accordance with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or increased as a result of any increase in the amount of such Additional Term Loans of such Class pursuant to </w:t>
      </w:r>
      <w:r>
        <w:rPr>
          <w:rFonts w:ascii="Arial" w:cs="Arial" w:eastAsia="Arial" w:hAnsi="Arial"/>
          <w:sz w:val="16"/>
          <w:szCs w:val="16"/>
          <w:u w:val="single" w:color="auto"/>
          <w:color w:val="auto"/>
        </w:rPr>
        <w:t>Section 2.22(a)</w:t>
      </w:r>
      <w:r>
        <w:rPr>
          <w:rFonts w:ascii="Arial" w:cs="Arial" w:eastAsia="Arial" w:hAnsi="Arial"/>
          <w:sz w:val="16"/>
          <w:szCs w:val="16"/>
          <w:color w:val="auto"/>
        </w:rPr>
        <w:t>).</w:t>
      </w:r>
    </w:p>
    <w:p>
      <w:pPr>
        <w:spacing w:after="0" w:line="155" w:lineRule="exact"/>
        <w:rPr>
          <w:sz w:val="20"/>
          <w:szCs w:val="20"/>
          <w:color w:val="auto"/>
        </w:rPr>
      </w:pPr>
    </w:p>
    <w:p>
      <w:pPr>
        <w:jc w:val="both"/>
        <w:ind w:firstLine="756"/>
        <w:spacing w:after="0" w:line="255" w:lineRule="auto"/>
        <w:tabs>
          <w:tab w:leader="none" w:pos="10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The Borrower hereby unconditionally promises to pay (A) to the Administrative Agent for the account of each Initial Revolving Lender, the then-unpaid principal amount of the Initial Revolving Loans of such Lender on the Initial Revolving Credit Maturity Date, (B) to the Administrative Agent for the account of each Additional Revolving Lender, the then-unpaid principal amount of each Additional Revolving Loan of such Additional Revolving Lender on the Maturity Date applicable thereto and (C) to the Swingline Lender, the then unpaid principal amount of each Swingline Loan on the Latest Revolving Credit Maturity Date.</w:t>
      </w:r>
    </w:p>
    <w:p>
      <w:pPr>
        <w:spacing w:after="0" w:line="190" w:lineRule="exact"/>
        <w:rPr>
          <w:sz w:val="20"/>
          <w:szCs w:val="20"/>
          <w:color w:val="auto"/>
        </w:rPr>
      </w:pPr>
    </w:p>
    <w:p>
      <w:pPr>
        <w:jc w:val="both"/>
        <w:ind w:firstLine="756"/>
        <w:spacing w:after="0" w:line="268" w:lineRule="auto"/>
        <w:tabs>
          <w:tab w:leader="none" w:pos="108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the Maturity Date applicable to the Revolving Credit Commitments of any Class, the Borrower shall (A) cancel and return outstanding Letters of Credit (or alternatively, with respect to each outstanding Letter of Credit, furnish to the Administrative Agent a Cash deposit (or if reasonably satisfactory to the relevant Issuing Bank, a “backstop” letter of credit or a similar “backstop” arrangement)) equal to 100% of the amount of the LC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amount then on deposit in any Cash collateral account established for the benefit of the relevant Issuing Bank) as of such date, in each case to the extent necessary so that, after giving effect thereto, the aggregate amount of the Revolving Credit Exposure attributable to the Revolving Credit Commitments of any other Class shall not exceed the Revolving Credit Commitments of such other Class then in effect, (B) prepay Swingline Loans to the extent necessary so that, after giving effect thereto, the aggregate amount of the Revolving Credit Exposure attributable to the Revolving Credit Commitments of any other Class shall not exceed the Revolving Credit Commitments of such other Class in effect and (C) make payment in full in Cash of all accrued and unpaid fees and all reimbursable expenses and other Obligations with respect to the Revolving Facility of the applicable Class then due, together with accrued and unpaid interest (if any) thereon.</w:t>
      </w:r>
    </w:p>
    <w:p>
      <w:pPr>
        <w:spacing w:after="0" w:line="182" w:lineRule="exact"/>
        <w:rPr>
          <w:sz w:val="20"/>
          <w:szCs w:val="20"/>
          <w:color w:val="auto"/>
        </w:rPr>
      </w:pPr>
    </w:p>
    <w:p>
      <w:pPr>
        <w:jc w:val="both"/>
        <w:ind w:firstLine="756"/>
        <w:spacing w:after="0" w:line="262" w:lineRule="auto"/>
        <w:tabs>
          <w:tab w:leader="none" w:pos="101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2" w:lineRule="exact"/>
        <w:rPr>
          <w:rFonts w:ascii="Arial" w:cs="Arial" w:eastAsia="Arial" w:hAnsi="Arial"/>
          <w:sz w:val="18"/>
          <w:szCs w:val="18"/>
          <w:color w:val="auto"/>
        </w:rPr>
      </w:pPr>
    </w:p>
    <w:p>
      <w:pPr>
        <w:jc w:val="both"/>
        <w:ind w:firstLine="756"/>
        <w:spacing w:after="0" w:line="258" w:lineRule="auto"/>
        <w:tabs>
          <w:tab w:leader="none" w:pos="101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Issuing Bank’s share thereof.</w:t>
      </w:r>
    </w:p>
    <w:p>
      <w:pPr>
        <w:spacing w:after="0" w:line="184" w:lineRule="exact"/>
        <w:rPr>
          <w:rFonts w:ascii="Arial" w:cs="Arial" w:eastAsia="Arial" w:hAnsi="Arial"/>
          <w:sz w:val="18"/>
          <w:szCs w:val="18"/>
          <w:color w:val="auto"/>
        </w:rPr>
      </w:pPr>
    </w:p>
    <w:p>
      <w:pPr>
        <w:jc w:val="both"/>
        <w:ind w:firstLine="756"/>
        <w:spacing w:after="0" w:line="277" w:lineRule="auto"/>
        <w:tabs>
          <w:tab w:leader="none" w:pos="101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w:t>
      </w:r>
      <w:r>
        <w:rPr>
          <w:rFonts w:ascii="Arial" w:cs="Arial" w:eastAsia="Arial" w:hAnsi="Arial"/>
          <w:sz w:val="17"/>
          <w:szCs w:val="17"/>
          <w:u w:val="single" w:color="auto"/>
          <w:color w:val="auto"/>
        </w:rPr>
        <w:t>paragraphs (c)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Section shall be prima facie evidence of the existence and amounts of the obligations recorded therein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manifest error therein shall not in any manner affect the obligation of the Borrower to repay the Loans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of any inconsistency between the accounts maintained by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t xml:space="preserve">Administrative Agent pursuant to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and any Lender’s records, the accounts of the Administrative Agent shall govern.</w:t>
      </w:r>
    </w:p>
    <w:p>
      <w:pPr>
        <w:spacing w:after="0" w:line="234" w:lineRule="exact"/>
        <w:rPr>
          <w:sz w:val="20"/>
          <w:szCs w:val="20"/>
          <w:color w:val="auto"/>
        </w:rPr>
      </w:pPr>
    </w:p>
    <w:p>
      <w:pPr>
        <w:jc w:val="both"/>
        <w:ind w:firstLine="756"/>
        <w:spacing w:after="0" w:line="274" w:lineRule="auto"/>
        <w:tabs>
          <w:tab w:leader="none" w:pos="101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Any Lender may request that any Loan made by it be evidenced by a Promissory Note. In such event, the Borrower shall prepare, execute and deliver a Promissory Note to such Lender payable to such Lender and its registered assigns; it being understood and agreed that such Lender (and/or its applicable assign) shall be required to return such Promissory Note to the Borrower in accordance with </w:t>
      </w:r>
      <w:r>
        <w:rPr>
          <w:rFonts w:ascii="Arial" w:cs="Arial" w:eastAsia="Arial" w:hAnsi="Arial"/>
          <w:sz w:val="17"/>
          <w:szCs w:val="17"/>
          <w:u w:val="single" w:color="auto"/>
          <w:color w:val="auto"/>
        </w:rPr>
        <w:t>Section 9.05(b)(iii)</w:t>
      </w:r>
      <w:r>
        <w:rPr>
          <w:rFonts w:ascii="Arial" w:cs="Arial" w:eastAsia="Arial" w:hAnsi="Arial"/>
          <w:sz w:val="17"/>
          <w:szCs w:val="17"/>
          <w:color w:val="auto"/>
        </w:rPr>
        <w:t xml:space="preserve"> and upon the occurrence of the Termination Date (or as promptly thereafter as practicable). If any Lender loses the original copy of its Promissory Note, it shall execute an affidavit of loss containing an indemnification provision reasonably satisfactory to the Borrower.</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2.11.Prepayment of Loans</w:t>
      </w:r>
      <w:r>
        <w:rPr>
          <w:rFonts w:ascii="Arial" w:cs="Arial" w:eastAsia="Arial" w:hAnsi="Arial"/>
          <w:sz w:val="18"/>
          <w:szCs w:val="18"/>
          <w:color w:val="auto"/>
        </w:rPr>
        <w:t>.</w:t>
      </w:r>
    </w:p>
    <w:p>
      <w:pPr>
        <w:spacing w:after="0" w:line="223" w:lineRule="exact"/>
        <w:rPr>
          <w:sz w:val="20"/>
          <w:szCs w:val="20"/>
          <w:color w:val="auto"/>
        </w:rPr>
      </w:pPr>
    </w:p>
    <w:p>
      <w:pPr>
        <w:ind w:left="1020" w:hanging="264"/>
        <w:spacing w:after="0"/>
        <w:tabs>
          <w:tab w:leader="none" w:pos="1020" w:val="left"/>
        </w:tabs>
        <w:numPr>
          <w:ilvl w:val="0"/>
          <w:numId w:val="1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firstLine="1505"/>
        <w:spacing w:after="0" w:line="300" w:lineRule="auto"/>
        <w:tabs>
          <w:tab w:leader="none" w:pos="179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Upon prior notice in accordance with </w:t>
      </w:r>
      <w:r>
        <w:rPr>
          <w:rFonts w:ascii="Arial" w:cs="Arial" w:eastAsia="Arial" w:hAnsi="Arial"/>
          <w:sz w:val="16"/>
          <w:szCs w:val="16"/>
          <w:u w:val="single" w:color="auto"/>
          <w:color w:val="auto"/>
        </w:rPr>
        <w:t>paragraph (a)(iii)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the Borrower shall have the right at any time and from time to time to prepay any Borrowing of Term Loans of one or more Classes (such Class or Classes to be selected by the Borrower in its sole discretion) in whole or in part without premium or penalty (but subject (A) in the case of Borrowings of Initial Term Loans only, to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and (B) if applicable, to </w:t>
      </w:r>
      <w:r>
        <w:rPr>
          <w:rFonts w:ascii="Arial" w:cs="Arial" w:eastAsia="Arial" w:hAnsi="Arial"/>
          <w:sz w:val="16"/>
          <w:szCs w:val="16"/>
          <w:u w:val="single" w:color="auto"/>
          <w:color w:val="auto"/>
        </w:rPr>
        <w:t>Section 2.16</w:t>
      </w:r>
      <w:r>
        <w:rPr>
          <w:rFonts w:ascii="Arial" w:cs="Arial" w:eastAsia="Arial" w:hAnsi="Arial"/>
          <w:sz w:val="16"/>
          <w:szCs w:val="16"/>
          <w:color w:val="auto"/>
        </w:rPr>
        <w:t>). Each such prepayment shall be paid to the Lenders in accordance with their respective Applicable Percentages of the relevant Class.</w:t>
      </w:r>
    </w:p>
    <w:p>
      <w:pPr>
        <w:spacing w:after="0" w:line="155" w:lineRule="exact"/>
        <w:rPr>
          <w:rFonts w:ascii="Arial" w:cs="Arial" w:eastAsia="Arial" w:hAnsi="Arial"/>
          <w:sz w:val="16"/>
          <w:szCs w:val="16"/>
          <w:color w:val="auto"/>
        </w:rPr>
      </w:pPr>
    </w:p>
    <w:p>
      <w:pPr>
        <w:jc w:val="both"/>
        <w:ind w:firstLine="1505"/>
        <w:spacing w:after="0" w:line="272" w:lineRule="auto"/>
        <w:tabs>
          <w:tab w:leader="none" w:pos="179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Upon prior notice in accordance with </w:t>
      </w:r>
      <w:r>
        <w:rPr>
          <w:rFonts w:ascii="Arial" w:cs="Arial" w:eastAsia="Arial" w:hAnsi="Arial"/>
          <w:sz w:val="17"/>
          <w:szCs w:val="17"/>
          <w:u w:val="single" w:color="auto"/>
          <w:color w:val="auto"/>
        </w:rPr>
        <w:t>paragraph (a)(iii)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the Borrower shall have the right at any time and from time to time to prepay any Borrowing of Revolving Loans of any Class or any Borrowing of Swingline Loans, in whole or in part without premium or penalty (but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after the establishment of any Additional Revolving Loans, any such prepayment of any Borrowing of Revolving Loans of any Class shall be subject to the provisions set forth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and (B) no Borrowing of Revolving Loans may be prepaid unless all Swingline Loans then outstanding, if any, are prepaid concurrently therewith, as applicable. Each such prepayment shall be paid to the Revolving Lenders in accordance with their respective Applicable Percentages of the relevant Class.</w:t>
      </w:r>
    </w:p>
    <w:p>
      <w:pPr>
        <w:spacing w:after="0" w:line="175" w:lineRule="exact"/>
        <w:rPr>
          <w:rFonts w:ascii="Arial" w:cs="Arial" w:eastAsia="Arial" w:hAnsi="Arial"/>
          <w:sz w:val="17"/>
          <w:szCs w:val="17"/>
          <w:color w:val="auto"/>
        </w:rPr>
      </w:pPr>
    </w:p>
    <w:p>
      <w:pPr>
        <w:jc w:val="both"/>
        <w:ind w:firstLine="1505"/>
        <w:spacing w:after="0" w:line="284" w:lineRule="auto"/>
        <w:tabs>
          <w:tab w:leader="none" w:pos="179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(and the Swingline Lender, as applicable) in writing of any prepayment under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w:t>
      </w:r>
      <w:r>
        <w:rPr>
          <w:rFonts w:ascii="Arial" w:cs="Arial" w:eastAsia="Arial" w:hAnsi="Arial"/>
          <w:sz w:val="16"/>
          <w:szCs w:val="16"/>
          <w:color w:val="FF0000"/>
          <w:strike w:val="1"/>
        </w:rPr>
        <w:t>x</w:t>
      </w:r>
      <w:r>
        <w:rPr>
          <w:rFonts w:ascii="Arial" w:cs="Arial" w:eastAsia="Arial" w:hAnsi="Arial"/>
          <w:sz w:val="16"/>
          <w:szCs w:val="16"/>
          <w:u w:val="single" w:color="auto"/>
          <w:color w:val="0000FF"/>
        </w:rPr>
        <w:t>w)</w:t>
      </w:r>
      <w:r>
        <w:rPr>
          <w:rFonts w:ascii="Arial" w:cs="Arial" w:eastAsia="Arial" w:hAnsi="Arial"/>
          <w:sz w:val="16"/>
          <w:szCs w:val="16"/>
          <w:color w:val="auto"/>
        </w:rPr>
        <w:t xml:space="preserve"> in the case of any prepayment of a </w:t>
      </w:r>
      <w:r>
        <w:rPr>
          <w:rFonts w:ascii="Arial" w:cs="Arial" w:eastAsia="Arial" w:hAnsi="Arial"/>
          <w:sz w:val="16"/>
          <w:szCs w:val="16"/>
          <w:color w:val="FF0000"/>
          <w:strike w:val="1"/>
        </w:rPr>
        <w:t>LIBO Rate</w:t>
      </w:r>
      <w:r>
        <w:rPr>
          <w:rFonts w:ascii="Arial" w:cs="Arial" w:eastAsia="Arial" w:hAnsi="Arial"/>
          <w:sz w:val="16"/>
          <w:szCs w:val="16"/>
          <w:color w:val="auto"/>
        </w:rPr>
        <w:t xml:space="preserve"> </w:t>
      </w:r>
      <w:r>
        <w:rPr>
          <w:rFonts w:ascii="Arial" w:cs="Arial" w:eastAsia="Arial" w:hAnsi="Arial"/>
          <w:sz w:val="16"/>
          <w:szCs w:val="16"/>
          <w:color w:val="0000FF"/>
        </w:rPr>
        <w:t>Term SOFR</w:t>
      </w:r>
      <w:r>
        <w:rPr>
          <w:rFonts w:ascii="Arial" w:cs="Arial" w:eastAsia="Arial" w:hAnsi="Arial"/>
          <w:sz w:val="16"/>
          <w:szCs w:val="16"/>
          <w:color w:val="auto"/>
        </w:rPr>
        <w:t xml:space="preserve"> Borrowing </w:t>
      </w:r>
      <w:r>
        <w:rPr>
          <w:rFonts w:ascii="Arial" w:cs="Arial" w:eastAsia="Arial" w:hAnsi="Arial"/>
          <w:sz w:val="16"/>
          <w:szCs w:val="16"/>
          <w:color w:val="FF0000"/>
        </w:rPr>
        <w:t>or RFR Loans</w:t>
      </w:r>
      <w:r>
        <w:rPr>
          <w:rFonts w:ascii="Arial" w:cs="Arial" w:eastAsia="Arial" w:hAnsi="Arial"/>
          <w:sz w:val="16"/>
          <w:szCs w:val="16"/>
          <w:color w:val="auto"/>
        </w:rPr>
        <w:t xml:space="preserve">, not later than 1:00 p.m. </w:t>
      </w:r>
      <w:r>
        <w:rPr>
          <w:rFonts w:ascii="Arial" w:cs="Arial" w:eastAsia="Arial" w:hAnsi="Arial"/>
          <w:sz w:val="16"/>
          <w:szCs w:val="16"/>
          <w:color w:val="FF0000"/>
          <w:strike w:val="1"/>
        </w:rPr>
        <w:t>three</w:t>
      </w:r>
      <w:r>
        <w:rPr>
          <w:rFonts w:ascii="Arial" w:cs="Arial" w:eastAsia="Arial" w:hAnsi="Arial"/>
          <w:sz w:val="16"/>
          <w:szCs w:val="16"/>
          <w:u w:val="single" w:color="auto"/>
          <w:color w:val="0000FF"/>
        </w:rPr>
        <w:t>two (2)</w:t>
      </w:r>
      <w:r>
        <w:rPr>
          <w:rFonts w:ascii="Arial" w:cs="Arial" w:eastAsia="Arial" w:hAnsi="Arial"/>
          <w:sz w:val="16"/>
          <w:szCs w:val="16"/>
          <w:color w:val="auto"/>
        </w:rPr>
        <w:t xml:space="preserve"> Business Days before the date of prepayment, </w:t>
      </w:r>
      <w:r>
        <w:rPr>
          <w:rFonts w:ascii="Arial" w:cs="Arial" w:eastAsia="Arial" w:hAnsi="Arial"/>
          <w:sz w:val="16"/>
          <w:szCs w:val="16"/>
          <w:color w:val="0000FF"/>
        </w:rPr>
        <w:t>(x) in the case of any prepayment of a LIBO Rate Borrowing or RFR Loans, not later 1:00 p.m. three (3)</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Business Days before the date of prepayment,</w:t>
      </w:r>
      <w:r>
        <w:rPr>
          <w:rFonts w:ascii="Arial" w:cs="Arial" w:eastAsia="Arial" w:hAnsi="Arial"/>
          <w:sz w:val="16"/>
          <w:szCs w:val="16"/>
          <w:color w:val="0000FF"/>
        </w:rPr>
        <w:t xml:space="preserve"> </w:t>
      </w:r>
      <w:r>
        <w:rPr>
          <w:rFonts w:ascii="Arial" w:cs="Arial" w:eastAsia="Arial" w:hAnsi="Arial"/>
          <w:sz w:val="16"/>
          <w:szCs w:val="16"/>
          <w:color w:val="000000"/>
        </w:rPr>
        <w:t>(y) in the case of any prepayment of an ABR Borrowing, not later than 11:00 a.m. on the day of prepayment</w:t>
      </w:r>
      <w:r>
        <w:rPr>
          <w:rFonts w:ascii="Arial" w:cs="Arial" w:eastAsia="Arial" w:hAnsi="Arial"/>
          <w:sz w:val="16"/>
          <w:szCs w:val="16"/>
          <w:color w:val="0000FF"/>
        </w:rPr>
        <w:t xml:space="preserve"> </w:t>
      </w:r>
      <w:r>
        <w:rPr>
          <w:rFonts w:ascii="Arial" w:cs="Arial" w:eastAsia="Arial" w:hAnsi="Arial"/>
          <w:sz w:val="16"/>
          <w:szCs w:val="16"/>
          <w:color w:val="000000"/>
        </w:rPr>
        <w:t xml:space="preserve">or (z) in the case of any prepayment of a Swingline Loan, not later than 1:00 p.m. on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thereof or each relevant Class to be prepaid;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notice of prepayment delivered by the Borrower may be conditioned upon the effectiveness of other transactions, in which case such notice may be revoked or delayed by the Borrower (by notice to the Administrative Agent on or prior to the specified effective date) if such condition is not satisfied or is delayed.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Arial" w:cs="Arial" w:eastAsia="Arial" w:hAnsi="Arial"/>
          <w:sz w:val="16"/>
          <w:szCs w:val="16"/>
          <w:u w:val="single" w:color="auto"/>
          <w:color w:val="000000"/>
        </w:rPr>
        <w:t>Section 2.02(c)</w:t>
      </w:r>
      <w:r>
        <w:rPr>
          <w:rFonts w:ascii="Arial" w:cs="Arial" w:eastAsia="Arial" w:hAnsi="Arial"/>
          <w:sz w:val="16"/>
          <w:szCs w:val="16"/>
          <w:color w:val="000000"/>
        </w:rPr>
        <w:t xml:space="preserve">,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Arial" w:cs="Arial" w:eastAsia="Arial" w:hAnsi="Arial"/>
          <w:sz w:val="16"/>
          <w:szCs w:val="16"/>
          <w:u w:val="single" w:color="auto"/>
          <w:color w:val="000000"/>
        </w:rPr>
        <w:t>Section 2.11(a)</w:t>
      </w:r>
      <w:r>
        <w:rPr>
          <w:rFonts w:ascii="Arial" w:cs="Arial" w:eastAsia="Arial" w:hAnsi="Arial"/>
          <w:sz w:val="16"/>
          <w:szCs w:val="16"/>
          <w:color w:val="000000"/>
        </w:rPr>
        <w:t xml:space="preserve"> 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-2092960</wp:posOffset>
            </wp:positionV>
            <wp:extent cx="6089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-2144395</wp:posOffset>
            </wp:positionV>
            <wp:extent cx="7200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-1956435</wp:posOffset>
            </wp:positionV>
            <wp:extent cx="50165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016500" cy="825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5" w:name="page136"/>
    <w:bookmarkEnd w:id="135"/>
    <w:p>
      <w:pPr>
        <w:ind w:left="1020" w:hanging="264"/>
        <w:spacing w:after="0"/>
        <w:tabs>
          <w:tab w:leader="none" w:pos="1020" w:val="left"/>
        </w:tabs>
        <w:numPr>
          <w:ilvl w:val="0"/>
          <w:numId w:val="13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firstLine="1505"/>
        <w:spacing w:after="0" w:line="282" w:lineRule="auto"/>
        <w:tabs>
          <w:tab w:leader="none" w:pos="18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No later than the fifth Business Day after the date on which the financial statements with respect to each Fiscal Year of the Borrower are required to be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commencing with the Fiscal Year ending December 31, 2022, the Borrower shall prepay the outstanding principal amount of Initial Term Loans and Additional Term Loans then subject to ratable prepayment requirements in accordance with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below in an aggregate principal amount (the “</w:t>
      </w:r>
      <w:r>
        <w:rPr>
          <w:rFonts w:ascii="Arial" w:cs="Arial" w:eastAsia="Arial" w:hAnsi="Arial"/>
          <w:sz w:val="16"/>
          <w:szCs w:val="16"/>
          <w:u w:val="single" w:color="auto"/>
          <w:color w:val="auto"/>
        </w:rPr>
        <w:t>ECF Prepayment Amount</w:t>
      </w:r>
      <w:r>
        <w:rPr>
          <w:rFonts w:ascii="Arial" w:cs="Arial" w:eastAsia="Arial" w:hAnsi="Arial"/>
          <w:sz w:val="16"/>
          <w:szCs w:val="16"/>
          <w:color w:val="auto"/>
        </w:rPr>
        <w:t xml:space="preserve">”) equal to (A) the Required Excess Cash Flow Percentage of Excess Cash Flow of the Borrower and its Restricted Subsidiaries for the Excess Cash Flow Period then ended,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 (x) the aggregate principal amount of any Term Loans (including Additional Term Loans), any other Indebtedness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Term Loans and/or Revolving Loans (including Additional Revolving Loans or any revolving facility under this Agreement) prepaid (including, without limitation,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repurchased, redeemed or otherwise retired prior to such date and (y) the amount of any reduction in the outstanding amount of any Term Loans resulting from any assignment made in accordance with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of this Agreement (including in connection with any Dutch Auction) made during such Fiscal Year or, in each case, at the option of the Borrower, prior to the date such payment is due and, in each case under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based upon the actual amount of cash paid in connection with the relevant assignment, in each case, excluding any such optional prepayments made during such Fiscal Year that reduced the amount required to be prepaid pursuant to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in the prior Fiscal Year (in the case of any prepayment of Revolving Loans pursuant to </w:t>
      </w:r>
      <w:r>
        <w:rPr>
          <w:rFonts w:ascii="Arial" w:cs="Arial" w:eastAsia="Arial" w:hAnsi="Arial"/>
          <w:sz w:val="16"/>
          <w:szCs w:val="16"/>
          <w:u w:val="single" w:color="auto"/>
          <w:color w:val="auto"/>
        </w:rPr>
        <w:t>Section 2.11(b)(ii)</w:t>
      </w:r>
      <w:r>
        <w:rPr>
          <w:rFonts w:ascii="Arial" w:cs="Arial" w:eastAsia="Arial" w:hAnsi="Arial"/>
          <w:sz w:val="16"/>
          <w:szCs w:val="16"/>
          <w:color w:val="auto"/>
        </w:rPr>
        <w:t xml:space="preserve">, to the extent accompanied by a permanent reduction in the relevant commitment, and in the case of all such prepayments and assignments, to the extent that such prepayments were not financed with the proceeds of long term funded Indebtedness (other than revolving Indebtedness (excluding any Revolving Loans))) of the Borrower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prepayment under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shall be required unless the amount thereof exceeds $25,000,000 (and solely with amounts in excess of $25,000,0000 shall be required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the time that any such prepayment would be required, the Borrower (or any Restricted Subsidiary of the Borrower) is also required to prepay any Indebtedness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any Secured Obligation pursuant to the terms of, and to the extent required by, the documentation governing such Indebtedness (such Indebtedness required to be so prepaid or offered to be so repurchased, “</w:t>
      </w:r>
      <w:r>
        <w:rPr>
          <w:rFonts w:ascii="Arial" w:cs="Arial" w:eastAsia="Arial" w:hAnsi="Arial"/>
          <w:sz w:val="16"/>
          <w:szCs w:val="16"/>
          <w:u w:val="single" w:color="auto"/>
          <w:color w:val="auto"/>
        </w:rPr>
        <w:t>Other Applicable Indebtedness</w:t>
      </w:r>
      <w:r>
        <w:rPr>
          <w:rFonts w:ascii="Arial" w:cs="Arial" w:eastAsia="Arial" w:hAnsi="Arial"/>
          <w:sz w:val="16"/>
          <w:szCs w:val="16"/>
          <w:color w:val="auto"/>
        </w:rPr>
        <w:t xml:space="preserve">”) with any portion of the ECF Prepayment Amount, then the Borrower may apply such portion of the ECF Prepayment Amount on a pro rata basis (determined on the basis of the aggregate outstanding principal amount of the Loans and Other Applicable Indebtedness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portion of such ECF Prepayment Amount allocated to the Other Applicable Indebtedness shall not exceed the amount of such ECF Prepayment Amount required to be allocated to the Other Applicable Indebtedness pursuant to the terms thereof, and the remaining amount, if any, of such ECF Prepayment Amount shall be allocated to the Term Loans in accordance with the terms hereof) to the prepayment of the Term Loans and to the prepayment of Other Applicable Indebtedness, and the amount of prepayment of the Term Loans that would have otherwise been required pursuant to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shall be reduced accordingly;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the holders of Other Applicable Indebtedness decline to have such indebtedness prepaid, the declined amount shall promptly (and in any event within ten (10) Business Days after the date of such rejection) be applied to prepay the Term Loans in accordance with the terms hereof.</w:t>
      </w:r>
    </w:p>
    <w:p>
      <w:pPr>
        <w:spacing w:after="0" w:line="181" w:lineRule="exact"/>
        <w:rPr>
          <w:rFonts w:ascii="Arial" w:cs="Arial" w:eastAsia="Arial" w:hAnsi="Arial"/>
          <w:sz w:val="16"/>
          <w:szCs w:val="16"/>
          <w:color w:val="auto"/>
        </w:rPr>
      </w:pPr>
    </w:p>
    <w:p>
      <w:pPr>
        <w:jc w:val="both"/>
        <w:ind w:firstLine="1505"/>
        <w:spacing w:after="0" w:line="285" w:lineRule="auto"/>
        <w:tabs>
          <w:tab w:leader="none" w:pos="180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 later than the fifth Business Day following the receipt of Net Proceeds in respect of any Prepayment Asset Sale in excess of $35,000,000 in any Fiscal Year, the Borrower shall apply an amount equal to the Required Asset Sale Percentage of the Net Proceeds received with respect thereto in excess of such threshold (collectively, the “</w:t>
      </w:r>
      <w:r>
        <w:rPr>
          <w:rFonts w:ascii="Arial" w:cs="Arial" w:eastAsia="Arial" w:hAnsi="Arial"/>
          <w:sz w:val="16"/>
          <w:szCs w:val="16"/>
          <w:u w:val="single" w:color="auto"/>
          <w:color w:val="auto"/>
        </w:rPr>
        <w:t>Subject Proceeds</w:t>
      </w:r>
      <w:r>
        <w:rPr>
          <w:rFonts w:ascii="Arial" w:cs="Arial" w:eastAsia="Arial" w:hAnsi="Arial"/>
          <w:sz w:val="16"/>
          <w:szCs w:val="16"/>
          <w:color w:val="auto"/>
        </w:rPr>
        <w:t>”) to prepay the outstanding principal amount of Initial Term Loans and Additional Term Loans then subject to ratable prepayment requirements (the “</w:t>
      </w:r>
      <w:r>
        <w:rPr>
          <w:rFonts w:ascii="Arial" w:cs="Arial" w:eastAsia="Arial" w:hAnsi="Arial"/>
          <w:sz w:val="16"/>
          <w:szCs w:val="16"/>
          <w:u w:val="single" w:color="auto"/>
          <w:color w:val="auto"/>
        </w:rPr>
        <w:t>Subject Loans</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prior to the date any such prepayment is required to be made, the Borrower notifies the Administrative Agent of its intention to reinvest the Subject Proceeds in assets used or useful in the business (other than Cash or Cash Equivalents) of the Borrower or any of its Subsidiaries, then, the Borrower shall not be required to make a mandatory prepayment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in respect of the Subject Proceeds to the extent (x) the Subject Proceeds are so reinvested within 365 days following receipt thereof, or (y) the Borrower or any of its Subsidiaries has committed to so reinvest the Subject Proceeds during such 365-day period and the Subject Proceeds are so reinvested within 180 days after the expiration of such 365-day period; it being understood that if the Subject Proceeds have not been so reinvested prior to the expiration of the applicable period, the Borrower shall promptly prepay the Subject Loans with the amount of Subject Proceeds not so reinvested as set forth above (without regard to the immediately preceding proviso) and (B) if, at the time that any such prepayment would be required hereunder, the Borrower or any of its Restricted Subsidiaries is required to repay or repurchase any Other Applicable Indebtedness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6" w:name="page137"/>
    <w:bookmarkEnd w:id="136"/>
    <w:p>
      <w:pPr>
        <w:jc w:val="both"/>
        <w:spacing w:after="0" w:line="287" w:lineRule="auto"/>
        <w:rPr>
          <w:sz w:val="20"/>
          <w:szCs w:val="20"/>
          <w:color w:val="auto"/>
        </w:rPr>
      </w:pPr>
      <w:r>
        <w:rPr>
          <w:rFonts w:ascii="Arial" w:cs="Arial" w:eastAsia="Arial" w:hAnsi="Arial"/>
          <w:sz w:val="16"/>
          <w:szCs w:val="16"/>
          <w:color w:val="auto"/>
        </w:rPr>
        <w:t xml:space="preserve">(or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Arial" w:cs="Arial" w:eastAsia="Arial" w:hAnsi="Arial"/>
          <w:sz w:val="16"/>
          <w:szCs w:val="16"/>
          <w:u w:val="single" w:color="auto"/>
          <w:color w:val="auto"/>
        </w:rPr>
        <w:t>Section 2.11(b)(ii)</w:t>
      </w:r>
      <w:r>
        <w:rPr>
          <w:rFonts w:ascii="Arial" w:cs="Arial" w:eastAsia="Arial" w:hAnsi="Arial"/>
          <w:sz w:val="16"/>
          <w:szCs w:val="16"/>
          <w:color w:val="auto"/>
        </w:rPr>
        <w:t xml:space="preserve"> 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170" w:lineRule="exact"/>
        <w:rPr>
          <w:sz w:val="20"/>
          <w:szCs w:val="20"/>
          <w:color w:val="auto"/>
        </w:rPr>
      </w:pPr>
    </w:p>
    <w:p>
      <w:pPr>
        <w:jc w:val="both"/>
        <w:ind w:firstLine="1505"/>
        <w:spacing w:after="0" w:line="284" w:lineRule="auto"/>
        <w:tabs>
          <w:tab w:leader="none" w:pos="181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except to the extent the relevant Indebtedness constitutes (A) Refinancing Indebtedness (including Replacement Notes) incurred to refinance all or a portion of any Class of Term Loans pursuant to </w:t>
      </w:r>
      <w:r>
        <w:rPr>
          <w:rFonts w:ascii="Arial" w:cs="Arial" w:eastAsia="Arial" w:hAnsi="Arial"/>
          <w:sz w:val="16"/>
          <w:szCs w:val="16"/>
          <w:u w:val="single" w:color="auto"/>
          <w:color w:val="auto"/>
        </w:rPr>
        <w:t>Section 6.01(p)</w:t>
      </w:r>
      <w:r>
        <w:rPr>
          <w:rFonts w:ascii="Arial" w:cs="Arial" w:eastAsia="Arial" w:hAnsi="Arial"/>
          <w:sz w:val="16"/>
          <w:szCs w:val="16"/>
          <w:color w:val="auto"/>
        </w:rPr>
        <w:t xml:space="preserve">, (B) Incremental Loans incurred to refinance all or a portion of any Class of Term Loans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 xml:space="preserve">, (C) Replacement Term Loans incurred to refinance all or any portion of any Class of Term Loans in accordance with the requirements of </w:t>
      </w:r>
      <w:r>
        <w:rPr>
          <w:rFonts w:ascii="Arial" w:cs="Arial" w:eastAsia="Arial" w:hAnsi="Arial"/>
          <w:sz w:val="16"/>
          <w:szCs w:val="16"/>
          <w:u w:val="single" w:color="auto"/>
          <w:color w:val="auto"/>
        </w:rPr>
        <w:t>Section</w:t>
      </w:r>
    </w:p>
    <w:p>
      <w:pPr>
        <w:jc w:val="both"/>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9.02(c)</w:t>
      </w:r>
      <w:r>
        <w:rPr>
          <w:rFonts w:ascii="Arial" w:cs="Arial" w:eastAsia="Arial" w:hAnsi="Arial"/>
          <w:sz w:val="18"/>
          <w:szCs w:val="18"/>
          <w:color w:val="auto"/>
        </w:rPr>
        <w:t xml:space="preserve"> and/or (D) Incremental Equivalent Debt incurred to finance all or a portion of the Loans in accordance with the requirements of </w:t>
      </w:r>
      <w:r>
        <w:rPr>
          <w:rFonts w:ascii="Arial" w:cs="Arial" w:eastAsia="Arial" w:hAnsi="Arial"/>
          <w:sz w:val="18"/>
          <w:szCs w:val="18"/>
          <w:u w:val="single" w:color="auto"/>
          <w:color w:val="auto"/>
        </w:rPr>
        <w:t>Section 6.01(z)</w:t>
      </w:r>
      <w:r>
        <w:rPr>
          <w:rFonts w:ascii="Arial" w:cs="Arial" w:eastAsia="Arial" w:hAnsi="Arial"/>
          <w:sz w:val="18"/>
          <w:szCs w:val="18"/>
          <w:color w:val="auto"/>
        </w:rPr>
        <w:t xml:space="preserve">, in each case to the extent required by the terms thereof to prepay or offer to prepay such Indebtedness), the Borrower shall, promptly upon (and in any event not later than two Business Days thereafter) the receipt thereof of such Net Proceeds by the Borrower or its applicable Restricted Subsidiary, apply an amount equal to 100% of such Net Proceeds to prepay the outstanding principal amount of the relevant Class or Classes of Term Loans in accordance with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below.</w:t>
      </w:r>
    </w:p>
    <w:p>
      <w:pPr>
        <w:spacing w:after="0" w:line="192" w:lineRule="exact"/>
        <w:rPr>
          <w:rFonts w:ascii="Arial" w:cs="Arial" w:eastAsia="Arial" w:hAnsi="Arial"/>
          <w:sz w:val="16"/>
          <w:szCs w:val="16"/>
          <w:color w:val="auto"/>
        </w:rPr>
      </w:pPr>
    </w:p>
    <w:p>
      <w:pPr>
        <w:ind w:left="1800" w:hanging="295"/>
        <w:spacing w:after="0"/>
        <w:tabs>
          <w:tab w:leader="none" w:pos="1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to the contrary:</w:t>
      </w:r>
    </w:p>
    <w:p>
      <w:pPr>
        <w:spacing w:after="0" w:line="222" w:lineRule="exact"/>
        <w:rPr>
          <w:rFonts w:ascii="Arial" w:cs="Arial" w:eastAsia="Arial" w:hAnsi="Arial"/>
          <w:sz w:val="18"/>
          <w:szCs w:val="18"/>
          <w:color w:val="auto"/>
        </w:rPr>
      </w:pPr>
    </w:p>
    <w:p>
      <w:pPr>
        <w:jc w:val="both"/>
        <w:ind w:left="760" w:firstLine="1494"/>
        <w:spacing w:after="0" w:line="284" w:lineRule="auto"/>
        <w:tabs>
          <w:tab w:leader="none" w:pos="255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prepay any amount that would otherwise be required to be paid pursuant to </w:t>
      </w:r>
      <w:r>
        <w:rPr>
          <w:rFonts w:ascii="Arial" w:cs="Arial" w:eastAsia="Arial" w:hAnsi="Arial"/>
          <w:sz w:val="16"/>
          <w:szCs w:val="16"/>
          <w:u w:val="single" w:color="auto"/>
          <w:color w:val="auto"/>
        </w:rPr>
        <w:t>Sections 2.11(b)(i)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to the extent that the relevant Excess Cash Flow is generated by any Foreign Subsidiary, the relevant Prepayment Asset Sale is consummated by any Foreign Subsidiary, as the case may be, for so long as the repatriation to the Borrower of any such amount would be prohibited or delayed under any Requirement of Law or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(it being agreed that, solely within 365 days following the end of the applicable Excess Cash Flow Period or the event giving rise to the relevant Subject Proceeds, the Borrower shall take all commercially reasonable actions required by applicable Requirements of Law to permit such repatriation) (it being understood that if the repatriation of the relevant affected Excess Cash Flow or Subject Proceeds, as the case may be, is permitted under the applicable Requirement of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or the event giving rise to the relevant Subject Proceeds, the relevant Foreign Subsidiary will promptly repatriate the relevant Excess Cash Flow or Subject Proceeds, as the case may be, and the repatriated Excess Cash Flow or Subject Proceeds, as the case may be, will be promptly (and in any event not later than two Business Days after such repatriation) applied (net of additional Taxes payable or reserved against as a result thereof) to the repayment of the Term Loans pursuant to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to the extent required herein (without regard to this </w:t>
      </w:r>
      <w:r>
        <w:rPr>
          <w:rFonts w:ascii="Arial" w:cs="Arial" w:eastAsia="Arial" w:hAnsi="Arial"/>
          <w:sz w:val="16"/>
          <w:szCs w:val="16"/>
          <w:u w:val="single" w:color="auto"/>
          <w:color w:val="auto"/>
        </w:rPr>
        <w:t>clause (iv)</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jc w:val="both"/>
        <w:ind w:left="760" w:firstLine="1494"/>
        <w:spacing w:after="0" w:line="277" w:lineRule="auto"/>
        <w:tabs>
          <w:tab w:leader="none" w:pos="255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the Borrower shall not be required to prepay any amount that would otherwise be required to be paid pursuant to </w:t>
      </w:r>
      <w:r>
        <w:rPr>
          <w:rFonts w:ascii="Arial" w:cs="Arial" w:eastAsia="Arial" w:hAnsi="Arial"/>
          <w:sz w:val="17"/>
          <w:szCs w:val="17"/>
          <w:u w:val="single" w:color="auto"/>
          <w:color w:val="auto"/>
        </w:rPr>
        <w:t>Sections 2.11(b)(i)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to the extent that the relevant Excess Cash Flow is generated by any joint venture or the relevant Subject Proceeds are received by any joint venture, in each case, for so long as the distribution to the Borrower of such Excess Cash Flow or Subject Proceeds would be prohibited under the Organizational Documents governing such joint venture; it being understood that if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7" w:name="page138"/>
    <w:bookmarkEnd w:id="137"/>
    <w:p>
      <w:pPr>
        <w:jc w:val="both"/>
        <w:ind w:left="760"/>
        <w:spacing w:after="0" w:line="255" w:lineRule="auto"/>
        <w:rPr>
          <w:sz w:val="20"/>
          <w:szCs w:val="20"/>
          <w:color w:val="auto"/>
        </w:rPr>
      </w:pPr>
      <w:r>
        <w:rPr>
          <w:rFonts w:ascii="Arial" w:cs="Arial" w:eastAsia="Arial" w:hAnsi="Arial"/>
          <w:sz w:val="18"/>
          <w:szCs w:val="18"/>
          <w:color w:val="auto"/>
        </w:rPr>
        <w:t xml:space="preserve">relevant prohibition ceases to exist within the 365-day period following the end of the applicable Excess Cash Flow Period or the event giving rise to the relevant Subject Proceeds, the relevant joint venture will promptly distribute the relevant Excess Cash Flow or the relevant Subject Proceeds, as the case may be, and the distributed Excess Cash Flow or Subject Proceeds, as the case may be, will be promptly (and in any event not later than two Business Days after such distribution) applied to the repayment of the Term Loans pursuant to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to the extent required herein (without regard to this </w:t>
      </w:r>
      <w:r>
        <w:rPr>
          <w:rFonts w:ascii="Arial" w:cs="Arial" w:eastAsia="Arial" w:hAnsi="Arial"/>
          <w:sz w:val="18"/>
          <w:szCs w:val="18"/>
          <w:u w:val="single" w:color="auto"/>
          <w:color w:val="auto"/>
        </w:rPr>
        <w:t>clause (iv)</w:t>
      </w:r>
      <w:r>
        <w:rPr>
          <w:rFonts w:ascii="Arial" w:cs="Arial" w:eastAsia="Arial" w:hAnsi="Arial"/>
          <w:sz w:val="18"/>
          <w:szCs w:val="18"/>
          <w:color w:val="auto"/>
        </w:rPr>
        <w:t>), and</w:t>
      </w:r>
    </w:p>
    <w:p>
      <w:pPr>
        <w:spacing w:after="0" w:line="190" w:lineRule="exact"/>
        <w:rPr>
          <w:sz w:val="20"/>
          <w:szCs w:val="20"/>
          <w:color w:val="auto"/>
        </w:rPr>
      </w:pPr>
    </w:p>
    <w:p>
      <w:pPr>
        <w:jc w:val="both"/>
        <w:ind w:left="760" w:firstLine="1494"/>
        <w:spacing w:after="0" w:line="268" w:lineRule="auto"/>
        <w:tabs>
          <w:tab w:leader="none" w:pos="255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if the Borrower determines in good faith that the repatriation (or other intercompany distribution) to the Borrower, directly or indirectly, from a Foreign Subsidiary as a distribution or dividend of any amounts required to mandatorily prepay the Term Loans pursuant to </w:t>
      </w:r>
      <w:r>
        <w:rPr>
          <w:rFonts w:ascii="Arial" w:cs="Arial" w:eastAsia="Arial" w:hAnsi="Arial"/>
          <w:sz w:val="17"/>
          <w:szCs w:val="17"/>
          <w:u w:val="single" w:color="auto"/>
          <w:color w:val="auto"/>
        </w:rPr>
        <w:t>Sections 2.11(b)(i)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would result in a material and adverse Tax liability (including any withholding Tax) (the amount attributable to such Foreign Subsidiary, a “</w:t>
      </w:r>
      <w:r>
        <w:rPr>
          <w:rFonts w:ascii="Arial" w:cs="Arial" w:eastAsia="Arial" w:hAnsi="Arial"/>
          <w:sz w:val="17"/>
          <w:szCs w:val="17"/>
          <w:u w:val="single" w:color="auto"/>
          <w:color w:val="auto"/>
        </w:rPr>
        <w:t>Restricted Amount</w:t>
      </w:r>
      <w:r>
        <w:rPr>
          <w:rFonts w:ascii="Arial" w:cs="Arial" w:eastAsia="Arial" w:hAnsi="Arial"/>
          <w:sz w:val="17"/>
          <w:szCs w:val="17"/>
          <w:color w:val="auto"/>
        </w:rPr>
        <w:t xml:space="preserve">”), the amount that the Borrower shall be required to mandatorily prepay pursuant to </w:t>
      </w:r>
      <w:r>
        <w:rPr>
          <w:rFonts w:ascii="Arial" w:cs="Arial" w:eastAsia="Arial" w:hAnsi="Arial"/>
          <w:sz w:val="17"/>
          <w:szCs w:val="17"/>
          <w:u w:val="single" w:color="auto"/>
          <w:color w:val="auto"/>
        </w:rPr>
        <w:t>Sections 2.11(b)(i)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applicable, shall be reduced by the Restricted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repatriation (or other intercompany distribution) of the relevant Subject Proceeds or Excess Cash Flow, directly or indirectly, from the relevant Foreign Subsidiary would no longer have a material adverse tax consequence within the 365-day period following the event giving rise to the relevant Subject Proceeds or the end of the applicable Excess Cash Flow Period, as the case may be, an amount equal to the Subject Proceeds or Excess Cash Flow, as applicable and to the extent available, not previously applied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shall be promptly applied to the repayment of the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as otherwise required above;</w:t>
      </w:r>
    </w:p>
    <w:p>
      <w:pPr>
        <w:spacing w:after="0" w:line="182" w:lineRule="exact"/>
        <w:rPr>
          <w:rFonts w:ascii="Arial" w:cs="Arial" w:eastAsia="Arial" w:hAnsi="Arial"/>
          <w:sz w:val="17"/>
          <w:szCs w:val="17"/>
          <w:color w:val="auto"/>
        </w:rPr>
      </w:pPr>
    </w:p>
    <w:p>
      <w:pPr>
        <w:jc w:val="both"/>
        <w:ind w:firstLine="1505"/>
        <w:spacing w:after="0" w:line="268" w:lineRule="auto"/>
        <w:tabs>
          <w:tab w:leader="none" w:pos="181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Any Term Lender may elect, by notice to the Administrative Agent at or prior to the time and in the manner specified by the Administrative Agent, prior to any prepayment of Term Loans required to be made by the Borrower pursuant to this </w:t>
      </w:r>
      <w:r>
        <w:rPr>
          <w:rFonts w:ascii="Arial" w:cs="Arial" w:eastAsia="Arial" w:hAnsi="Arial"/>
          <w:sz w:val="17"/>
          <w:szCs w:val="17"/>
          <w:u w:val="single" w:color="auto"/>
          <w:color w:val="auto"/>
        </w:rPr>
        <w:t>Section 2.11(b)</w:t>
      </w:r>
      <w:r>
        <w:rPr>
          <w:rFonts w:ascii="Arial" w:cs="Arial" w:eastAsia="Arial" w:hAnsi="Arial"/>
          <w:sz w:val="17"/>
          <w:szCs w:val="17"/>
          <w:color w:val="auto"/>
        </w:rPr>
        <w:t>, to decline all (but not a portion) of its Applicable Percentage of such prepayment (such declined amounts, the “</w:t>
      </w:r>
      <w:r>
        <w:rPr>
          <w:rFonts w:ascii="Arial" w:cs="Arial" w:eastAsia="Arial" w:hAnsi="Arial"/>
          <w:sz w:val="17"/>
          <w:szCs w:val="17"/>
          <w:u w:val="single" w:color="auto"/>
          <w:color w:val="auto"/>
        </w:rPr>
        <w:t>Declined Proceeds</w:t>
      </w:r>
      <w:r>
        <w:rPr>
          <w:rFonts w:ascii="Arial" w:cs="Arial" w:eastAsia="Arial" w:hAnsi="Arial"/>
          <w:sz w:val="17"/>
          <w:szCs w:val="17"/>
          <w:color w:val="auto"/>
        </w:rPr>
        <w:t xml:space="preserve">”), in which case such Declined Proceeds may be retained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for the avoidance of doubt, no Lender may reject any prepayment made under </w:t>
      </w:r>
      <w:r>
        <w:rPr>
          <w:rFonts w:ascii="Arial" w:cs="Arial" w:eastAsia="Arial" w:hAnsi="Arial"/>
          <w:sz w:val="17"/>
          <w:szCs w:val="17"/>
          <w:u w:val="single" w:color="auto"/>
          <w:color w:val="auto"/>
        </w:rPr>
        <w:t>Section 2.11(b)(iii)</w:t>
      </w:r>
      <w:r>
        <w:rPr>
          <w:rFonts w:ascii="Arial" w:cs="Arial" w:eastAsia="Arial" w:hAnsi="Arial"/>
          <w:sz w:val="17"/>
          <w:szCs w:val="17"/>
          <w:color w:val="auto"/>
        </w:rPr>
        <w:t xml:space="preserve"> above to the extent that such prepayment is made with the Net Proceeds of (w) Refinancing Indebtedness (including Replacement Notes) incurred to refinance all or a portion of the Term Loans pursuant to </w:t>
      </w:r>
      <w:r>
        <w:rPr>
          <w:rFonts w:ascii="Arial" w:cs="Arial" w:eastAsia="Arial" w:hAnsi="Arial"/>
          <w:sz w:val="17"/>
          <w:szCs w:val="17"/>
          <w:u w:val="single" w:color="auto"/>
          <w:color w:val="auto"/>
        </w:rPr>
        <w:t>Section 6.01(p)</w:t>
      </w:r>
      <w:r>
        <w:rPr>
          <w:rFonts w:ascii="Arial" w:cs="Arial" w:eastAsia="Arial" w:hAnsi="Arial"/>
          <w:sz w:val="17"/>
          <w:szCs w:val="17"/>
          <w:color w:val="auto"/>
        </w:rPr>
        <w:t xml:space="preserve">, (x) Incremental Loans incurred to refinance all or a portion of the Term Loans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(y) Replacement Term Loans incurred to refinance all or any portion of the Term Loans in accordance with the requirements of </w:t>
      </w:r>
      <w:r>
        <w:rPr>
          <w:rFonts w:ascii="Arial" w:cs="Arial" w:eastAsia="Arial" w:hAnsi="Arial"/>
          <w:sz w:val="17"/>
          <w:szCs w:val="17"/>
          <w:u w:val="single" w:color="auto"/>
          <w:color w:val="auto"/>
        </w:rPr>
        <w:t>Section 9.02(c)</w:t>
      </w:r>
      <w:r>
        <w:rPr>
          <w:rFonts w:ascii="Arial" w:cs="Arial" w:eastAsia="Arial" w:hAnsi="Arial"/>
          <w:sz w:val="17"/>
          <w:szCs w:val="17"/>
          <w:color w:val="auto"/>
        </w:rPr>
        <w:t xml:space="preserve">, and/or (z) Incremental Equivalent Debt incurred to finance all or a portion of the Loans in accordance with the requirements of </w:t>
      </w:r>
      <w:r>
        <w:rPr>
          <w:rFonts w:ascii="Arial" w:cs="Arial" w:eastAsia="Arial" w:hAnsi="Arial"/>
          <w:sz w:val="17"/>
          <w:szCs w:val="17"/>
          <w:u w:val="single" w:color="auto"/>
          <w:color w:val="auto"/>
        </w:rPr>
        <w:t>Section 6.01(z)</w:t>
      </w:r>
      <w:r>
        <w:rPr>
          <w:rFonts w:ascii="Arial" w:cs="Arial" w:eastAsia="Arial" w:hAnsi="Arial"/>
          <w:sz w:val="17"/>
          <w:szCs w:val="17"/>
          <w:color w:val="auto"/>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78" w:lineRule="exact"/>
        <w:rPr>
          <w:rFonts w:ascii="Arial" w:cs="Arial" w:eastAsia="Arial" w:hAnsi="Arial"/>
          <w:sz w:val="17"/>
          <w:szCs w:val="17"/>
          <w:color w:val="auto"/>
        </w:rPr>
      </w:pPr>
    </w:p>
    <w:p>
      <w:pPr>
        <w:jc w:val="both"/>
        <w:ind w:firstLine="1505"/>
        <w:spacing w:after="0" w:line="284" w:lineRule="auto"/>
        <w:tabs>
          <w:tab w:leader="none" w:pos="179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as otherwise contemplated by this Agreement or provided in, or intended with respect to, any Refinancing Amendment, any Incremental Facility Amendment or any Extension Amendment or the definitive documentation governing any Replacement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Refinancing Amendment, Incremental Facility Amendment or Extension Amendment may not provide that the applicable Class of Term Loans receive a greater than pro rata portion of mandatory prepayments of Term Loans pursuant to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than would otherwise be permitted by this Agreement), in each case effectuated or issued in a manner consistent with this Agreement, each mandatory prepayment of Term Loans pursuant to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shall be applied ratably to each Class and Type of Term Loans then outstanding which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Initial Term Loans in right of payment and with respect to security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Term Loans with the Net Proceeds of any Refinancing Indebtedness, Incremental Term Facility or Replacement Term Loans shall be applied to the applicable Class and Type of Term Loans being refinanced or replaced). With respect to each relevant Class and Type of Term Loans, all accepted prepayments under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shall be applied against the remaining scheduled installments of principal due in respect of such Term Loans as directed by the Borrower (or, in the absence of direction from the Borrower, to the remaining scheduled amortization payments in respect of such Term Loans in direct order of maturity), and each such prepayment shall be paid to the Term Lenders in accordance with their respective Applicable Percentage of the applicable Class. If no Lenders exercise the right to waive a prepayment of the Term Loans pursuant to </w:t>
      </w:r>
      <w:r>
        <w:rPr>
          <w:rFonts w:ascii="Arial" w:cs="Arial" w:eastAsia="Arial" w:hAnsi="Arial"/>
          <w:sz w:val="16"/>
          <w:szCs w:val="16"/>
          <w:u w:val="single" w:color="auto"/>
          <w:color w:val="auto"/>
        </w:rPr>
        <w:t>Section 2.11(b)(v)</w:t>
      </w:r>
      <w:r>
        <w:rPr>
          <w:rFonts w:ascii="Arial" w:cs="Arial" w:eastAsia="Arial" w:hAnsi="Arial"/>
          <w:sz w:val="16"/>
          <w:szCs w:val="16"/>
          <w:color w:val="auto"/>
        </w:rPr>
        <w:t xml:space="preserve">, the amount of such mandatory prepayments shall be applied first to the then outstanding Term Loans that are ABR Loans to the full extent thereof and then to the then outstanding Term Loans that are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Loans in a manner that minimizes the amount of any payments required to be made by the Borrower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8" w:name="page139"/>
    <w:bookmarkEnd w:id="138"/>
    <w:p>
      <w:pPr>
        <w:jc w:val="both"/>
        <w:ind w:firstLine="1505"/>
        <w:spacing w:after="0" w:line="253" w:lineRule="auto"/>
        <w:tabs>
          <w:tab w:leader="none" w:pos="21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In the event that the Revolving Credit Exposure of any Class exceeds the amount of the Revolving Credit Commitment of such Class then in effect, the Borrower shall, within five Business Days of receipt of notice from the Administrative Agent, prepay the Revolving Loans or Swingline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(x) prepaying Revolving Loans or Swingline Loans or (y) with respect to any excess LC Exposure, depositing Cash in a Cash collateral account established for the benefit of the relevant Issuing Bank or “backstopping” or replacing the relevant Letters of Credit, in each case, in an amount equal to 100% of such excess LC Exposure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amount then on deposit in any Cash collateral account established for the benefit of the relevant Issuing Bank).</w:t>
      </w:r>
    </w:p>
    <w:p>
      <w:pPr>
        <w:spacing w:after="0" w:line="189" w:lineRule="exact"/>
        <w:rPr>
          <w:rFonts w:ascii="Arial" w:cs="Arial" w:eastAsia="Arial" w:hAnsi="Arial"/>
          <w:sz w:val="18"/>
          <w:szCs w:val="18"/>
          <w:color w:val="auto"/>
        </w:rPr>
      </w:pPr>
    </w:p>
    <w:p>
      <w:pPr>
        <w:ind w:left="760" w:firstLine="1494"/>
        <w:spacing w:after="0" w:line="275" w:lineRule="auto"/>
        <w:tabs>
          <w:tab w:leader="none" w:pos="258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Each prepayment of any Revolving Loan Borrowing under this </w:t>
      </w:r>
      <w:r>
        <w:rPr>
          <w:rFonts w:ascii="Arial" w:cs="Arial" w:eastAsia="Arial" w:hAnsi="Arial"/>
          <w:sz w:val="18"/>
          <w:szCs w:val="18"/>
          <w:u w:val="single" w:color="auto"/>
          <w:color w:val="auto"/>
        </w:rPr>
        <w:t>Section 2.11(b)(vii)</w:t>
      </w:r>
      <w:r>
        <w:rPr>
          <w:rFonts w:ascii="Arial" w:cs="Arial" w:eastAsia="Arial" w:hAnsi="Arial"/>
          <w:sz w:val="18"/>
          <w:szCs w:val="18"/>
          <w:color w:val="auto"/>
        </w:rPr>
        <w:t xml:space="preserve"> shall be paid to the Revolving Lenders in accordance with their respective Applicable Percentages of the applicable Class.</w:t>
      </w:r>
    </w:p>
    <w:p>
      <w:pPr>
        <w:spacing w:after="0" w:line="170" w:lineRule="exact"/>
        <w:rPr>
          <w:rFonts w:ascii="Arial" w:cs="Arial" w:eastAsia="Arial" w:hAnsi="Arial"/>
          <w:sz w:val="18"/>
          <w:szCs w:val="18"/>
          <w:color w:val="auto"/>
        </w:rPr>
      </w:pPr>
    </w:p>
    <w:p>
      <w:pPr>
        <w:jc w:val="both"/>
        <w:ind w:firstLine="1505"/>
        <w:spacing w:after="0" w:line="262" w:lineRule="auto"/>
        <w:tabs>
          <w:tab w:leader="none" w:pos="216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Prepayments made under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be (A) accompanied by accrued interest as required by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(C) in the case of prepayments of Initial Term Loans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as part of a Repricing Transaction, subject to </w:t>
      </w:r>
      <w:r>
        <w:rPr>
          <w:rFonts w:ascii="Arial" w:cs="Arial" w:eastAsia="Arial" w:hAnsi="Arial"/>
          <w:sz w:val="18"/>
          <w:szCs w:val="18"/>
          <w:u w:val="single" w:color="auto"/>
          <w:color w:val="auto"/>
        </w:rPr>
        <w:t>Section 2.12(f)</w:t>
      </w:r>
      <w:r>
        <w:rPr>
          <w:rFonts w:ascii="Arial" w:cs="Arial" w:eastAsia="Arial" w:hAnsi="Arial"/>
          <w:sz w:val="18"/>
          <w:szCs w:val="18"/>
          <w:color w:val="auto"/>
        </w:rPr>
        <w:t>, but shall otherwise be without premium or penalty.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2.12.Fees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7" w:lineRule="auto"/>
        <w:tabs>
          <w:tab w:leader="none" w:pos="101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average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the last Business Day of each March, June, September and December (commencing with the Fiscal Quarter ending September 30, 2021) for the quarterly period then ended (or, in the case of the payment made on September 30, 2021, for the period from the Closing Date to such date), and on the date on which the Revolving Credit Commitments of the applicable Class terminate. For purposes of calculating the commitment fee only, the Revolving Credit Commitment of any Class of any Revolving Lender shall be deemed to be used to the extent of Revolving Loans of such Class of such Revolving Lender and the LC Exposure of such Revolving Lender attributable to its Revolving Credit Commitment of such Class and no portion of the Revolving Credit Commitment of any Class shall be deemed used as a result of outstanding Swingline Loans.</w:t>
      </w:r>
    </w:p>
    <w:p>
      <w:pPr>
        <w:spacing w:after="0" w:line="164" w:lineRule="exact"/>
        <w:rPr>
          <w:rFonts w:ascii="Arial" w:cs="Arial" w:eastAsia="Arial" w:hAnsi="Arial"/>
          <w:sz w:val="16"/>
          <w:szCs w:val="16"/>
          <w:color w:val="auto"/>
        </w:rPr>
      </w:pPr>
    </w:p>
    <w:p>
      <w:pPr>
        <w:jc w:val="both"/>
        <w:ind w:firstLine="756"/>
        <w:spacing w:after="0" w:line="266" w:lineRule="auto"/>
        <w:tabs>
          <w:tab w:leader="none" w:pos="101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Revolving Lender of any Class a participation fee with respect to its participations in Letters of Credit, which shall accrue at the Applicable Rate used to determine the interest rate applicable to Revolving Loans of such Class that are LIBO Rate </w:t>
      </w:r>
      <w:r>
        <w:rPr>
          <w:rFonts w:ascii="Arial" w:cs="Arial" w:eastAsia="Arial" w:hAnsi="Arial"/>
          <w:sz w:val="17"/>
          <w:szCs w:val="17"/>
          <w:u w:val="single" w:color="auto"/>
          <w:color w:val="0000FF"/>
        </w:rPr>
        <w:t>Loans or Term SOFR</w:t>
      </w:r>
      <w:r>
        <w:rPr>
          <w:rFonts w:ascii="Arial" w:cs="Arial" w:eastAsia="Arial" w:hAnsi="Arial"/>
          <w:sz w:val="17"/>
          <w:szCs w:val="17"/>
          <w:color w:val="auto"/>
        </w:rPr>
        <w:t xml:space="preserve"> Loans</w:t>
      </w:r>
      <w:r>
        <w:rPr>
          <w:rFonts w:ascii="Arial" w:cs="Arial" w:eastAsia="Arial" w:hAnsi="Arial"/>
          <w:sz w:val="17"/>
          <w:szCs w:val="17"/>
          <w:u w:val="single" w:color="auto"/>
          <w:color w:val="0000FF"/>
        </w:rPr>
        <w:t>, as applicable</w:t>
      </w:r>
      <w:r>
        <w:rPr>
          <w:rFonts w:ascii="Arial" w:cs="Arial" w:eastAsia="Arial" w:hAnsi="Arial"/>
          <w:sz w:val="17"/>
          <w:szCs w:val="17"/>
          <w:color w:val="auto"/>
        </w:rPr>
        <w:t xml:space="preserve"> (or, with respect to Letters of Credit denominated in British Pounds Sterling, RFR Loans)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on the daily face amount of such Lender’s LC Exposure attributable to its Revolving Credit Commitment of such Class (excluding any portion thereof that is attributable to unreimbursed LC Disbursements), during the period from and including the Closing Date to the earlier of (A) the later of the date on which such Revolving Lender’s Revolving Credit Commitment of such Class terminates and the date on which such Revolving Lender ceases to have any LC Exposure attributable to its Revolving Credit Commitment of such Class and (B) the Termination Date, and (ii) to each Issuing Bank, for its own account, a fronting fee, in respect of each Letter of Credit issued by such Issuing Bank for the period from the date of issuance of such Letter of Credit to the earlier of (A) the expiration date of such Letter of Credit, (B) the date on which such Letter of Credit terminates or (C) the Termination Date, computed at a rate equal to the rate agreed by such Issuing Bank and the Borrower (but in any event not to exceed 0.125% per annum) of the daily face amount of such Letter of Credit, as well as such Issuing Bank’s standard fees with respect to the issuance, amendment, renewal or extension of any Letter of Credit or processing of drawings thereunder. Participation fees and fronting fees shall accrue to but excluding the last Business Day of each March, June, September and December and be payable in arrears for the quarterly period then ended (or, in the case of the payment made on September 30, 2021, for the period from the Closing Date to such date) on the last Business Day of each March, June, September and December (commencing, if applicable, September 30, 2021);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Credit Commitments of the applicable Class terminate, and any such fees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39" w:name="page140"/>
    <w:bookmarkEnd w:id="139"/>
    <w:p>
      <w:pPr>
        <w:jc w:val="both"/>
        <w:spacing w:after="0" w:line="262" w:lineRule="auto"/>
        <w:rPr>
          <w:sz w:val="20"/>
          <w:szCs w:val="20"/>
          <w:color w:val="auto"/>
        </w:rPr>
      </w:pPr>
      <w:r>
        <w:rPr>
          <w:rFonts w:ascii="Arial" w:cs="Arial" w:eastAsia="Arial" w:hAnsi="Arial"/>
          <w:sz w:val="18"/>
          <w:szCs w:val="18"/>
          <w:color w:val="auto"/>
        </w:rPr>
        <w:t>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82" w:lineRule="exact"/>
        <w:rPr>
          <w:sz w:val="20"/>
          <w:szCs w:val="20"/>
          <w:color w:val="auto"/>
        </w:rPr>
      </w:pPr>
    </w:p>
    <w:p>
      <w:pPr>
        <w:ind w:left="1020" w:hanging="264"/>
        <w:spacing w:after="0"/>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ind w:left="1020" w:hanging="264"/>
        <w:spacing w:after="0"/>
        <w:tabs>
          <w:tab w:leader="none" w:pos="10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its own account, the annual administration fee described in the Fee Letter.</w:t>
      </w:r>
    </w:p>
    <w:p>
      <w:pPr>
        <w:spacing w:after="0" w:line="234" w:lineRule="exact"/>
        <w:rPr>
          <w:rFonts w:ascii="Arial" w:cs="Arial" w:eastAsia="Arial" w:hAnsi="Arial"/>
          <w:sz w:val="17"/>
          <w:szCs w:val="17"/>
          <w:color w:val="auto"/>
        </w:rPr>
      </w:pPr>
    </w:p>
    <w:p>
      <w:pPr>
        <w:jc w:val="both"/>
        <w:ind w:firstLine="756"/>
        <w:spacing w:after="0" w:line="258" w:lineRule="auto"/>
        <w:tabs>
          <w:tab w:leader="none" w:pos="10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in immediately available funds, to the Administrative Agent (or to the applicable Issuing Bank, in the case of fees payable to any Issuing Bank). Fees paid shall not be refundable under any circumstances except as otherwise provided in the Fee Letter. Fees payable hereunder shall accrue through and including the last day of the month immediately preceding the applicable fee payment date.</w:t>
      </w:r>
    </w:p>
    <w:p>
      <w:pPr>
        <w:spacing w:after="0" w:line="184" w:lineRule="exact"/>
        <w:rPr>
          <w:rFonts w:ascii="Arial" w:cs="Arial" w:eastAsia="Arial" w:hAnsi="Arial"/>
          <w:sz w:val="18"/>
          <w:szCs w:val="18"/>
          <w:color w:val="auto"/>
        </w:rPr>
      </w:pPr>
    </w:p>
    <w:p>
      <w:pPr>
        <w:jc w:val="both"/>
        <w:ind w:firstLine="756"/>
        <w:spacing w:after="0" w:line="267" w:lineRule="auto"/>
        <w:tabs>
          <w:tab w:leader="none" w:pos="101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In the event that, on or prior to the date that is six months after the Closing Date, the Borrower (i) prepays, repays, refinances, substitutes or replaces any Initial Term Loans in connection with a Repricing Transaction (including, for the avoidance of doubt, any prepayment made pursuant to </w:t>
      </w:r>
      <w:r>
        <w:rPr>
          <w:rFonts w:ascii="Arial" w:cs="Arial" w:eastAsia="Arial" w:hAnsi="Arial"/>
          <w:sz w:val="17"/>
          <w:szCs w:val="17"/>
          <w:u w:val="single" w:color="auto"/>
          <w:color w:val="auto"/>
        </w:rPr>
        <w:t>Section 2.11(b)(iii)</w:t>
      </w:r>
      <w:r>
        <w:rPr>
          <w:rFonts w:ascii="Arial" w:cs="Arial" w:eastAsia="Arial" w:hAnsi="Arial"/>
          <w:sz w:val="17"/>
          <w:szCs w:val="17"/>
          <w:color w:val="auto"/>
        </w:rPr>
        <w:t xml:space="preserve"> that constitutes a Repricing Transaction), or (ii) effects any amendment, modification or waiver of, or consent under, this Agreement resulting in a Repricing Transaction, the Borrower shall pay to the Administrative Agent, for the ratable account of each of the applicable Initial Term Lenders, (A)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 premium of 1.00% of the aggregate principal amount of the Initial Term Loans so prepaid, repaid, refinanced, substituted or replaced and (B)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 fee equal to 1.00% of the aggregate principal amount of the Initial Term Loans that are the subject of such Repricing Transaction outstanding immediately prior to such amendment. If, on or prior to the date that is six months after the Closing Date, all or any portion of the Initial Term Loans held by any Term Lender are prepaid, repaid, refinanced, substituted or replaced pursuant to </w:t>
      </w:r>
      <w:r>
        <w:rPr>
          <w:rFonts w:ascii="Arial" w:cs="Arial" w:eastAsia="Arial" w:hAnsi="Arial"/>
          <w:sz w:val="17"/>
          <w:szCs w:val="17"/>
          <w:u w:val="single" w:color="auto"/>
          <w:color w:val="auto"/>
        </w:rPr>
        <w:t>Section 2.19(b)(iv)</w:t>
      </w:r>
      <w:r>
        <w:rPr>
          <w:rFonts w:ascii="Arial" w:cs="Arial" w:eastAsia="Arial" w:hAnsi="Arial"/>
          <w:sz w:val="17"/>
          <w:szCs w:val="17"/>
          <w:color w:val="auto"/>
        </w:rPr>
        <w:t xml:space="preserve"> as a result of, or in connection with, such Term Lender not agreeing or otherwise consenting to any waiver, consent, modification or amendment referred to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w:t>
      </w:r>
    </w:p>
    <w:p>
      <w:pPr>
        <w:spacing w:after="0" w:line="185" w:lineRule="exact"/>
        <w:rPr>
          <w:rFonts w:ascii="Arial" w:cs="Arial" w:eastAsia="Arial" w:hAnsi="Arial"/>
          <w:sz w:val="17"/>
          <w:szCs w:val="17"/>
          <w:color w:val="auto"/>
        </w:rPr>
      </w:pPr>
    </w:p>
    <w:p>
      <w:pPr>
        <w:jc w:val="both"/>
        <w:ind w:firstLine="756"/>
        <w:spacing w:after="0" w:line="262" w:lineRule="auto"/>
        <w:tabs>
          <w:tab w:leader="none" w:pos="10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a fee hereunder shall be conclusive and binding for all purposes, absent manifest error.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2.13.Interest</w:t>
      </w:r>
      <w:r>
        <w:rPr>
          <w:rFonts w:ascii="Arial" w:cs="Arial" w:eastAsia="Arial" w:hAnsi="Arial"/>
          <w:sz w:val="18"/>
          <w:szCs w:val="18"/>
          <w:color w:val="auto"/>
        </w:rPr>
        <w:t>.</w:t>
      </w:r>
    </w:p>
    <w:p>
      <w:pPr>
        <w:spacing w:after="0" w:line="223" w:lineRule="exact"/>
        <w:rPr>
          <w:sz w:val="20"/>
          <w:szCs w:val="20"/>
          <w:color w:val="auto"/>
        </w:rPr>
      </w:pPr>
    </w:p>
    <w:p>
      <w:pPr>
        <w:ind w:firstLine="756"/>
        <w:spacing w:after="0" w:line="275" w:lineRule="auto"/>
        <w:tabs>
          <w:tab w:leader="none" w:pos="101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Term Loans, Revolving Loans and Swingline Loans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firstLine="756"/>
        <w:spacing w:after="0" w:line="275" w:lineRule="auto"/>
        <w:tabs>
          <w:tab w:leader="none" w:pos="101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Term Loans and </w:t>
      </w:r>
      <w:r>
        <w:rPr>
          <w:rFonts w:ascii="Arial" w:cs="Arial" w:eastAsia="Arial" w:hAnsi="Arial"/>
          <w:sz w:val="18"/>
          <w:szCs w:val="18"/>
          <w:u w:val="single" w:color="auto"/>
          <w:color w:val="0000FF"/>
        </w:rPr>
        <w:t>Revolving Loans comprising each Term SOFR Borrowing shall bear interest at Term SOFR for the Interest Period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effect for such Borrowing plus the Applicable Rate.</w:t>
      </w:r>
    </w:p>
    <w:p>
      <w:pPr>
        <w:spacing w:after="0" w:line="170" w:lineRule="exact"/>
        <w:rPr>
          <w:rFonts w:ascii="Arial" w:cs="Arial" w:eastAsia="Arial" w:hAnsi="Arial"/>
          <w:sz w:val="18"/>
          <w:szCs w:val="18"/>
          <w:color w:val="auto"/>
        </w:rPr>
      </w:pPr>
    </w:p>
    <w:p>
      <w:pPr>
        <w:ind w:firstLine="756"/>
        <w:spacing w:after="0" w:line="275" w:lineRule="auto"/>
        <w:tabs>
          <w:tab w:leader="none" w:pos="1019" w:val="left"/>
        </w:tabs>
        <w:numPr>
          <w:ilvl w:val="0"/>
          <w:numId w:val="141"/>
        </w:numPr>
        <w:rPr>
          <w:rFonts w:ascii="Arial" w:cs="Arial" w:eastAsia="Arial" w:hAnsi="Arial"/>
          <w:sz w:val="18"/>
          <w:szCs w:val="18"/>
          <w:color w:val="auto"/>
        </w:rPr>
      </w:pPr>
      <w:r>
        <w:rPr>
          <w:rFonts w:ascii="Arial" w:cs="Arial" w:eastAsia="Arial" w:hAnsi="Arial"/>
          <w:sz w:val="18"/>
          <w:szCs w:val="18"/>
          <w:color w:val="FF0000"/>
          <w:strike w:val="1"/>
        </w:rPr>
        <w:t>(b)</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color w:val="000000"/>
        </w:rPr>
        <w:t>Revolving Loans comprising each LIBO Rate Borrowing shall bear interest at the LIBO Rate for the Interest Period in effect for such</w:t>
      </w:r>
      <w:r>
        <w:rPr>
          <w:rFonts w:ascii="Arial" w:cs="Arial" w:eastAsia="Arial" w:hAnsi="Arial"/>
          <w:sz w:val="18"/>
          <w:szCs w:val="18"/>
          <w:color w:val="FF0000"/>
        </w:rPr>
        <w:t xml:space="preserve"> </w:t>
      </w:r>
      <w:r>
        <w:rPr>
          <w:rFonts w:ascii="Arial" w:cs="Arial" w:eastAsia="Arial" w:hAnsi="Arial"/>
          <w:sz w:val="18"/>
          <w:szCs w:val="18"/>
          <w:color w:val="000000"/>
        </w:rPr>
        <w:t xml:space="preserve">Borrowing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the Applicable Rate.</w:t>
      </w:r>
    </w:p>
    <w:p>
      <w:pPr>
        <w:spacing w:after="0" w:line="170" w:lineRule="exact"/>
        <w:rPr>
          <w:rFonts w:ascii="Arial" w:cs="Arial" w:eastAsia="Arial" w:hAnsi="Arial"/>
          <w:sz w:val="18"/>
          <w:szCs w:val="18"/>
          <w:color w:val="auto"/>
        </w:rPr>
      </w:pPr>
    </w:p>
    <w:p>
      <w:pPr>
        <w:ind w:left="1020" w:hanging="264"/>
        <w:spacing w:after="0"/>
        <w:tabs>
          <w:tab w:leader="none" w:pos="1020" w:val="left"/>
        </w:tabs>
        <w:numPr>
          <w:ilvl w:val="0"/>
          <w:numId w:val="141"/>
        </w:numPr>
        <w:rPr>
          <w:rFonts w:ascii="Arial" w:cs="Arial" w:eastAsia="Arial" w:hAnsi="Arial"/>
          <w:sz w:val="18"/>
          <w:szCs w:val="18"/>
          <w:color w:val="auto"/>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color w:val="000000"/>
        </w:rPr>
        <w:t>The Revolving Loans comprising each RFR Loan shall bear interest at the Daily Simple RFR</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plus</w:t>
      </w:r>
      <w:r>
        <w:rPr>
          <w:rFonts w:ascii="Arial" w:cs="Arial" w:eastAsia="Arial" w:hAnsi="Arial"/>
          <w:sz w:val="18"/>
          <w:szCs w:val="18"/>
          <w:color w:val="FF0000"/>
        </w:rPr>
        <w:t xml:space="preserve"> </w:t>
      </w:r>
      <w:r>
        <w:rPr>
          <w:rFonts w:ascii="Arial" w:cs="Arial" w:eastAsia="Arial" w:hAnsi="Arial"/>
          <w:sz w:val="18"/>
          <w:szCs w:val="18"/>
          <w:color w:val="000000"/>
        </w:rPr>
        <w:t>the Applicable Rate.</w:t>
      </w:r>
    </w:p>
    <w:p>
      <w:pPr>
        <w:spacing w:after="0" w:line="222" w:lineRule="exact"/>
        <w:rPr>
          <w:rFonts w:ascii="Arial" w:cs="Arial" w:eastAsia="Arial" w:hAnsi="Arial"/>
          <w:sz w:val="18"/>
          <w:szCs w:val="18"/>
          <w:color w:val="auto"/>
        </w:rPr>
      </w:pPr>
    </w:p>
    <w:p>
      <w:pPr>
        <w:jc w:val="both"/>
        <w:ind w:firstLine="756"/>
        <w:spacing w:after="0" w:line="255" w:lineRule="auto"/>
        <w:tabs>
          <w:tab w:leader="none" w:pos="1019" w:val="left"/>
        </w:tabs>
        <w:numPr>
          <w:ilvl w:val="0"/>
          <w:numId w:val="141"/>
        </w:numPr>
        <w:rPr>
          <w:rFonts w:ascii="Arial" w:cs="Arial" w:eastAsia="Arial" w:hAnsi="Arial"/>
          <w:sz w:val="18"/>
          <w:szCs w:val="18"/>
          <w:color w:val="auto"/>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000000"/>
        </w:rPr>
        <w:t>Notwithstanding the foregoing but in all cases subject to</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9.05(f)</w:t>
      </w:r>
      <w:r>
        <w:rPr>
          <w:rFonts w:ascii="Arial" w:cs="Arial" w:eastAsia="Arial" w:hAnsi="Arial"/>
          <w:sz w:val="18"/>
          <w:szCs w:val="18"/>
          <w:color w:val="000000"/>
        </w:rPr>
        <w:t>, if any principal of or interest on any Term Loan or Revolving</w:t>
      </w:r>
      <w:r>
        <w:rPr>
          <w:rFonts w:ascii="Arial" w:cs="Arial" w:eastAsia="Arial" w:hAnsi="Arial"/>
          <w:sz w:val="18"/>
          <w:szCs w:val="18"/>
          <w:color w:val="FF0000"/>
        </w:rPr>
        <w:t xml:space="preserve"> </w:t>
      </w:r>
      <w:r>
        <w:rPr>
          <w:rFonts w:ascii="Arial" w:cs="Arial" w:eastAsia="Arial" w:hAnsi="Arial"/>
          <w:sz w:val="18"/>
          <w:szCs w:val="18"/>
          <w:color w:val="000000"/>
        </w:rPr>
        <w:t xml:space="preserve">Loan, any LC Disbursement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Revolving Loan or unreimbursed LC Disbursement, 2.00%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the rate otherwise applicable to such Term Loan,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0" w:name="page141"/>
    <w:bookmarkEnd w:id="140"/>
    <w:p>
      <w:pPr>
        <w:jc w:val="both"/>
        <w:spacing w:after="0" w:line="258" w:lineRule="auto"/>
        <w:rPr>
          <w:sz w:val="20"/>
          <w:szCs w:val="20"/>
          <w:color w:val="auto"/>
        </w:rPr>
      </w:pPr>
      <w:r>
        <w:rPr>
          <w:rFonts w:ascii="Arial" w:cs="Arial" w:eastAsia="Arial" w:hAnsi="Arial"/>
          <w:sz w:val="18"/>
          <w:szCs w:val="18"/>
          <w:color w:val="auto"/>
        </w:rPr>
        <w:t xml:space="preserve">Revolving Loan or LC Disbursement as provided in the preceding paragraphs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or (ii) in the case of any other amount, 2.00%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applicable to Revolving Loans that are ABR Loans as provided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accrue pursuant to this </w:t>
      </w:r>
      <w:r>
        <w:rPr>
          <w:rFonts w:ascii="Arial" w:cs="Arial" w:eastAsia="Arial" w:hAnsi="Arial"/>
          <w:sz w:val="18"/>
          <w:szCs w:val="18"/>
          <w:u w:val="single" w:color="auto"/>
          <w:color w:val="auto"/>
        </w:rPr>
        <w:t>Section 2.13(d)</w:t>
      </w:r>
      <w:r>
        <w:rPr>
          <w:rFonts w:ascii="Arial" w:cs="Arial" w:eastAsia="Arial" w:hAnsi="Arial"/>
          <w:sz w:val="18"/>
          <w:szCs w:val="18"/>
          <w:color w:val="auto"/>
        </w:rPr>
        <w:t xml:space="preserve"> on any overdue amount, reimbursement obligation in respect of any LC Disbursement or other amount payable to a Defaulting Lender so long as such Lender is a Defaulting Lender.</w:t>
      </w:r>
    </w:p>
    <w:p>
      <w:pPr>
        <w:spacing w:after="0" w:line="185" w:lineRule="exact"/>
        <w:rPr>
          <w:sz w:val="20"/>
          <w:szCs w:val="20"/>
          <w:color w:val="auto"/>
        </w:rPr>
      </w:pPr>
    </w:p>
    <w:p>
      <w:pPr>
        <w:jc w:val="both"/>
        <w:ind w:firstLine="756"/>
        <w:spacing w:after="0" w:line="269" w:lineRule="auto"/>
        <w:tabs>
          <w:tab w:leader="none" w:pos="1019" w:val="left"/>
        </w:tabs>
        <w:numPr>
          <w:ilvl w:val="0"/>
          <w:numId w:val="142"/>
        </w:numPr>
        <w:rPr>
          <w:rFonts w:ascii="Arial" w:cs="Arial" w:eastAsia="Arial" w:hAnsi="Arial"/>
          <w:sz w:val="17"/>
          <w:szCs w:val="17"/>
          <w:color w:val="auto"/>
        </w:rPr>
      </w:pPr>
      <w:r>
        <w:rPr>
          <w:rFonts w:ascii="Arial" w:cs="Arial" w:eastAsia="Arial" w:hAnsi="Arial"/>
          <w:sz w:val="17"/>
          <w:szCs w:val="17"/>
          <w:color w:val="FF0000"/>
          <w:strike w:val="1"/>
        </w:rPr>
        <w:t>(e)</w:t>
      </w:r>
      <w:r>
        <w:rPr>
          <w:rFonts w:ascii="Arial" w:cs="Arial" w:eastAsia="Arial" w:hAnsi="Arial"/>
          <w:sz w:val="17"/>
          <w:szCs w:val="17"/>
          <w:color w:val="FF0000"/>
        </w:rPr>
        <w:t xml:space="preserve"> </w:t>
      </w:r>
      <w:r>
        <w:rPr>
          <w:rFonts w:ascii="Arial" w:cs="Arial" w:eastAsia="Arial" w:hAnsi="Arial"/>
          <w:sz w:val="17"/>
          <w:szCs w:val="17"/>
          <w:color w:val="000000"/>
        </w:rPr>
        <w:t>Accrued interest on each Term Loan, Revolving Loan and Swingline Loan shall be payable in arrears on each Interest Payment Date for</w:t>
      </w:r>
      <w:r>
        <w:rPr>
          <w:rFonts w:ascii="Arial" w:cs="Arial" w:eastAsia="Arial" w:hAnsi="Arial"/>
          <w:sz w:val="17"/>
          <w:szCs w:val="17"/>
          <w:color w:val="FF0000"/>
        </w:rPr>
        <w:t xml:space="preserve"> </w:t>
      </w:r>
      <w:r>
        <w:rPr>
          <w:rFonts w:ascii="Arial" w:cs="Arial" w:eastAsia="Arial" w:hAnsi="Arial"/>
          <w:sz w:val="17"/>
          <w:szCs w:val="17"/>
          <w:color w:val="000000"/>
        </w:rPr>
        <w:t xml:space="preserve">such Term Loan, Revolving Loan or Swingline Loan and (i) on the Maturity Date applicable to such Loan, (ii) in the case of a Revolving Loan of any Class, upon termination of the Revolving Credit Commitments of such Class and (iii) in the case of any Swingline Loan, upon termination of all of the Revolving Credit Commitments, as applicable;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 interest accrued pursuant to </w:t>
      </w:r>
      <w:r>
        <w:rPr>
          <w:rFonts w:ascii="Arial" w:cs="Arial" w:eastAsia="Arial" w:hAnsi="Arial"/>
          <w:sz w:val="17"/>
          <w:szCs w:val="17"/>
          <w:u w:val="single" w:color="auto"/>
          <w:color w:val="000000"/>
        </w:rPr>
        <w:t>paragraph (d)</w:t>
      </w:r>
      <w:r>
        <w:rPr>
          <w:rFonts w:ascii="Arial" w:cs="Arial" w:eastAsia="Arial" w:hAnsi="Arial"/>
          <w:sz w:val="17"/>
          <w:szCs w:val="17"/>
          <w:color w:val="000000"/>
        </w:rPr>
        <w:t xml:space="preserve"> of this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shall be payable on demand, (B) in the event of any repayment or prepayment of any Term Loan or Revolving Loan (other than a Swingline Loan of any Class prior to the termination of the Revolving Credit Commitments of such Class), accrued interest on the principal amount repaid or prepaid shall be payable on the date of such repayment or prepayment and (C) in the event of any conversion of any LIBO Rate </w:t>
      </w:r>
      <w:r>
        <w:rPr>
          <w:rFonts w:ascii="Arial" w:cs="Arial" w:eastAsia="Arial" w:hAnsi="Arial"/>
          <w:sz w:val="17"/>
          <w:szCs w:val="17"/>
          <w:u w:val="single" w:color="auto"/>
          <w:color w:val="0000FF"/>
        </w:rPr>
        <w:t>Loan or Term SOFR</w:t>
      </w:r>
      <w:r>
        <w:rPr>
          <w:rFonts w:ascii="Arial" w:cs="Arial" w:eastAsia="Arial" w:hAnsi="Arial"/>
          <w:sz w:val="17"/>
          <w:szCs w:val="17"/>
          <w:color w:val="000000"/>
        </w:rPr>
        <w:t xml:space="preserve"> Loan prior to the end of the current Interest Period therefor, accrued interest on such Term Loan or Revolving Loan shall be payable on the effective date of such conversion.</w:t>
      </w:r>
    </w:p>
    <w:p>
      <w:pPr>
        <w:spacing w:after="0" w:line="182" w:lineRule="exact"/>
        <w:rPr>
          <w:rFonts w:ascii="Arial" w:cs="Arial" w:eastAsia="Arial" w:hAnsi="Arial"/>
          <w:sz w:val="17"/>
          <w:szCs w:val="17"/>
          <w:color w:val="auto"/>
        </w:rPr>
      </w:pPr>
    </w:p>
    <w:p>
      <w:pPr>
        <w:jc w:val="both"/>
        <w:ind w:firstLine="756"/>
        <w:spacing w:after="0" w:line="253" w:lineRule="auto"/>
        <w:tabs>
          <w:tab w:leader="none" w:pos="1019" w:val="left"/>
        </w:tabs>
        <w:numPr>
          <w:ilvl w:val="0"/>
          <w:numId w:val="142"/>
        </w:numPr>
        <w:rPr>
          <w:rFonts w:ascii="Arial" w:cs="Arial" w:eastAsia="Arial" w:hAnsi="Arial"/>
          <w:sz w:val="18"/>
          <w:szCs w:val="18"/>
          <w:color w:val="auto"/>
        </w:rPr>
      </w:pPr>
      <w:r>
        <w:rPr>
          <w:rFonts w:ascii="Arial" w:cs="Arial" w:eastAsia="Arial" w:hAnsi="Arial"/>
          <w:sz w:val="18"/>
          <w:szCs w:val="18"/>
          <w:color w:val="FF0000"/>
          <w:strike w:val="1"/>
        </w:rPr>
        <w:t>(f)</w:t>
      </w:r>
      <w:r>
        <w:rPr>
          <w:rFonts w:ascii="Arial" w:cs="Arial" w:eastAsia="Arial" w:hAnsi="Arial"/>
          <w:sz w:val="18"/>
          <w:szCs w:val="18"/>
          <w:color w:val="FF0000"/>
        </w:rPr>
        <w:t xml:space="preserve"> </w:t>
      </w:r>
      <w:r>
        <w:rPr>
          <w:rFonts w:ascii="Arial" w:cs="Arial" w:eastAsia="Arial" w:hAnsi="Arial"/>
          <w:sz w:val="18"/>
          <w:szCs w:val="18"/>
          <w:color w:val="000000"/>
        </w:rPr>
        <w:t>All interest hereunder shall be computed on the basis of a year of 360 days, except that interest computed by reference to the Alternate</w:t>
      </w:r>
      <w:r>
        <w:rPr>
          <w:rFonts w:ascii="Arial" w:cs="Arial" w:eastAsia="Arial" w:hAnsi="Arial"/>
          <w:sz w:val="18"/>
          <w:szCs w:val="18"/>
          <w:color w:val="FF0000"/>
        </w:rPr>
        <w:t xml:space="preserve"> </w:t>
      </w:r>
      <w:r>
        <w:rPr>
          <w:rFonts w:ascii="Arial" w:cs="Arial" w:eastAsia="Arial" w:hAnsi="Arial"/>
          <w:sz w:val="18"/>
          <w:szCs w:val="18"/>
          <w:color w:val="000000"/>
        </w:rPr>
        <w:t xml:space="preserve">Base Rate at times when the Alternate Base Rate is based on the Prime Rate and RFR Loans shall be computed on the basis of a year of 365 days (or 366 days in a leap year), and in each case shall be payable for the actual number of days elapsed (including the first day but excluding the last day). The applicable Alternate Base Rate, Daily Simple RFR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LIBO Rate </w:t>
      </w:r>
      <w:r>
        <w:rPr>
          <w:rFonts w:ascii="Arial" w:cs="Arial" w:eastAsia="Arial" w:hAnsi="Arial"/>
          <w:sz w:val="18"/>
          <w:szCs w:val="18"/>
          <w:u w:val="single" w:color="auto"/>
          <w:color w:val="0000FF"/>
        </w:rPr>
        <w:t>or Term SOFR</w:t>
      </w:r>
      <w:r>
        <w:rPr>
          <w:rFonts w:ascii="Arial" w:cs="Arial" w:eastAsia="Arial" w:hAnsi="Arial"/>
          <w:sz w:val="18"/>
          <w:szCs w:val="18"/>
          <w:color w:val="000000"/>
        </w:rPr>
        <w:t xml:space="preserve">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Loan that is repaid on the same day on which it is made shall bear interest for one day.</w:t>
      </w:r>
    </w:p>
    <w:p>
      <w:pPr>
        <w:spacing w:after="0" w:line="192" w:lineRule="exact"/>
        <w:rPr>
          <w:rFonts w:ascii="Arial" w:cs="Arial" w:eastAsia="Arial" w:hAnsi="Arial"/>
          <w:sz w:val="18"/>
          <w:szCs w:val="18"/>
          <w:color w:val="auto"/>
        </w:rPr>
      </w:pPr>
    </w:p>
    <w:p>
      <w:pPr>
        <w:jc w:val="both"/>
        <w:ind w:firstLine="756"/>
        <w:spacing w:after="0" w:line="254" w:lineRule="auto"/>
        <w:tabs>
          <w:tab w:leader="none" w:pos="1019" w:val="left"/>
        </w:tabs>
        <w:numPr>
          <w:ilvl w:val="0"/>
          <w:numId w:val="142"/>
        </w:numPr>
        <w:rPr>
          <w:rFonts w:ascii="Arial" w:cs="Arial" w:eastAsia="Arial" w:hAnsi="Arial"/>
          <w:sz w:val="18"/>
          <w:szCs w:val="18"/>
          <w:color w:val="auto"/>
        </w:rPr>
      </w:pPr>
      <w:r>
        <w:rPr>
          <w:rFonts w:ascii="Arial" w:cs="Arial" w:eastAsia="Arial" w:hAnsi="Arial"/>
          <w:sz w:val="18"/>
          <w:szCs w:val="18"/>
          <w:color w:val="FF0000"/>
          <w:strike w:val="1"/>
        </w:rPr>
        <w:t>(g)</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shall promptly upon the amount of any RFR Interest Payment becoming determinable notify (i) (such</w:t>
      </w:r>
      <w:r>
        <w:rPr>
          <w:rFonts w:ascii="Arial" w:cs="Arial" w:eastAsia="Arial" w:hAnsi="Arial"/>
          <w:sz w:val="18"/>
          <w:szCs w:val="18"/>
          <w:color w:val="FF0000"/>
        </w:rPr>
        <w:t xml:space="preserve"> </w:t>
      </w:r>
      <w:r>
        <w:rPr>
          <w:rFonts w:ascii="Arial" w:cs="Arial" w:eastAsia="Arial" w:hAnsi="Arial"/>
          <w:sz w:val="18"/>
          <w:szCs w:val="18"/>
          <w:color w:val="000000"/>
        </w:rPr>
        <w:t>notification to be made no later than three applicable RFR Business Days prior to the due date for such RFR Interest Payment) the relevant Borrower of the amount of that RFR Interest Payment; and (ii) the relevant Lenders and the Borrower of each applicable rate of interest and the amount of interest for each day relating to the determination of that RFR Interest Payment (including a breakdown of such rate and amount of interest as between the Applicable Rate and the Daily Simple RFR for such date and any other information that the Borrower may reasonably request in relation to the calculation of such rate and amount or the determination of that RFR Interest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-1447800</wp:posOffset>
            </wp:positionV>
            <wp:extent cx="1231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71"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u w:val="single" w:color="auto"/>
          <w:color w:val="auto"/>
        </w:rPr>
        <w:t>Section 2.14.Alternate Rate of Interest</w:t>
      </w:r>
      <w:r>
        <w:rPr>
          <w:rFonts w:ascii="Arial" w:cs="Arial" w:eastAsia="Arial" w:hAnsi="Arial"/>
          <w:sz w:val="18"/>
          <w:szCs w:val="18"/>
          <w:color w:val="auto"/>
        </w:rPr>
        <w:t xml:space="preserve">. (a) If at least two Business Days prior to the commencement of any Interest Period for a LIBO Rate </w:t>
      </w:r>
      <w:r>
        <w:rPr>
          <w:rFonts w:ascii="Arial" w:cs="Arial" w:eastAsia="Arial" w:hAnsi="Arial"/>
          <w:sz w:val="18"/>
          <w:szCs w:val="18"/>
          <w:u w:val="single" w:color="auto"/>
          <w:color w:val="0000FF"/>
        </w:rPr>
        <w:t>Borrowing or a Term SOFR</w:t>
      </w:r>
      <w:r>
        <w:rPr>
          <w:rFonts w:ascii="Arial" w:cs="Arial" w:eastAsia="Arial" w:hAnsi="Arial"/>
          <w:sz w:val="18"/>
          <w:szCs w:val="18"/>
          <w:color w:val="0000FF"/>
        </w:rPr>
        <w:t xml:space="preserve"> </w:t>
      </w:r>
      <w:r>
        <w:rPr>
          <w:rFonts w:ascii="Arial" w:cs="Arial" w:eastAsia="Arial" w:hAnsi="Arial"/>
          <w:sz w:val="18"/>
          <w:szCs w:val="18"/>
          <w:color w:val="000000"/>
        </w:rPr>
        <w:t>Borrowing:</w:t>
      </w:r>
    </w:p>
    <w:p>
      <w:pPr>
        <w:spacing w:after="0" w:line="171" w:lineRule="exact"/>
        <w:rPr>
          <w:sz w:val="20"/>
          <w:szCs w:val="20"/>
          <w:color w:val="auto"/>
        </w:rPr>
      </w:pPr>
    </w:p>
    <w:p>
      <w:pPr>
        <w:ind w:left="760" w:firstLine="745"/>
        <w:spacing w:after="0" w:line="275" w:lineRule="auto"/>
        <w:tabs>
          <w:tab w:leader="none" w:pos="183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absent manifest error) that adequate and reasonable means do not exist for ascertaining the LIBO Rate </w:t>
      </w:r>
      <w:r>
        <w:rPr>
          <w:rFonts w:ascii="Arial" w:cs="Arial" w:eastAsia="Arial" w:hAnsi="Arial"/>
          <w:sz w:val="18"/>
          <w:szCs w:val="18"/>
          <w:u w:val="single" w:color="auto"/>
          <w:color w:val="0000FF"/>
        </w:rPr>
        <w:t>or Term SOFR, as applicable,</w:t>
      </w:r>
      <w:r>
        <w:rPr>
          <w:rFonts w:ascii="Arial" w:cs="Arial" w:eastAsia="Arial" w:hAnsi="Arial"/>
          <w:sz w:val="18"/>
          <w:szCs w:val="18"/>
          <w:color w:val="auto"/>
        </w:rPr>
        <w:t xml:space="preserve"> for such Interest Period; or</w:t>
      </w:r>
    </w:p>
    <w:p>
      <w:pPr>
        <w:spacing w:after="0" w:line="170" w:lineRule="exact"/>
        <w:rPr>
          <w:rFonts w:ascii="Arial" w:cs="Arial" w:eastAsia="Arial" w:hAnsi="Arial"/>
          <w:sz w:val="18"/>
          <w:szCs w:val="18"/>
          <w:color w:val="auto"/>
        </w:rPr>
      </w:pPr>
    </w:p>
    <w:p>
      <w:pPr>
        <w:jc w:val="both"/>
        <w:ind w:left="760" w:firstLine="745"/>
        <w:spacing w:after="0" w:line="262" w:lineRule="auto"/>
        <w:tabs>
          <w:tab w:leader="none" w:pos="18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Administrative Agent is advised by the Required Lenders that the LIBO Rate </w:t>
      </w:r>
      <w:r>
        <w:rPr>
          <w:rFonts w:ascii="Arial" w:cs="Arial" w:eastAsia="Arial" w:hAnsi="Arial"/>
          <w:sz w:val="18"/>
          <w:szCs w:val="18"/>
          <w:u w:val="single" w:color="auto"/>
          <w:color w:val="0000FF"/>
        </w:rPr>
        <w:t>or Term SOFR, as applicable,</w:t>
      </w:r>
      <w:r>
        <w:rPr>
          <w:rFonts w:ascii="Arial" w:cs="Arial" w:eastAsia="Arial" w:hAnsi="Arial"/>
          <w:sz w:val="18"/>
          <w:szCs w:val="18"/>
          <w:color w:val="auto"/>
        </w:rPr>
        <w:t xml:space="preserve"> for such Interest Period will not adequately and fairly reflect the cost to such Lenders of making or maintaining their Loans included in such Borrowing for such Interest Period;</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then the Administrative Agent shall promptly give notice thereof to the Borrower and the Lenders by telephone or facsimile as promptly as practicable thereafter and, until the Administrative Agent notifies the Borrower and the Lenders that the circumstances giving rise to such notice no longer exist, which the Administrative Agent agrees promptly to do, (i) the obligation of the Lenders to make or maintain Loans in the affected currencies, as applicable, shall be suspended in each case to the extent of the affected Revolving Alternative Currency Loans or Interest Period or determination date(s), as applicable, (ii) any Interest Election Request that requests the conversion of any Borrowing to, or continuation of any Borrowing as, a LIBO Rate Borrowing </w:t>
      </w:r>
      <w:r>
        <w:rPr>
          <w:rFonts w:ascii="Arial" w:cs="Arial" w:eastAsia="Arial" w:hAnsi="Arial"/>
          <w:sz w:val="16"/>
          <w:szCs w:val="16"/>
          <w:u w:val="single" w:color="auto"/>
          <w:color w:val="0000FF"/>
        </w:rPr>
        <w:t>or Term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SOFR Borrowing, as applicable,</w:t>
      </w:r>
      <w:r>
        <w:rPr>
          <w:rFonts w:ascii="Arial" w:cs="Arial" w:eastAsia="Arial" w:hAnsi="Arial"/>
          <w:sz w:val="16"/>
          <w:szCs w:val="16"/>
          <w:color w:val="0000FF"/>
        </w:rPr>
        <w:t xml:space="preserve"> </w:t>
      </w:r>
      <w:r>
        <w:rPr>
          <w:rFonts w:ascii="Arial" w:cs="Arial" w:eastAsia="Arial" w:hAnsi="Arial"/>
          <w:sz w:val="16"/>
          <w:szCs w:val="16"/>
          <w:color w:val="000000"/>
        </w:rPr>
        <w:t>shall be ineffective and such Borrowing shall be converted to an ABR Borrowing on the last day of the Interest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1" w:name="page142"/>
    <w:bookmarkEnd w:id="141"/>
    <w:p>
      <w:pPr>
        <w:spacing w:after="0" w:line="275" w:lineRule="auto"/>
        <w:rPr>
          <w:sz w:val="20"/>
          <w:szCs w:val="20"/>
          <w:color w:val="auto"/>
        </w:rPr>
      </w:pPr>
      <w:r>
        <w:rPr>
          <w:rFonts w:ascii="Arial" w:cs="Arial" w:eastAsia="Arial" w:hAnsi="Arial"/>
          <w:sz w:val="18"/>
          <w:szCs w:val="18"/>
          <w:color w:val="auto"/>
        </w:rPr>
        <w:t xml:space="preserve">applicable thereto, and (iii) if any Borrowing Request requests a LIBO Rate Borrowing </w:t>
      </w:r>
      <w:r>
        <w:rPr>
          <w:rFonts w:ascii="Arial" w:cs="Arial" w:eastAsia="Arial" w:hAnsi="Arial"/>
          <w:sz w:val="18"/>
          <w:szCs w:val="18"/>
          <w:color w:val="0000FF"/>
        </w:rPr>
        <w:t>or Term SOFR Borrowing, as applicable</w:t>
      </w:r>
      <w:r>
        <w:rPr>
          <w:rFonts w:ascii="Arial" w:cs="Arial" w:eastAsia="Arial" w:hAnsi="Arial"/>
          <w:sz w:val="18"/>
          <w:szCs w:val="18"/>
          <w:color w:val="auto"/>
        </w:rPr>
        <w:t>, such Borrowing shall be made as an ABR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-180340</wp:posOffset>
            </wp:positionV>
            <wp:extent cx="190436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904365" cy="8255"/>
                    </a:xfrm>
                    <a:prstGeom prst="rect">
                      <a:avLst/>
                    </a:prstGeom>
                    <a:noFill/>
                  </pic:spPr>
                </pic:pic>
              </a:graphicData>
            </a:graphic>
          </wp:anchor>
        </w:drawing>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2.15.Increased Costs</w:t>
      </w:r>
      <w:r>
        <w:rPr>
          <w:rFonts w:ascii="Arial" w:cs="Arial" w:eastAsia="Arial" w:hAnsi="Arial"/>
          <w:sz w:val="18"/>
          <w:szCs w:val="18"/>
          <w:color w:val="auto"/>
        </w:rPr>
        <w:t>.</w:t>
      </w:r>
    </w:p>
    <w:p>
      <w:pPr>
        <w:spacing w:after="0" w:line="223" w:lineRule="exact"/>
        <w:rPr>
          <w:sz w:val="20"/>
          <w:szCs w:val="20"/>
          <w:color w:val="auto"/>
        </w:rPr>
      </w:pPr>
    </w:p>
    <w:p>
      <w:pPr>
        <w:ind w:left="1020" w:hanging="264"/>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any Change in Law:</w:t>
      </w:r>
    </w:p>
    <w:p>
      <w:pPr>
        <w:spacing w:after="0" w:line="222" w:lineRule="exact"/>
        <w:rPr>
          <w:rFonts w:ascii="Arial" w:cs="Arial" w:eastAsia="Arial" w:hAnsi="Arial"/>
          <w:sz w:val="18"/>
          <w:szCs w:val="18"/>
          <w:color w:val="auto"/>
        </w:rPr>
      </w:pPr>
    </w:p>
    <w:p>
      <w:pPr>
        <w:jc w:val="both"/>
        <w:ind w:left="760" w:firstLine="1045"/>
        <w:spacing w:after="0" w:line="262" w:lineRule="auto"/>
        <w:tabs>
          <w:tab w:leader="none" w:pos="204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imposes, modifies or deems applicable any reserve, special deposit or similar requirement against assets of, deposits with or for the account of, or credit extended by, any Lender (except any such reserve requirement reflected in the LIBO Rate</w:t>
      </w:r>
      <w:r>
        <w:rPr>
          <w:rFonts w:ascii="Arial" w:cs="Arial" w:eastAsia="Arial" w:hAnsi="Arial"/>
          <w:sz w:val="18"/>
          <w:szCs w:val="18"/>
          <w:u w:val="single" w:color="auto"/>
          <w:color w:val="0000FF"/>
        </w:rPr>
        <w:t>, Term SOFR</w:t>
      </w:r>
      <w:r>
        <w:rPr>
          <w:rFonts w:ascii="Arial" w:cs="Arial" w:eastAsia="Arial" w:hAnsi="Arial"/>
          <w:sz w:val="18"/>
          <w:szCs w:val="18"/>
          <w:color w:val="auto"/>
        </w:rPr>
        <w:t xml:space="preserve"> or Daily Simple RFR) or Issuing Bank;</w:t>
      </w:r>
    </w:p>
    <w:p>
      <w:pPr>
        <w:spacing w:after="0" w:line="182"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(ii)subject any Lender or Issuing Bank to any Taxes (other than (A) Indemnified Taxes and Other Taxes indemnifiable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(B) Excluded Taxes) on or with respect to its loans, letters of credit, commitments, or other obligations, or its deposits, reserves, other liabilities or capital attributable thereto; or</w:t>
      </w:r>
    </w:p>
    <w:p>
      <w:pPr>
        <w:spacing w:after="0" w:line="182"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(iii)imposes on any Lender or Issuing Bank or the </w:t>
      </w:r>
      <w:r>
        <w:rPr>
          <w:rFonts w:ascii="Arial" w:cs="Arial" w:eastAsia="Arial" w:hAnsi="Arial"/>
          <w:sz w:val="18"/>
          <w:szCs w:val="18"/>
          <w:color w:val="FF0000"/>
          <w:strike w:val="1"/>
        </w:rPr>
        <w:t>London</w:t>
      </w:r>
      <w:r>
        <w:rPr>
          <w:rFonts w:ascii="Arial" w:cs="Arial" w:eastAsia="Arial" w:hAnsi="Arial"/>
          <w:sz w:val="18"/>
          <w:szCs w:val="18"/>
          <w:u w:val="single" w:color="auto"/>
          <w:color w:val="0000FF"/>
        </w:rPr>
        <w:t>applicable offshore</w:t>
      </w:r>
      <w:r>
        <w:rPr>
          <w:rFonts w:ascii="Arial" w:cs="Arial" w:eastAsia="Arial" w:hAnsi="Arial"/>
          <w:sz w:val="18"/>
          <w:szCs w:val="18"/>
          <w:color w:val="auto"/>
        </w:rPr>
        <w:t xml:space="preserve"> interbank market any other condition (other than Taxes) affecting this Agreement or LIBO Rate </w:t>
      </w:r>
      <w:r>
        <w:rPr>
          <w:rFonts w:ascii="Arial" w:cs="Arial" w:eastAsia="Arial" w:hAnsi="Arial"/>
          <w:sz w:val="18"/>
          <w:szCs w:val="18"/>
          <w:u w:val="single" w:color="auto"/>
          <w:color w:val="0000FF"/>
        </w:rPr>
        <w:t>Loans, Term SOFR</w:t>
      </w:r>
      <w:r>
        <w:rPr>
          <w:rFonts w:ascii="Arial" w:cs="Arial" w:eastAsia="Arial" w:hAnsi="Arial"/>
          <w:sz w:val="18"/>
          <w:szCs w:val="18"/>
          <w:color w:val="auto"/>
        </w:rPr>
        <w:t xml:space="preserve"> Loans or RFR Loans made by any Lender or any Letter of Credit or participation therein;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and the result of any of the foregoing is to increase the cost to the relevant Lender of making or maintaining any LIBO Rate </w:t>
      </w:r>
      <w:r>
        <w:rPr>
          <w:rFonts w:ascii="Arial" w:cs="Arial" w:eastAsia="Arial" w:hAnsi="Arial"/>
          <w:sz w:val="16"/>
          <w:szCs w:val="16"/>
          <w:u w:val="single" w:color="auto"/>
          <w:color w:val="0000FF"/>
        </w:rPr>
        <w:t>Loan, Term SOFR</w:t>
      </w:r>
      <w:r>
        <w:rPr>
          <w:rFonts w:ascii="Arial" w:cs="Arial" w:eastAsia="Arial" w:hAnsi="Arial"/>
          <w:sz w:val="16"/>
          <w:szCs w:val="16"/>
          <w:color w:val="auto"/>
        </w:rPr>
        <w:t xml:space="preserve"> Loan or RFR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LIBO Rate </w:t>
      </w:r>
      <w:r>
        <w:rPr>
          <w:rFonts w:ascii="Arial" w:cs="Arial" w:eastAsia="Arial" w:hAnsi="Arial"/>
          <w:sz w:val="16"/>
          <w:szCs w:val="16"/>
          <w:u w:val="single" w:color="auto"/>
          <w:color w:val="0000FF"/>
        </w:rPr>
        <w:t>Loan, Term SOFR</w:t>
      </w:r>
      <w:r>
        <w:rPr>
          <w:rFonts w:ascii="Arial" w:cs="Arial" w:eastAsia="Arial" w:hAnsi="Arial"/>
          <w:sz w:val="16"/>
          <w:szCs w:val="16"/>
          <w:color w:val="auto"/>
        </w:rPr>
        <w:t xml:space="preserve"> Loan, RFR Loan or Letter of Credit in an amount deemed by such Lender or Issuing Bank to be material, then, within 30 days after the Borrower’s receipt of the certificate contemplated by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the Borrower will pay to such Lender or Issuing Bank, as applicable, such additional amount or amounts as will compensate such Lender or Issuing Bank, as applicable, for such additional costs incurred or reduction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liable for such compensation if (x) the relevant Change in Law occurs on a date prior to the date such Lender becomes a party hereto, (y) such Lender invokes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(z) in the case of requests for reimbursement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resulting from a market disruption, (A) the relevant circumstances are not generally affecting the banking market or (B) the applicable request has not been made by Lenders constituting Required Lenders.</w:t>
      </w:r>
    </w:p>
    <w:p>
      <w:pPr>
        <w:spacing w:after="0" w:line="165" w:lineRule="exact"/>
        <w:rPr>
          <w:sz w:val="20"/>
          <w:szCs w:val="20"/>
          <w:color w:val="auto"/>
        </w:rPr>
      </w:pPr>
    </w:p>
    <w:p>
      <w:pPr>
        <w:jc w:val="both"/>
        <w:ind w:firstLine="756"/>
        <w:spacing w:after="0" w:line="288" w:lineRule="auto"/>
        <w:tabs>
          <w:tab w:leader="none" w:pos="101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capital adequacy), then within 30 days of receipt by the Borrower of the certificate contemplated by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168" w:lineRule="exact"/>
        <w:rPr>
          <w:rFonts w:ascii="Arial" w:cs="Arial" w:eastAsia="Arial" w:hAnsi="Arial"/>
          <w:sz w:val="16"/>
          <w:szCs w:val="16"/>
          <w:color w:val="auto"/>
        </w:rPr>
      </w:pPr>
    </w:p>
    <w:p>
      <w:pPr>
        <w:jc w:val="both"/>
        <w:ind w:firstLine="756"/>
        <w:spacing w:after="0" w:line="300" w:lineRule="auto"/>
        <w:tabs>
          <w:tab w:leader="none" w:pos="101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Any Lender or Issuing Bank requesting compensation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required to deliver a certificate to the Borrower that (i) sets forth the amount or amounts necessary to compensate such Lender or Issuing Bank or the holding company thereof, as applicable, as specified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55" w:lineRule="exact"/>
        <w:rPr>
          <w:rFonts w:ascii="Arial" w:cs="Arial" w:eastAsia="Arial" w:hAnsi="Arial"/>
          <w:sz w:val="16"/>
          <w:szCs w:val="16"/>
          <w:color w:val="auto"/>
        </w:rPr>
      </w:pPr>
    </w:p>
    <w:p>
      <w:pPr>
        <w:ind w:firstLine="756"/>
        <w:spacing w:after="0" w:line="275" w:lineRule="auto"/>
        <w:tabs>
          <w:tab w:leader="none" w:pos="101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Issuing Bank to demand compensation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shall not constitute a waiver of such Lender’s or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2" w:name="page143"/>
    <w:bookmarkEnd w:id="142"/>
    <w:p>
      <w:pPr>
        <w:jc w:val="both"/>
        <w:spacing w:after="0" w:line="255"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not be required to compensate a Lender or an Issuing Bank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90"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u w:val="single" w:color="auto"/>
          <w:color w:val="auto"/>
        </w:rPr>
        <w:t>Section 2.16.Break Funding Payments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in the event of (a) the conversion or prepayment of any principal of any LIBO Rate Loan </w:t>
      </w:r>
      <w:r>
        <w:rPr>
          <w:rFonts w:ascii="Arial" w:cs="Arial" w:eastAsia="Arial" w:hAnsi="Arial"/>
          <w:sz w:val="16"/>
          <w:szCs w:val="16"/>
          <w:u w:val="single" w:color="auto"/>
          <w:color w:val="0000FF"/>
        </w:rPr>
        <w:t>or Term SOFR Loan, as applicable,</w:t>
      </w:r>
      <w:r>
        <w:rPr>
          <w:rFonts w:ascii="Arial" w:cs="Arial" w:eastAsia="Arial" w:hAnsi="Arial"/>
          <w:sz w:val="16"/>
          <w:szCs w:val="16"/>
          <w:color w:val="auto"/>
        </w:rPr>
        <w:t xml:space="preserve"> other than on the last day of an Interest Period applicable thereto (whether voluntary, mandatory, automatic, by reason of acceleration or otherwise), (b) the failure to borrow, convert, continue or prepay any LIBO Rate Loan </w:t>
      </w:r>
      <w:r>
        <w:rPr>
          <w:rFonts w:ascii="Arial" w:cs="Arial" w:eastAsia="Arial" w:hAnsi="Arial"/>
          <w:sz w:val="16"/>
          <w:szCs w:val="16"/>
          <w:u w:val="single" w:color="auto"/>
          <w:color w:val="0000FF"/>
        </w:rPr>
        <w:t>or Term SOFR Loan, as applicable,</w:t>
      </w:r>
      <w:r>
        <w:rPr>
          <w:rFonts w:ascii="Arial" w:cs="Arial" w:eastAsia="Arial" w:hAnsi="Arial"/>
          <w:sz w:val="16"/>
          <w:szCs w:val="16"/>
          <w:color w:val="auto"/>
        </w:rPr>
        <w:t xml:space="preserve"> on the date or in the amount specified in any notice delivered pursuant hereto or (c) the assignment of any LIBO Rate Loan </w:t>
      </w:r>
      <w:r>
        <w:rPr>
          <w:rFonts w:ascii="Arial" w:cs="Arial" w:eastAsia="Arial" w:hAnsi="Arial"/>
          <w:sz w:val="16"/>
          <w:szCs w:val="16"/>
          <w:u w:val="single" w:color="auto"/>
          <w:color w:val="0000FF"/>
        </w:rPr>
        <w:t>or Term SOFR Loan, as applicable,</w:t>
      </w:r>
      <w:r>
        <w:rPr>
          <w:rFonts w:ascii="Arial" w:cs="Arial" w:eastAsia="Arial" w:hAnsi="Arial"/>
          <w:sz w:val="16"/>
          <w:szCs w:val="16"/>
          <w:color w:val="auto"/>
        </w:rPr>
        <w:t xml:space="preserve"> of any Lender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then, in any such event, the Borrower shall compensate each Lender for the loss, cost and expense incurred by such Lender that is attributable to such event (other than loss of profit). In the case of a LIBO Rate Loan </w:t>
      </w:r>
      <w:r>
        <w:rPr>
          <w:rFonts w:ascii="Arial" w:cs="Arial" w:eastAsia="Arial" w:hAnsi="Arial"/>
          <w:sz w:val="16"/>
          <w:szCs w:val="16"/>
          <w:color w:val="0000FF"/>
        </w:rPr>
        <w:t>or Term SOFR Loan, as applicable</w:t>
      </w:r>
      <w:r>
        <w:rPr>
          <w:rFonts w:ascii="Arial" w:cs="Arial" w:eastAsia="Arial" w:hAnsi="Arial"/>
          <w:sz w:val="16"/>
          <w:szCs w:val="16"/>
          <w:color w:val="auto"/>
        </w:rPr>
        <w:t xml:space="preserve">, the loss, cost or expense of any Lender shall be the amount reasonably determined by such Lender to be the excess, if any, of (i) the amount of interest which would have accrued on the principal amount of such Loan had such event not occurred at the LIBO Rate </w:t>
      </w:r>
      <w:r>
        <w:rPr>
          <w:rFonts w:ascii="Arial" w:cs="Arial" w:eastAsia="Arial" w:hAnsi="Arial"/>
          <w:sz w:val="16"/>
          <w:szCs w:val="16"/>
          <w:u w:val="single" w:color="auto"/>
          <w:color w:val="0000FF"/>
        </w:rPr>
        <w:t>or Term SOFR, as applicable,</w:t>
      </w:r>
      <w:r>
        <w:rPr>
          <w:rFonts w:ascii="Arial" w:cs="Arial" w:eastAsia="Arial" w:hAnsi="Arial"/>
          <w:sz w:val="16"/>
          <w:szCs w:val="16"/>
          <w:color w:val="auto"/>
        </w:rPr>
        <w:t xml:space="preserv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applicable interbank</w:t>
      </w:r>
      <w:r>
        <w:rPr>
          <w:rFonts w:ascii="Arial" w:cs="Arial" w:eastAsia="Arial" w:hAnsi="Arial"/>
          <w:sz w:val="16"/>
          <w:szCs w:val="16"/>
          <w:color w:val="auto"/>
        </w:rPr>
        <w:t xml:space="preserve"> market; it being understood that such loss, cost or expense shall in any case exclude any interest rate floor and all administrative, processing or similar fees. Any Lender requesting compensation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required to deliver a certificate to the Borrower that (A) sets forth any amount or amounts that such Lender is entitled to receive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-1539875</wp:posOffset>
            </wp:positionV>
            <wp:extent cx="16846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2.17.Taxes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9" w:lineRule="auto"/>
        <w:tabs>
          <w:tab w:leader="none" w:pos="101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under any Loan Document shall be made free and clear of and without deduction for any Taxes, except as required by applicable Requirements of Law. If any applicable Requirement of Law requires the deduction or withholding of any Tax from any such payment, then (i) if such Tax is an Indemnified Tax and/or Other Tax, the amount payable by the applicable Loan Party shall be increased as necessary so that after all required deductions or withholdings have been made (including deductions or withholdings applicable to additional sums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each Lender (or, in the case of any payment made to the Administrative Agent for its own account, the Administrative Agent) receives an amount equal to the sum it would have received had no such deductions or withholdings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82" w:lineRule="exact"/>
        <w:rPr>
          <w:rFonts w:ascii="Arial" w:cs="Arial" w:eastAsia="Arial" w:hAnsi="Arial"/>
          <w:sz w:val="17"/>
          <w:szCs w:val="17"/>
          <w:color w:val="auto"/>
        </w:rPr>
      </w:pPr>
    </w:p>
    <w:p>
      <w:pPr>
        <w:ind w:left="1020" w:hanging="264"/>
        <w:spacing w:after="0"/>
        <w:tabs>
          <w:tab w:leader="none" w:pos="10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addition, the Loan Parties shall pay any Other Taxes to the relevant Governmental Authority in accordance with applicable Requirements of</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08" w:lineRule="exact"/>
        <w:rPr>
          <w:rFonts w:ascii="Arial" w:cs="Arial" w:eastAsia="Arial" w:hAnsi="Arial"/>
          <w:sz w:val="16"/>
          <w:szCs w:val="16"/>
          <w:color w:val="auto"/>
        </w:rPr>
      </w:pPr>
    </w:p>
    <w:p>
      <w:pPr>
        <w:jc w:val="both"/>
        <w:ind w:firstLine="756"/>
        <w:spacing w:after="0" w:line="272" w:lineRule="auto"/>
        <w:tabs>
          <w:tab w:leader="none" w:pos="101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in each case, any reasonable expenses arising therefrom or with respect thereto, whether or not correctly or legally imposed or asserted. In connection with any request for reimbursement under this </w:t>
      </w:r>
      <w:r>
        <w:rPr>
          <w:rFonts w:ascii="Arial" w:cs="Arial" w:eastAsia="Arial" w:hAnsi="Arial"/>
          <w:sz w:val="17"/>
          <w:szCs w:val="17"/>
          <w:u w:val="single" w:color="auto"/>
          <w:color w:val="auto"/>
        </w:rPr>
        <w:t>Section 2.17(c)</w:t>
      </w:r>
      <w:r>
        <w:rPr>
          <w:rFonts w:ascii="Arial" w:cs="Arial" w:eastAsia="Arial" w:hAnsi="Arial"/>
          <w:sz w:val="17"/>
          <w:szCs w:val="17"/>
          <w:color w:val="auto"/>
        </w:rPr>
        <w:t>, the relevant Lender or the Administrative Agent, as applicable, shall deliver a certificate to the Borrower setting forth, in reasonable detail, the basis and calculation of the amount of the relevant payment or liability.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3" w:name="page144"/>
    <w:bookmarkEnd w:id="143"/>
    <w:p>
      <w:pPr>
        <w:ind w:left="1020" w:hanging="264"/>
        <w:spacing w:after="0"/>
        <w:tabs>
          <w:tab w:leader="none" w:pos="10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jc w:val="both"/>
        <w:ind w:firstLine="756"/>
        <w:spacing w:after="0" w:line="310" w:lineRule="auto"/>
        <w:tabs>
          <w:tab w:leader="none" w:pos="101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As soon as practicable after any payment of any Taxes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spacing w:after="0" w:line="146" w:lineRule="exact"/>
        <w:rPr>
          <w:rFonts w:ascii="Arial" w:cs="Arial" w:eastAsia="Arial" w:hAnsi="Arial"/>
          <w:sz w:val="16"/>
          <w:szCs w:val="16"/>
          <w:color w:val="auto"/>
        </w:rPr>
      </w:pPr>
    </w:p>
    <w:p>
      <w:pPr>
        <w:ind w:left="1020" w:hanging="264"/>
        <w:spacing w:after="0"/>
        <w:tabs>
          <w:tab w:leader="none" w:pos="102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2" w:lineRule="exact"/>
        <w:rPr>
          <w:rFonts w:ascii="Arial" w:cs="Arial" w:eastAsia="Arial" w:hAnsi="Arial"/>
          <w:sz w:val="18"/>
          <w:szCs w:val="18"/>
          <w:u w:val="single" w:color="auto"/>
          <w:color w:val="auto"/>
        </w:rPr>
      </w:pPr>
    </w:p>
    <w:p>
      <w:pPr>
        <w:jc w:val="both"/>
        <w:ind w:left="760" w:firstLine="1045"/>
        <w:spacing w:after="0" w:line="252" w:lineRule="auto"/>
        <w:tabs>
          <w:tab w:leader="none" w:pos="204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any withholding Tax with respect to any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 provided to the Administrative Agent pursuant to this </w:t>
      </w:r>
      <w:r>
        <w:rPr>
          <w:rFonts w:ascii="Arial" w:cs="Arial" w:eastAsia="Arial" w:hAnsi="Arial"/>
          <w:sz w:val="18"/>
          <w:szCs w:val="18"/>
          <w:u w:val="single" w:color="auto"/>
          <w:color w:val="auto"/>
        </w:rPr>
        <w:t>Section 2.17(f)</w:t>
      </w:r>
      <w:r>
        <w:rPr>
          <w:rFonts w:ascii="Arial" w:cs="Arial" w:eastAsia="Arial" w:hAnsi="Arial"/>
          <w:sz w:val="18"/>
          <w:szCs w:val="18"/>
          <w:color w:val="auto"/>
        </w:rPr>
        <w:t>.</w:t>
      </w:r>
    </w:p>
    <w:p>
      <w:pPr>
        <w:spacing w:after="0" w:line="19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(ii)Without limiting the generality of the foregoing,</w:t>
      </w:r>
    </w:p>
    <w:p>
      <w:pPr>
        <w:spacing w:after="0" w:line="223" w:lineRule="exact"/>
        <w:rPr>
          <w:sz w:val="20"/>
          <w:szCs w:val="20"/>
          <w:color w:val="auto"/>
        </w:rPr>
      </w:pPr>
    </w:p>
    <w:p>
      <w:pPr>
        <w:jc w:val="both"/>
        <w:ind w:left="1500" w:firstLine="754"/>
        <w:spacing w:after="0" w:line="258" w:lineRule="auto"/>
        <w:tabs>
          <w:tab w:leader="none" w:pos="25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U.S. Lender shall deliver to the Borrower and the Administrative Agent on or prior to the date on which such U.S. Lender becomes a Lender under this Agreement (and from time to time thereafter upon the reasonable request of the Borrower or the Administrative Agent), two executed original copies of IRS Form W-9 certifying that such Lender is exempt from U.S. federal backup withholding;</w:t>
      </w:r>
    </w:p>
    <w:p>
      <w:pPr>
        <w:spacing w:after="0" w:line="184" w:lineRule="exact"/>
        <w:rPr>
          <w:rFonts w:ascii="Arial" w:cs="Arial" w:eastAsia="Arial" w:hAnsi="Arial"/>
          <w:sz w:val="18"/>
          <w:szCs w:val="18"/>
          <w:color w:val="auto"/>
        </w:rPr>
      </w:pPr>
    </w:p>
    <w:p>
      <w:pPr>
        <w:jc w:val="both"/>
        <w:ind w:left="1500" w:firstLine="754"/>
        <w:spacing w:after="0" w:line="262" w:lineRule="auto"/>
        <w:tabs>
          <w:tab w:leader="none" w:pos="254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2" w:lineRule="exact"/>
        <w:rPr>
          <w:rFonts w:ascii="Arial" w:cs="Arial" w:eastAsia="Arial" w:hAnsi="Arial"/>
          <w:sz w:val="18"/>
          <w:szCs w:val="18"/>
          <w:color w:val="auto"/>
        </w:rPr>
      </w:pPr>
    </w:p>
    <w:p>
      <w:pPr>
        <w:jc w:val="both"/>
        <w:ind w:left="1500" w:firstLine="1503"/>
        <w:spacing w:after="0" w:line="262" w:lineRule="auto"/>
        <w:tabs>
          <w:tab w:leader="none" w:pos="356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any Foreign Lender claiming the benefits of an income tax treaty to which the U.S. is a party, two executed original copies of IRS Form W-8BEN or W-8BEN-E, as applicable, establishing any available exemption from, or reduction of, U.S. federal withholding Tax;</w:t>
      </w:r>
    </w:p>
    <w:p>
      <w:pPr>
        <w:spacing w:after="0" w:line="182" w:lineRule="exact"/>
        <w:rPr>
          <w:rFonts w:ascii="Arial" w:cs="Arial" w:eastAsia="Arial" w:hAnsi="Arial"/>
          <w:sz w:val="18"/>
          <w:szCs w:val="18"/>
          <w:color w:val="auto"/>
        </w:rPr>
      </w:pPr>
    </w:p>
    <w:p>
      <w:pPr>
        <w:ind w:left="3580" w:hanging="577"/>
        <w:spacing w:after="0"/>
        <w:tabs>
          <w:tab w:leader="none" w:pos="35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two executed original copies of IRS Form W-8ECI (or any successor forms);</w:t>
      </w:r>
    </w:p>
    <w:p>
      <w:pPr>
        <w:spacing w:after="0" w:line="222" w:lineRule="exact"/>
        <w:rPr>
          <w:rFonts w:ascii="Arial" w:cs="Arial" w:eastAsia="Arial" w:hAnsi="Arial"/>
          <w:sz w:val="18"/>
          <w:szCs w:val="18"/>
          <w:color w:val="auto"/>
        </w:rPr>
      </w:pPr>
    </w:p>
    <w:p>
      <w:pPr>
        <w:jc w:val="both"/>
        <w:ind w:left="1500" w:firstLine="1503"/>
        <w:spacing w:after="0" w:line="253" w:lineRule="auto"/>
        <w:tabs>
          <w:tab w:leader="none" w:pos="356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in the case of any Foreign Lender claiming the benefits of the exemption for portfolio interest under Section 871(h) or 881(c) of the Code, (x) two executed original copies of a certificate substantially in the form of </w:t>
      </w:r>
      <w:r>
        <w:rPr>
          <w:rFonts w:ascii="Arial" w:cs="Arial" w:eastAsia="Arial" w:hAnsi="Arial"/>
          <w:sz w:val="18"/>
          <w:szCs w:val="18"/>
          <w:u w:val="single" w:color="auto"/>
          <w:color w:val="auto"/>
        </w:rPr>
        <w:t>Exhibit O-1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871(h)(3)(B) of the Code, or a “controlled foreign corporation” described in Section 881(c)(3)(C) of the Code, and that no payments payable to such Lender are effectively connected with the conduct of a U.S. trade or business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two executed original copies of IRS Form W-8BEN or W-8BEN-E, as applicable (or any successor forms); or</w:t>
      </w:r>
    </w:p>
    <w:p>
      <w:pPr>
        <w:spacing w:after="0" w:line="192" w:lineRule="exact"/>
        <w:rPr>
          <w:rFonts w:ascii="Arial" w:cs="Arial" w:eastAsia="Arial" w:hAnsi="Arial"/>
          <w:sz w:val="18"/>
          <w:szCs w:val="18"/>
          <w:color w:val="auto"/>
        </w:rPr>
      </w:pPr>
    </w:p>
    <w:p>
      <w:pPr>
        <w:jc w:val="both"/>
        <w:ind w:left="1500" w:firstLine="1503"/>
        <w:spacing w:after="0" w:line="262" w:lineRule="auto"/>
        <w:tabs>
          <w:tab w:leader="none" w:pos="356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the extent any Foreign Lender is not the beneficial owner (e.g., where the Foreign Lender is a partnership or participating Lender), two executed original copies of IRS Form W-8IMY (or any successor forms), accompanied by IRS Form W-8ECI, IRS Form W-8BEN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4" w:name="page145"/>
    <w:bookmarkEnd w:id="144"/>
    <w:p>
      <w:pPr>
        <w:jc w:val="both"/>
        <w:ind w:left="1500"/>
        <w:spacing w:after="0" w:line="255" w:lineRule="auto"/>
        <w:rPr>
          <w:sz w:val="20"/>
          <w:szCs w:val="20"/>
          <w:color w:val="auto"/>
        </w:rPr>
      </w:pPr>
      <w:r>
        <w:rPr>
          <w:rFonts w:ascii="Arial" w:cs="Arial" w:eastAsia="Arial" w:hAnsi="Arial"/>
          <w:sz w:val="18"/>
          <w:szCs w:val="18"/>
          <w:color w:val="auto"/>
        </w:rPr>
        <w:t xml:space="preserve">or W-8BEN-E, a U.S. Tax Compliance Certificate substantially in the form of </w:t>
      </w:r>
      <w:r>
        <w:rPr>
          <w:rFonts w:ascii="Arial" w:cs="Arial" w:eastAsia="Arial" w:hAnsi="Arial"/>
          <w:sz w:val="18"/>
          <w:szCs w:val="18"/>
          <w:u w:val="single" w:color="auto"/>
          <w:color w:val="auto"/>
        </w:rPr>
        <w:t>Exhibit O-2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O-3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O-4</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O-3</w:t>
      </w:r>
      <w:r>
        <w:rPr>
          <w:rFonts w:ascii="Arial" w:cs="Arial" w:eastAsia="Arial" w:hAnsi="Arial"/>
          <w:sz w:val="18"/>
          <w:szCs w:val="18"/>
          <w:color w:val="auto"/>
        </w:rPr>
        <w:t xml:space="preserve"> on behalf of each such direct or indirect partner(s);</w:t>
      </w:r>
    </w:p>
    <w:p>
      <w:pPr>
        <w:spacing w:after="0" w:line="190" w:lineRule="exact"/>
        <w:rPr>
          <w:sz w:val="20"/>
          <w:szCs w:val="20"/>
          <w:color w:val="auto"/>
        </w:rPr>
      </w:pPr>
    </w:p>
    <w:p>
      <w:pPr>
        <w:jc w:val="both"/>
        <w:ind w:left="1500" w:firstLine="754"/>
        <w:spacing w:after="0" w:line="272" w:lineRule="auto"/>
        <w:tabs>
          <w:tab w:leader="none" w:pos="25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Foreign Lender shall deliver to the Borrower and the Administrative Agent on or prior to the date on which such Foreign Lender becomes a Lender under this Agreement (and from time to time thereafter upon the reasonable request of the Borrower or the Administrative Agent), two executed original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175" w:lineRule="exact"/>
        <w:rPr>
          <w:rFonts w:ascii="Arial" w:cs="Arial" w:eastAsia="Arial" w:hAnsi="Arial"/>
          <w:sz w:val="17"/>
          <w:szCs w:val="17"/>
          <w:color w:val="auto"/>
        </w:rPr>
      </w:pPr>
    </w:p>
    <w:p>
      <w:pPr>
        <w:jc w:val="both"/>
        <w:ind w:left="1500" w:firstLine="754"/>
        <w:spacing w:after="0" w:line="269" w:lineRule="auto"/>
        <w:tabs>
          <w:tab w:leader="none" w:pos="25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w:t>
      </w:r>
    </w:p>
    <w:p>
      <w:pPr>
        <w:spacing w:after="0" w:line="17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Each Lender agrees that if any documentation it previously delivered expires or becomes obsolete or inaccurate in any respect (including any specific documentation required above in this </w:t>
      </w:r>
      <w:r>
        <w:rPr>
          <w:rFonts w:ascii="Arial" w:cs="Arial" w:eastAsia="Arial" w:hAnsi="Arial"/>
          <w:sz w:val="18"/>
          <w:szCs w:val="18"/>
          <w:u w:val="single" w:color="auto"/>
          <w:color w:val="auto"/>
        </w:rPr>
        <w:t>Section 2.17(f)</w:t>
      </w:r>
      <w:r>
        <w:rPr>
          <w:rFonts w:ascii="Arial" w:cs="Arial" w:eastAsia="Arial" w:hAnsi="Arial"/>
          <w:sz w:val="18"/>
          <w:szCs w:val="18"/>
          <w:color w:val="auto"/>
        </w:rPr>
        <w: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2.17(f)</w:t>
      </w:r>
      <w:r>
        <w:rPr>
          <w:rFonts w:ascii="Arial" w:cs="Arial" w:eastAsia="Arial" w:hAnsi="Arial"/>
          <w:sz w:val="18"/>
          <w:szCs w:val="18"/>
          <w:color w:val="auto"/>
        </w:rPr>
        <w:t>, no Lender shall be required to provide any documentation that such Lender is not legally eligible to deliver.</w:t>
      </w:r>
    </w:p>
    <w:p>
      <w:pPr>
        <w:spacing w:after="0" w:line="171" w:lineRule="exact"/>
        <w:rPr>
          <w:sz w:val="20"/>
          <w:szCs w:val="20"/>
          <w:color w:val="auto"/>
        </w:rPr>
      </w:pPr>
    </w:p>
    <w:p>
      <w:pPr>
        <w:jc w:val="both"/>
        <w:ind w:firstLine="756"/>
        <w:spacing w:after="0" w:line="268" w:lineRule="auto"/>
        <w:tabs>
          <w:tab w:leader="none" w:pos="101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If the Administrative Agent or any Lender determines, in its sole discretion, that it has received a refund (whether received in cash or applied as a credit against any cash taxes of the same type payable) of any Indemnified Taxes or Other Taxes as to which it has been indemnified by the Borrower or with respect to which the Borrower has paid additional amounts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it shall pay over such refund to the Borrower (but only to the extent of indemnity payments made, or additional amounts paid, by the Borrower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or such Lender, agrees to repay the amount paid over to such Loan Party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in no event will the Administrative Agent or any Lender be required to pay any amount to the Borrower pursuant to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to the extent that the payment thereof would place the Administrative Agent or such Lender in a less favorable net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5" w:name="page146"/>
    <w:bookmarkEnd w:id="145"/>
    <w:p>
      <w:pPr>
        <w:jc w:val="both"/>
        <w:spacing w:after="0" w:line="258" w:lineRule="auto"/>
        <w:rPr>
          <w:sz w:val="20"/>
          <w:szCs w:val="20"/>
          <w:color w:val="auto"/>
        </w:rPr>
      </w:pPr>
      <w:r>
        <w:rPr>
          <w:rFonts w:ascii="Arial" w:cs="Arial" w:eastAsia="Arial" w:hAnsi="Arial"/>
          <w:sz w:val="18"/>
          <w:szCs w:val="18"/>
          <w:color w:val="auto"/>
        </w:rPr>
        <w:t xml:space="preserve">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not be construed to require the Administrative Agent or any Lender to make available its Tax returns (or any other information relating to its Taxes which it deems confidential) to the relevant Loan Party or any other Person.</w:t>
      </w:r>
    </w:p>
    <w:p>
      <w:pPr>
        <w:spacing w:after="0" w:line="185" w:lineRule="exact"/>
        <w:rPr>
          <w:sz w:val="20"/>
          <w:szCs w:val="20"/>
          <w:color w:val="auto"/>
        </w:rPr>
      </w:pPr>
    </w:p>
    <w:p>
      <w:pPr>
        <w:jc w:val="both"/>
        <w:ind w:firstLine="756"/>
        <w:spacing w:after="0" w:line="262" w:lineRule="auto"/>
        <w:tabs>
          <w:tab w:leader="none" w:pos="1019"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182" w:lineRule="exact"/>
        <w:rPr>
          <w:rFonts w:ascii="Arial" w:cs="Arial" w:eastAsia="Arial" w:hAnsi="Arial"/>
          <w:sz w:val="18"/>
          <w:szCs w:val="18"/>
          <w:u w:val="single" w:color="auto"/>
          <w:color w:val="auto"/>
        </w:rPr>
      </w:pPr>
    </w:p>
    <w:p>
      <w:pPr>
        <w:ind w:firstLine="756"/>
        <w:spacing w:after="0" w:line="275" w:lineRule="auto"/>
        <w:tabs>
          <w:tab w:leader="none" w:pos="1019"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 of Lender</w:t>
      </w:r>
      <w:r>
        <w:rPr>
          <w:rFonts w:ascii="Arial" w:cs="Arial" w:eastAsia="Arial" w:hAnsi="Arial"/>
          <w:sz w:val="18"/>
          <w:szCs w:val="18"/>
          <w:color w:val="auto"/>
        </w:rPr>
        <w:t xml:space="preserve">. For the avoidance of doubt, the term “Lender” shall, for all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include any Issuing Bank and the Swingline Lender.</w:t>
      </w:r>
    </w:p>
    <w:p>
      <w:pPr>
        <w:spacing w:after="0" w:line="170" w:lineRule="exact"/>
        <w:rPr>
          <w:rFonts w:ascii="Arial" w:cs="Arial" w:eastAsia="Arial" w:hAnsi="Arial"/>
          <w:sz w:val="18"/>
          <w:szCs w:val="18"/>
          <w:u w:val="single" w:color="auto"/>
          <w:color w:val="auto"/>
        </w:rPr>
      </w:pPr>
    </w:p>
    <w:p>
      <w:pPr>
        <w:jc w:val="both"/>
        <w:ind w:firstLine="756"/>
        <w:spacing w:after="0" w:line="268" w:lineRule="auto"/>
        <w:tabs>
          <w:tab w:leader="none" w:pos="101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On or before the date the Administrative Agent becomes a party to this Agreement, the Administrative Agent shall deliver to Borrower whichever of the following is applicable: (i) if the Administrative Agent is a “United States person” within the meaning of Section 7701(a)(30) of the Code, two executed original copies of IRS Form W-9 certifying that such Administrative Agent is exempt from U.S. federal backup withholding or (ii) if the Administrative Agent is not a “United States person” within the meaning of Section 7701(a)(30) of the Code, (A) with respect to payments received for its own account, two executed original copies of IRS Form W-8ECI and (B) with respect to payments received on account of any Lender, two executed original copies of IRS Form W-8IMY (together with all required accompanying documentation) certifying that the Administrative Agent is a U.S. branch and may be treated as a United States person for purposes of applicable U.S. federal withholding Tax.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Arial" w:cs="Arial" w:eastAsia="Arial" w:hAnsi="Arial"/>
          <w:sz w:val="17"/>
          <w:szCs w:val="17"/>
          <w:u w:val="single" w:color="auto"/>
          <w:color w:val="auto"/>
        </w:rPr>
        <w:t>Section 2.17(j)</w:t>
      </w:r>
      <w:r>
        <w:rPr>
          <w:rFonts w:ascii="Arial" w:cs="Arial" w:eastAsia="Arial" w:hAnsi="Arial"/>
          <w:sz w:val="17"/>
          <w:szCs w:val="17"/>
          <w:color w:val="auto"/>
        </w:rPr>
        <w:t>, the Administrative Agent shall not be required to provide any documentation that the Administrative Agent is not legally eligible to deliver as a result of a Change in Law after the Closing Date.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2.18.Payments Generally; Allocation of Proceeds; Sharing of Payments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6" w:lineRule="auto"/>
        <w:tabs>
          <w:tab w:leader="none" w:pos="101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All payments to be made by the Borrower shall be made free and clear of and without condition or deduction for any counterclaim, defense, recoupment or setoff. Unless otherwise specified, the Borrower shall make each payment required to be made by it hereunder (whether of principal, interest or fees, reimbursements of LC Disbursements, or of amounts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or otherwise) prior to 3:00 p.m. on the date when due, in immediately available funds.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by the Administrative Agent to the Borrower, except that payments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shall be made directly to the Person or Persons entitled thereto. The Administrative Agent shall distribute any such payments received by it for the account of any other Person to the appropriate recipient promptly following receipt thereof. Except as provided in </w:t>
      </w:r>
      <w:r>
        <w:rPr>
          <w:rFonts w:ascii="Arial" w:cs="Arial" w:eastAsia="Arial" w:hAnsi="Arial"/>
          <w:sz w:val="17"/>
          <w:szCs w:val="17"/>
          <w:u w:val="single" w:color="auto"/>
          <w:color w:val="auto"/>
        </w:rPr>
        <w:t>Sections 2.19(b)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2.20</w:t>
      </w:r>
      <w:r>
        <w:rPr>
          <w:rFonts w:ascii="Arial" w:cs="Arial" w:eastAsia="Arial" w:hAnsi="Arial"/>
          <w:sz w:val="17"/>
          <w:szCs w:val="17"/>
          <w:color w:val="auto"/>
        </w:rPr>
        <w: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88" w:lineRule="exact"/>
        <w:rPr>
          <w:rFonts w:ascii="Arial" w:cs="Arial" w:eastAsia="Arial" w:hAnsi="Arial"/>
          <w:sz w:val="17"/>
          <w:szCs w:val="17"/>
          <w:color w:val="auto"/>
        </w:rPr>
      </w:pPr>
    </w:p>
    <w:p>
      <w:pPr>
        <w:jc w:val="both"/>
        <w:ind w:firstLine="756"/>
        <w:spacing w:after="0" w:line="277" w:lineRule="auto"/>
        <w:tabs>
          <w:tab w:leader="none" w:pos="101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All proceeds of Collateral received by the Administrative Agent while an Event of Default exists and all or any portion of the Loans have been accelerated hereunder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6" w:name="page147"/>
    <w:bookmarkEnd w:id="146"/>
    <w:p>
      <w:pPr>
        <w:jc w:val="both"/>
        <w:spacing w:after="0" w:line="268" w:lineRule="auto"/>
        <w:rPr>
          <w:sz w:val="20"/>
          <w:szCs w:val="20"/>
          <w:color w:val="auto"/>
        </w:rPr>
      </w:pPr>
      <w:r>
        <w:rPr>
          <w:rFonts w:ascii="Arial" w:cs="Arial" w:eastAsia="Arial" w:hAnsi="Arial"/>
          <w:sz w:val="17"/>
          <w:szCs w:val="17"/>
          <w:color w:val="auto"/>
        </w:rPr>
        <w:t xml:space="preserve">of all advances made by the Administrative Agent hereunder or under any other Loan Document on behalf of any Loan Party and any other costs or expenses incurred in connection with the exercise of any right or remedy hereunder or under any other Loan Document,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on a pro rata basis, to pay any fees, indemnities or expense reimbursements then due to the Administrative Agent (other than those covered in clause first above) or to the Swingline Lender or any Issuing Bank from the Borrower constituting Secured Obligations, </w:t>
      </w:r>
      <w:r>
        <w:rPr>
          <w:rFonts w:ascii="Arial" w:cs="Arial" w:eastAsia="Arial" w:hAnsi="Arial"/>
          <w:sz w:val="17"/>
          <w:szCs w:val="17"/>
          <w:u w:val="single" w:color="auto"/>
          <w:color w:val="auto"/>
        </w:rPr>
        <w:t>third</w:t>
      </w:r>
      <w:r>
        <w:rPr>
          <w:rFonts w:ascii="Arial" w:cs="Arial" w:eastAsia="Arial" w:hAnsi="Arial"/>
          <w:sz w:val="17"/>
          <w:szCs w:val="17"/>
          <w:color w:val="auto"/>
        </w:rPr>
        <w:t>,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then on deposit in the LC Collateral Account) on such date, to be held in the LC Collateral Account as Cash collateral for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Letter of Credit expires undrawn, then any Cash collateral held to secure the related LC Exposure shall be applied in accordance with this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beginning with clause first above, and </w:t>
      </w:r>
      <w:r>
        <w:rPr>
          <w:rFonts w:ascii="Arial" w:cs="Arial" w:eastAsia="Arial" w:hAnsi="Arial"/>
          <w:sz w:val="17"/>
          <w:szCs w:val="17"/>
          <w:u w:val="single" w:color="auto"/>
          <w:color w:val="auto"/>
        </w:rPr>
        <w:t>fourth</w:t>
      </w:r>
      <w:r>
        <w:rPr>
          <w:rFonts w:ascii="Arial" w:cs="Arial" w:eastAsia="Arial" w:hAnsi="Arial"/>
          <w:sz w:val="17"/>
          <w:szCs w:val="17"/>
          <w:color w:val="auto"/>
        </w:rPr>
        <w:t>, to, or at the direction of, the Borrower or as a court of competent jurisdiction may otherwise direct.</w:t>
      </w:r>
    </w:p>
    <w:p>
      <w:pPr>
        <w:spacing w:after="0" w:line="182" w:lineRule="exact"/>
        <w:rPr>
          <w:sz w:val="20"/>
          <w:szCs w:val="20"/>
          <w:color w:val="auto"/>
        </w:rPr>
      </w:pPr>
    </w:p>
    <w:p>
      <w:pPr>
        <w:jc w:val="both"/>
        <w:ind w:firstLine="756"/>
        <w:spacing w:after="0" w:line="283" w:lineRule="auto"/>
        <w:tabs>
          <w:tab w:leader="none" w:pos="101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If any Lender obtains payment (whether voluntary, involuntary, through the exercise of any right of set-off or otherwise) in respect of any principal of or interest on any of its Loans of any Class or participations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 connection with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and will, in each case, notify the Lenders following any such purchases or repayments. Each Lender that purchases a participation pursuant to this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of the definition of “Excluded Taxes,” a Lender that acquires a participation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2.18(c)</w:t>
      </w:r>
      <w:r>
        <w:rPr>
          <w:rFonts w:ascii="Arial" w:cs="Arial" w:eastAsia="Arial" w:hAnsi="Arial"/>
          <w:sz w:val="16"/>
          <w:szCs w:val="16"/>
          <w:color w:val="auto"/>
        </w:rPr>
        <w:t xml:space="preserve"> shall be treated as having acquired such participation on the earlier date(s) on which such Lender acquired the applicable interest(s) in the Commitment(s) and/or Loan(s) to which such participation relates.</w:t>
      </w:r>
    </w:p>
    <w:p>
      <w:pPr>
        <w:spacing w:after="0" w:line="388" w:lineRule="exact"/>
        <w:rPr>
          <w:rFonts w:ascii="Arial" w:cs="Arial" w:eastAsia="Arial" w:hAnsi="Arial"/>
          <w:sz w:val="16"/>
          <w:szCs w:val="16"/>
          <w:color w:val="auto"/>
        </w:rPr>
      </w:pPr>
    </w:p>
    <w:p>
      <w:pPr>
        <w:jc w:val="both"/>
        <w:ind w:firstLine="756"/>
        <w:spacing w:after="0" w:line="268" w:lineRule="auto"/>
        <w:tabs>
          <w:tab w:leader="none" w:pos="101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Unless the Administrative Agent has received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 Amount</w:t>
      </w:r>
      <w:r>
        <w:rPr>
          <w:rFonts w:ascii="Arial" w:cs="Arial" w:eastAsia="Arial" w:hAnsi="Arial"/>
          <w:sz w:val="17"/>
          <w:szCs w:val="17"/>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immediately available funds with interest thereon,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7" w:name="page148"/>
    <w:bookmarkEnd w:id="147"/>
    <w:p>
      <w:pPr>
        <w:jc w:val="both"/>
        <w:spacing w:after="0" w:line="310" w:lineRule="auto"/>
        <w:rPr>
          <w:sz w:val="20"/>
          <w:szCs w:val="20"/>
          <w:color w:val="auto"/>
        </w:rPr>
      </w:pPr>
      <w:r>
        <w:rPr>
          <w:rFonts w:ascii="Arial" w:cs="Arial" w:eastAsia="Arial" w:hAnsi="Arial"/>
          <w:sz w:val="16"/>
          <w:szCs w:val="16"/>
          <w:color w:val="auto"/>
        </w:rPr>
        <w:t xml:space="preserve">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 notice of the Administrative Agent to any Lender with respect to any amount owing under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be conclusive, absent manifest error.</w:t>
      </w:r>
    </w:p>
    <w:p>
      <w:pPr>
        <w:spacing w:after="0" w:line="147" w:lineRule="exact"/>
        <w:rPr>
          <w:sz w:val="20"/>
          <w:szCs w:val="20"/>
          <w:color w:val="auto"/>
        </w:rPr>
      </w:pPr>
    </w:p>
    <w:p>
      <w:pPr>
        <w:jc w:val="both"/>
        <w:ind w:firstLine="756"/>
        <w:spacing w:after="0" w:line="310" w:lineRule="auto"/>
        <w:tabs>
          <w:tab w:leader="none" w:pos="101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If any Lender fails to make any payment required to be made by it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2.18(d)</w:t>
      </w:r>
      <w:r>
        <w:rPr>
          <w:rFonts w:ascii="Arial" w:cs="Arial" w:eastAsia="Arial" w:hAnsi="Arial"/>
          <w:sz w:val="16"/>
          <w:szCs w:val="16"/>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2.19.Mitigation Obligations; Replacement of Lenders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9" w:lineRule="auto"/>
        <w:tabs>
          <w:tab w:leader="none" w:pos="101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such Lender determines it can no longer make or maintain LIBO Rate </w:t>
      </w:r>
      <w:r>
        <w:rPr>
          <w:rFonts w:ascii="Arial" w:cs="Arial" w:eastAsia="Arial" w:hAnsi="Arial"/>
          <w:sz w:val="17"/>
          <w:szCs w:val="17"/>
          <w:u w:val="single" w:color="auto"/>
          <w:color w:val="0000FF"/>
        </w:rPr>
        <w:t>Loans,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Term SOFR</w:t>
      </w:r>
      <w:r>
        <w:rPr>
          <w:rFonts w:ascii="Arial" w:cs="Arial" w:eastAsia="Arial" w:hAnsi="Arial"/>
          <w:sz w:val="17"/>
          <w:szCs w:val="17"/>
          <w:color w:val="0000FF"/>
        </w:rPr>
        <w:t xml:space="preserve"> </w:t>
      </w:r>
      <w:r>
        <w:rPr>
          <w:rFonts w:ascii="Arial" w:cs="Arial" w:eastAsia="Arial" w:hAnsi="Arial"/>
          <w:sz w:val="17"/>
          <w:szCs w:val="17"/>
          <w:color w:val="000000"/>
        </w:rPr>
        <w:t>Loans or RFR Loans pursuant to</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Section 2.20</w:t>
      </w:r>
      <w:r>
        <w:rPr>
          <w:rFonts w:ascii="Arial" w:cs="Arial" w:eastAsia="Arial" w:hAnsi="Arial"/>
          <w:sz w:val="17"/>
          <w:szCs w:val="17"/>
          <w:color w:val="000000"/>
        </w:rPr>
        <w:t>, or any Loan Party is required to pay any additional amount to or indemnify any Lender or any</w:t>
      </w:r>
      <w:r>
        <w:rPr>
          <w:rFonts w:ascii="Arial" w:cs="Arial" w:eastAsia="Arial" w:hAnsi="Arial"/>
          <w:sz w:val="17"/>
          <w:szCs w:val="17"/>
          <w:color w:val="0000FF"/>
        </w:rPr>
        <w:t xml:space="preserve"> </w:t>
      </w:r>
      <w:r>
        <w:rPr>
          <w:rFonts w:ascii="Arial" w:cs="Arial" w:eastAsia="Arial" w:hAnsi="Arial"/>
          <w:sz w:val="17"/>
          <w:szCs w:val="17"/>
          <w:color w:val="000000"/>
        </w:rPr>
        <w:t xml:space="preserve">Governmental Authority for the account of any Lender pursuant to </w:t>
      </w:r>
      <w:r>
        <w:rPr>
          <w:rFonts w:ascii="Arial" w:cs="Arial" w:eastAsia="Arial" w:hAnsi="Arial"/>
          <w:sz w:val="17"/>
          <w:szCs w:val="17"/>
          <w:u w:val="single" w:color="auto"/>
          <w:color w:val="000000"/>
        </w:rPr>
        <w:t>Section 2.17</w:t>
      </w:r>
      <w:r>
        <w:rPr>
          <w:rFonts w:ascii="Arial" w:cs="Arial" w:eastAsia="Arial" w:hAnsi="Arial"/>
          <w:sz w:val="17"/>
          <w:szCs w:val="17"/>
          <w:color w:val="000000"/>
        </w:rPr>
        <w:t xml:space="preserve">,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7"/>
          <w:szCs w:val="17"/>
          <w:u w:val="single" w:color="auto"/>
          <w:color w:val="000000"/>
        </w:rPr>
        <w:t>Section 2.15</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2.17</w:t>
      </w:r>
      <w:r>
        <w:rPr>
          <w:rFonts w:ascii="Arial" w:cs="Arial" w:eastAsia="Arial" w:hAnsi="Arial"/>
          <w:sz w:val="17"/>
          <w:szCs w:val="17"/>
          <w:color w:val="000000"/>
        </w:rPr>
        <w:t xml:space="preserve">, as applicable, in the future or mitigate the impact of </w:t>
      </w:r>
      <w:r>
        <w:rPr>
          <w:rFonts w:ascii="Arial" w:cs="Arial" w:eastAsia="Arial" w:hAnsi="Arial"/>
          <w:sz w:val="17"/>
          <w:szCs w:val="17"/>
          <w:u w:val="single" w:color="auto"/>
          <w:color w:val="000000"/>
        </w:rPr>
        <w:t>Section 2.20</w:t>
      </w:r>
      <w:r>
        <w:rPr>
          <w:rFonts w:ascii="Arial" w:cs="Arial" w:eastAsia="Arial" w:hAnsi="Arial"/>
          <w:sz w:val="17"/>
          <w:szCs w:val="17"/>
          <w:color w:val="000000"/>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spacing w:after="0" w:line="178" w:lineRule="exact"/>
        <w:rPr>
          <w:rFonts w:ascii="Arial" w:cs="Arial" w:eastAsia="Arial" w:hAnsi="Arial"/>
          <w:sz w:val="17"/>
          <w:szCs w:val="17"/>
          <w:color w:val="auto"/>
        </w:rPr>
      </w:pPr>
    </w:p>
    <w:p>
      <w:pPr>
        <w:jc w:val="both"/>
        <w:ind w:firstLine="756"/>
        <w:spacing w:after="0" w:line="283" w:lineRule="auto"/>
        <w:tabs>
          <w:tab w:leader="none" w:pos="101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such Lender determines it can no longer make or maintain LIBO Rate </w:t>
      </w:r>
      <w:r>
        <w:rPr>
          <w:rFonts w:ascii="Arial" w:cs="Arial" w:eastAsia="Arial" w:hAnsi="Arial"/>
          <w:sz w:val="16"/>
          <w:szCs w:val="16"/>
          <w:u w:val="single" w:color="auto"/>
          <w:color w:val="0000FF"/>
        </w:rPr>
        <w:t>Loans,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Term SOFR</w:t>
      </w:r>
      <w:r>
        <w:rPr>
          <w:rFonts w:ascii="Arial" w:cs="Arial" w:eastAsia="Arial" w:hAnsi="Arial"/>
          <w:sz w:val="16"/>
          <w:szCs w:val="16"/>
          <w:color w:val="0000FF"/>
        </w:rPr>
        <w:t xml:space="preserve"> </w:t>
      </w:r>
      <w:r>
        <w:rPr>
          <w:rFonts w:ascii="Arial" w:cs="Arial" w:eastAsia="Arial" w:hAnsi="Arial"/>
          <w:sz w:val="16"/>
          <w:szCs w:val="16"/>
          <w:color w:val="000000"/>
        </w:rPr>
        <w:t>Loans or RFR Loans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2.20</w:t>
      </w:r>
      <w:r>
        <w:rPr>
          <w:rFonts w:ascii="Arial" w:cs="Arial" w:eastAsia="Arial" w:hAnsi="Arial"/>
          <w:sz w:val="16"/>
          <w:szCs w:val="16"/>
          <w:color w:val="000000"/>
        </w:rPr>
        <w:t>, (ii) any Loan Party is required to pay any additional amount to or indemnify any Lender or any</w:t>
      </w:r>
      <w:r>
        <w:rPr>
          <w:rFonts w:ascii="Arial" w:cs="Arial" w:eastAsia="Arial" w:hAnsi="Arial"/>
          <w:sz w:val="16"/>
          <w:szCs w:val="16"/>
          <w:color w:val="0000FF"/>
        </w:rPr>
        <w:t xml:space="preserve"> </w:t>
      </w:r>
      <w:r>
        <w:rPr>
          <w:rFonts w:ascii="Arial" w:cs="Arial" w:eastAsia="Arial" w:hAnsi="Arial"/>
          <w:sz w:val="16"/>
          <w:szCs w:val="16"/>
          <w:color w:val="000000"/>
        </w:rPr>
        <w:t xml:space="preserve">Governmental Authority for the account of any Lender pursuant to </w:t>
      </w:r>
      <w:r>
        <w:rPr>
          <w:rFonts w:ascii="Arial" w:cs="Arial" w:eastAsia="Arial" w:hAnsi="Arial"/>
          <w:sz w:val="16"/>
          <w:szCs w:val="16"/>
          <w:u w:val="single" w:color="auto"/>
          <w:color w:val="000000"/>
        </w:rPr>
        <w:t>Section 2.17</w:t>
      </w:r>
      <w:r>
        <w:rPr>
          <w:rFonts w:ascii="Arial" w:cs="Arial" w:eastAsia="Arial" w:hAnsi="Arial"/>
          <w:sz w:val="16"/>
          <w:szCs w:val="16"/>
          <w:color w:val="000000"/>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after giving effect such termination and repayment, the aggregate amount of the Revolving Credit Exposure of any Class exceeds the aggregate amount of the Revolving Credit Commitments of such Class then in effect, then the Borrower shall, not later than the next Business Day, prepay one or more Revolving Loan Borrowings of the applicable Class or Swingline Loans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Arial" w:cs="Arial" w:eastAsia="Arial" w:hAnsi="Arial"/>
          <w:sz w:val="16"/>
          <w:szCs w:val="16"/>
          <w:u w:val="single" w:color="auto"/>
          <w:color w:val="000000"/>
        </w:rPr>
        <w:t>Section 9.05</w:t>
      </w:r>
      <w:r>
        <w:rPr>
          <w:rFonts w:ascii="Arial" w:cs="Arial" w:eastAsia="Arial" w:hAnsi="Arial"/>
          <w:sz w:val="16"/>
          <w:szCs w:val="16"/>
          <w:color w:val="000000"/>
        </w:rPr>
        <w:t xml:space="preserve">), all of its interests, rights and obligations under this Agreement to an Eligible Assignee that shall assume such obligations (which Eligible Assignee may be another Lender, if any Lender accepts such assignment);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such Lender has received payment of an amount equal to the outstanding principal amount of its Loans and, if applicable, participations in LC Disbursements or Swingline Loans, in each case of such Class of Loans and/or Commitments, accrued interest thereon, accrued fees and all other amounts payable to it under any Loan Document with respect to such Class of Loans and/or Commitments, (B) in the case of any assignment resulting from a claim for compensation under </w:t>
      </w:r>
      <w:r>
        <w:rPr>
          <w:rFonts w:ascii="Arial" w:cs="Arial" w:eastAsia="Arial" w:hAnsi="Arial"/>
          <w:sz w:val="16"/>
          <w:szCs w:val="16"/>
          <w:u w:val="single" w:color="auto"/>
          <w:color w:val="000000"/>
        </w:rPr>
        <w:t>Section 2.15</w:t>
      </w:r>
      <w:r>
        <w:rPr>
          <w:rFonts w:ascii="Arial" w:cs="Arial" w:eastAsia="Arial" w:hAnsi="Arial"/>
          <w:sz w:val="16"/>
          <w:szCs w:val="16"/>
          <w:color w:val="000000"/>
        </w:rPr>
        <w:t xml:space="preserve"> or payments required to be made pursuant to </w:t>
      </w:r>
      <w:r>
        <w:rPr>
          <w:rFonts w:ascii="Arial" w:cs="Arial" w:eastAsia="Arial" w:hAnsi="Arial"/>
          <w:sz w:val="16"/>
          <w:szCs w:val="16"/>
          <w:u w:val="single" w:color="auto"/>
          <w:color w:val="000000"/>
        </w:rPr>
        <w:t>Section 2.17</w:t>
      </w:r>
      <w:r>
        <w:rPr>
          <w:rFonts w:ascii="Arial" w:cs="Arial" w:eastAsia="Arial" w:hAnsi="Arial"/>
          <w:sz w:val="16"/>
          <w:szCs w:val="16"/>
          <w:color w:val="000000"/>
        </w:rPr>
        <w:t xml:space="preserve">, such assignment would result in a reduction in such compensation or payments and (C) such assignment does not conflict with applicable Requirements of Law. No Lender (other than a Defaulting Lender) shall be required to make any such assignment and delegation, and the Borrower may not repay the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Arial" w:cs="Arial" w:eastAsia="Arial" w:hAnsi="Arial"/>
          <w:sz w:val="16"/>
          <w:szCs w:val="16"/>
          <w:u w:val="single" w:color="auto"/>
          <w:color w:val="000000"/>
        </w:rPr>
        <w:t>Section 2.19</w:t>
      </w:r>
      <w:r>
        <w:rPr>
          <w:rFonts w:ascii="Arial" w:cs="Arial" w:eastAsia="Arial" w:hAnsi="Arial"/>
          <w:sz w:val="16"/>
          <w:szCs w:val="16"/>
          <w:color w:val="000000"/>
        </w:rPr>
        <w:t>, it shall execute and deliver to the Administrative Agent an Assignment and Assumption to evidence such sale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8" w:name="page149"/>
    <w:bookmarkEnd w:id="148"/>
    <w:p>
      <w:pPr>
        <w:jc w:val="both"/>
        <w:spacing w:after="0" w:line="268" w:lineRule="auto"/>
        <w:rPr>
          <w:sz w:val="20"/>
          <w:szCs w:val="20"/>
          <w:color w:val="auto"/>
        </w:rPr>
      </w:pPr>
      <w:r>
        <w:rPr>
          <w:rFonts w:ascii="Arial" w:cs="Arial" w:eastAsia="Arial" w:hAnsi="Arial"/>
          <w:sz w:val="17"/>
          <w:szCs w:val="17"/>
          <w:color w:val="auto"/>
        </w:rPr>
        <w:t>purchase and shall deliver to the Administrative Agent any Promissory Note (if the assigning Lender’s Loans are evidenced by one or more Promissory Notes) subject to such Assignment and Assumption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replaced pursuant to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to execute an Assignment and Assumption or deliver any such Promissory Note shall not render such sale and purchase (and the corresponding assignment) invalid), such assignment shall be recorded in the Register,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 the extent that any Lender is replaced pursuant to </w:t>
      </w:r>
      <w:r>
        <w:rPr>
          <w:rFonts w:ascii="Arial" w:cs="Arial" w:eastAsia="Arial" w:hAnsi="Arial"/>
          <w:sz w:val="17"/>
          <w:szCs w:val="17"/>
          <w:u w:val="single" w:color="auto"/>
          <w:color w:val="auto"/>
        </w:rPr>
        <w:t>Section 2.19(b)(iv)</w:t>
      </w:r>
      <w:r>
        <w:rPr>
          <w:rFonts w:ascii="Arial" w:cs="Arial" w:eastAsia="Arial" w:hAnsi="Arial"/>
          <w:sz w:val="17"/>
          <w:szCs w:val="17"/>
          <w:color w:val="auto"/>
        </w:rPr>
        <w:t xml:space="preserve"> in connection with a Repricing Transaction requiring payment of a fee pursuant to </w:t>
      </w:r>
      <w:r>
        <w:rPr>
          <w:rFonts w:ascii="Arial" w:cs="Arial" w:eastAsia="Arial" w:hAnsi="Arial"/>
          <w:sz w:val="17"/>
          <w:szCs w:val="17"/>
          <w:u w:val="single" w:color="auto"/>
          <w:color w:val="auto"/>
        </w:rPr>
        <w:t>Section 2.12(f)</w:t>
      </w:r>
      <w:r>
        <w:rPr>
          <w:rFonts w:ascii="Arial" w:cs="Arial" w:eastAsia="Arial" w:hAnsi="Arial"/>
          <w:sz w:val="17"/>
          <w:szCs w:val="17"/>
          <w:color w:val="auto"/>
        </w:rPr>
        <w:t xml:space="preserve">, the Borrower shall pay to each Lender being replaced as a result of such Repricing Transaction the fee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2.12(f)</w:t>
      </w:r>
      <w:r>
        <w:rPr>
          <w:rFonts w:ascii="Arial" w:cs="Arial" w:eastAsia="Arial" w:hAnsi="Arial"/>
          <w:sz w:val="17"/>
          <w:szCs w:val="17"/>
          <w:color w:val="auto"/>
        </w:rPr>
        <w:t>.</w:t>
      </w:r>
    </w:p>
    <w:p>
      <w:pPr>
        <w:spacing w:after="0" w:line="18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u w:val="single" w:color="auto"/>
          <w:color w:val="auto"/>
        </w:rPr>
        <w:t>Section 2.20.Illegality</w:t>
      </w:r>
      <w:r>
        <w:rPr>
          <w:rFonts w:ascii="Arial" w:cs="Arial" w:eastAsia="Arial" w:hAnsi="Arial"/>
          <w:sz w:val="16"/>
          <w:szCs w:val="16"/>
          <w:color w:val="auto"/>
        </w:rPr>
        <w:t>.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Published LIBO Rate</w:t>
      </w:r>
      <w:r>
        <w:rPr>
          <w:rFonts w:ascii="Arial" w:cs="Arial" w:eastAsia="Arial" w:hAnsi="Arial"/>
          <w:sz w:val="16"/>
          <w:szCs w:val="16"/>
          <w:u w:val="single" w:color="auto"/>
          <w:color w:val="0000FF"/>
        </w:rPr>
        <w:t>, SOFR, Term SOFR</w:t>
      </w:r>
      <w:r>
        <w:rPr>
          <w:rFonts w:ascii="Arial" w:cs="Arial" w:eastAsia="Arial" w:hAnsi="Arial"/>
          <w:sz w:val="16"/>
          <w:szCs w:val="16"/>
          <w:color w:val="auto"/>
        </w:rPr>
        <w:t xml:space="preserve"> or SONIA, or to determine or charge interest rates based upon the Published LIBO Rate</w:t>
      </w:r>
      <w:r>
        <w:rPr>
          <w:rFonts w:ascii="Arial" w:cs="Arial" w:eastAsia="Arial" w:hAnsi="Arial"/>
          <w:sz w:val="16"/>
          <w:szCs w:val="16"/>
          <w:u w:val="single" w:color="auto"/>
          <w:color w:val="0000FF"/>
        </w:rPr>
        <w:t>, SOFR, Term SOFR</w:t>
      </w:r>
      <w:r>
        <w:rPr>
          <w:rFonts w:ascii="Arial" w:cs="Arial" w:eastAsia="Arial" w:hAnsi="Arial"/>
          <w:sz w:val="16"/>
          <w:szCs w:val="16"/>
          <w:color w:val="auto"/>
        </w:rPr>
        <w:t xml:space="preserve"> or SONIA, or any Governmental Authority has imposed material restrictions on the authority of such Lender to purchase or sell, or to take deposits of Dollars or any Revolving Alternative Currency in the applicable interbank market, then, on notice thereof by such Lender to the Borrower through the Administrative Agent, (i) any obligation of such Lender to make or continue LIBO Rate Loans</w:t>
      </w:r>
      <w:r>
        <w:rPr>
          <w:rFonts w:ascii="Arial" w:cs="Arial" w:eastAsia="Arial" w:hAnsi="Arial"/>
          <w:sz w:val="16"/>
          <w:szCs w:val="16"/>
          <w:u w:val="single" w:color="auto"/>
          <w:color w:val="0000FF"/>
        </w:rPr>
        <w:t>, Term SOFR Loans</w:t>
      </w:r>
      <w:r>
        <w:rPr>
          <w:rFonts w:ascii="Arial" w:cs="Arial" w:eastAsia="Arial" w:hAnsi="Arial"/>
          <w:sz w:val="16"/>
          <w:szCs w:val="16"/>
          <w:color w:val="auto"/>
        </w:rPr>
        <w:t xml:space="preserve"> or RFR Loans, as applicable, or to convert ABR Loans to LIBO Rate </w:t>
      </w:r>
      <w:r>
        <w:rPr>
          <w:rFonts w:ascii="Arial" w:cs="Arial" w:eastAsia="Arial" w:hAnsi="Arial"/>
          <w:sz w:val="16"/>
          <w:szCs w:val="16"/>
          <w:u w:val="single" w:color="auto"/>
          <w:color w:val="0000FF"/>
        </w:rPr>
        <w:t>Loans, Term SOFR</w:t>
      </w:r>
      <w:r>
        <w:rPr>
          <w:rFonts w:ascii="Arial" w:cs="Arial" w:eastAsia="Arial" w:hAnsi="Arial"/>
          <w:sz w:val="16"/>
          <w:szCs w:val="16"/>
          <w:color w:val="auto"/>
        </w:rPr>
        <w:t xml:space="preserve"> Loans or RFR Loans, as applicable, shall be suspended and (ii) if such notice asserts the illegality of such Lender making or maintaining ABR Loans the interest rate on which is determined by reference to the Published LIBO Rate </w:t>
      </w:r>
      <w:r>
        <w:rPr>
          <w:rFonts w:ascii="Arial" w:cs="Arial" w:eastAsia="Arial" w:hAnsi="Arial"/>
          <w:sz w:val="16"/>
          <w:szCs w:val="16"/>
          <w:u w:val="single" w:color="auto"/>
          <w:color w:val="0000FF"/>
        </w:rPr>
        <w:t>or Term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SOFR</w:t>
      </w:r>
      <w:r>
        <w:rPr>
          <w:rFonts w:ascii="Arial" w:cs="Arial" w:eastAsia="Arial" w:hAnsi="Arial"/>
          <w:sz w:val="16"/>
          <w:szCs w:val="16"/>
          <w:color w:val="0000FF"/>
        </w:rPr>
        <w:t xml:space="preserve"> </w:t>
      </w:r>
      <w:r>
        <w:rPr>
          <w:rFonts w:ascii="Arial" w:cs="Arial" w:eastAsia="Arial" w:hAnsi="Arial"/>
          <w:sz w:val="16"/>
          <w:szCs w:val="16"/>
          <w:color w:val="000000"/>
        </w:rPr>
        <w:t>component of the Alternate Base Rate, the interest rate on ABR Loans of such Lender shall, if necessary to avoid such illegality, be determined by the</w:t>
      </w:r>
      <w:r>
        <w:rPr>
          <w:rFonts w:ascii="Arial" w:cs="Arial" w:eastAsia="Arial" w:hAnsi="Arial"/>
          <w:sz w:val="16"/>
          <w:szCs w:val="16"/>
          <w:color w:val="0000FF"/>
        </w:rPr>
        <w:t xml:space="preserve"> </w:t>
      </w:r>
      <w:r>
        <w:rPr>
          <w:rFonts w:ascii="Arial" w:cs="Arial" w:eastAsia="Arial" w:hAnsi="Arial"/>
          <w:sz w:val="16"/>
          <w:szCs w:val="16"/>
          <w:color w:val="000000"/>
        </w:rPr>
        <w:t xml:space="preserve">Administrative Agent without reference to the Published LIBO Rate </w:t>
      </w:r>
      <w:r>
        <w:rPr>
          <w:rFonts w:ascii="Arial" w:cs="Arial" w:eastAsia="Arial" w:hAnsi="Arial"/>
          <w:sz w:val="16"/>
          <w:szCs w:val="16"/>
          <w:u w:val="single" w:color="auto"/>
          <w:color w:val="0000FF"/>
        </w:rPr>
        <w:t>or Term SOFR</w:t>
      </w:r>
      <w:r>
        <w:rPr>
          <w:rFonts w:ascii="Arial" w:cs="Arial" w:eastAsia="Arial" w:hAnsi="Arial"/>
          <w:sz w:val="16"/>
          <w:szCs w:val="16"/>
          <w:color w:val="000000"/>
        </w:rPr>
        <w:t xml:space="preserv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the relevant Lender (with a copy to the Administrative Agent), prepay or convert all of such Lender’s LIBO Rate </w:t>
      </w:r>
      <w:r>
        <w:rPr>
          <w:rFonts w:ascii="Arial" w:cs="Arial" w:eastAsia="Arial" w:hAnsi="Arial"/>
          <w:sz w:val="16"/>
          <w:szCs w:val="16"/>
          <w:u w:val="single" w:color="auto"/>
          <w:color w:val="0000FF"/>
        </w:rPr>
        <w:t>Loans or Term SOFR</w:t>
      </w:r>
      <w:r>
        <w:rPr>
          <w:rFonts w:ascii="Arial" w:cs="Arial" w:eastAsia="Arial" w:hAnsi="Arial"/>
          <w:sz w:val="16"/>
          <w:szCs w:val="16"/>
          <w:color w:val="000000"/>
        </w:rPr>
        <w:t xml:space="preserve"> Loans to ABR Loans (the interest rate on which ABR Loans of such Lender shall, if necessary to avoid such illegality, be determined by the Administrative Agent without reference to the Published LIBO Rate </w:t>
      </w:r>
      <w:r>
        <w:rPr>
          <w:rFonts w:ascii="Arial" w:cs="Arial" w:eastAsia="Arial" w:hAnsi="Arial"/>
          <w:sz w:val="16"/>
          <w:szCs w:val="16"/>
          <w:u w:val="single" w:color="auto"/>
          <w:color w:val="0000FF"/>
        </w:rPr>
        <w:t>or Term SOFR</w:t>
      </w:r>
      <w:r>
        <w:rPr>
          <w:rFonts w:ascii="Arial" w:cs="Arial" w:eastAsia="Arial" w:hAnsi="Arial"/>
          <w:sz w:val="16"/>
          <w:szCs w:val="16"/>
          <w:color w:val="000000"/>
        </w:rPr>
        <w:t xml:space="preserve"> component of the Alternate Base Rate) either on the last day of the Interest Period therefor, if such Lender may lawfully continue to maintain such LIBO Rate </w:t>
      </w:r>
      <w:r>
        <w:rPr>
          <w:rFonts w:ascii="Arial" w:cs="Arial" w:eastAsia="Arial" w:hAnsi="Arial"/>
          <w:sz w:val="16"/>
          <w:szCs w:val="16"/>
          <w:u w:val="single" w:color="auto"/>
          <w:color w:val="0000FF"/>
        </w:rPr>
        <w:t>Loans or Term SOFR</w:t>
      </w:r>
      <w:r>
        <w:rPr>
          <w:rFonts w:ascii="Arial" w:cs="Arial" w:eastAsia="Arial" w:hAnsi="Arial"/>
          <w:sz w:val="16"/>
          <w:szCs w:val="16"/>
          <w:color w:val="000000"/>
        </w:rPr>
        <w:t xml:space="preserve"> Loans to such day, or immediately, if such Lender may not lawfully continue to maintain such LIBO Rate </w:t>
      </w:r>
      <w:r>
        <w:rPr>
          <w:rFonts w:ascii="Arial" w:cs="Arial" w:eastAsia="Arial" w:hAnsi="Arial"/>
          <w:sz w:val="16"/>
          <w:szCs w:val="16"/>
          <w:u w:val="single" w:color="auto"/>
          <w:color w:val="0000FF"/>
        </w:rPr>
        <w:t>Loans or Term SOFR</w:t>
      </w:r>
      <w:r>
        <w:rPr>
          <w:rFonts w:ascii="Arial" w:cs="Arial" w:eastAsia="Arial" w:hAnsi="Arial"/>
          <w:sz w:val="16"/>
          <w:szCs w:val="16"/>
          <w:color w:val="000000"/>
        </w:rPr>
        <w:t xml:space="preserve"> Loans (in which case the Borrower shall not be required to make payments pursuant to </w:t>
      </w:r>
      <w:r>
        <w:rPr>
          <w:rFonts w:ascii="Arial" w:cs="Arial" w:eastAsia="Arial" w:hAnsi="Arial"/>
          <w:sz w:val="16"/>
          <w:szCs w:val="16"/>
          <w:u w:val="single" w:color="auto"/>
          <w:color w:val="000000"/>
        </w:rPr>
        <w:t>Section 2.16</w:t>
      </w:r>
      <w:r>
        <w:rPr>
          <w:rFonts w:ascii="Arial" w:cs="Arial" w:eastAsia="Arial" w:hAnsi="Arial"/>
          <w:sz w:val="16"/>
          <w:szCs w:val="16"/>
          <w:color w:val="000000"/>
        </w:rPr>
        <w:t xml:space="preserve"> in connection with such payment), (y) if such notice asserts the illegality of such Lender determining or charging interest rates based upon the Published LIBO Rate </w:t>
      </w:r>
      <w:r>
        <w:rPr>
          <w:rFonts w:ascii="Arial" w:cs="Arial" w:eastAsia="Arial" w:hAnsi="Arial"/>
          <w:sz w:val="16"/>
          <w:szCs w:val="16"/>
          <w:color w:val="0000FF"/>
        </w:rPr>
        <w:t>or Term SOFR</w:t>
      </w:r>
      <w:r>
        <w:rPr>
          <w:rFonts w:ascii="Arial" w:cs="Arial" w:eastAsia="Arial" w:hAnsi="Arial"/>
          <w:sz w:val="16"/>
          <w:szCs w:val="16"/>
          <w:color w:val="000000"/>
        </w:rPr>
        <w:t xml:space="preserve">, the Administrative Agent shall during the period of such suspension compute the Alternate Base Rate applicable to such Lender without reference to the Published LIBO Rate </w:t>
      </w:r>
      <w:r>
        <w:rPr>
          <w:rFonts w:ascii="Arial" w:cs="Arial" w:eastAsia="Arial" w:hAnsi="Arial"/>
          <w:sz w:val="16"/>
          <w:szCs w:val="16"/>
          <w:u w:val="single" w:color="auto"/>
          <w:color w:val="0000FF"/>
        </w:rPr>
        <w:t>or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Term SOFR</w:t>
      </w:r>
      <w:r>
        <w:rPr>
          <w:rFonts w:ascii="Arial" w:cs="Arial" w:eastAsia="Arial" w:hAnsi="Arial"/>
          <w:sz w:val="16"/>
          <w:szCs w:val="16"/>
          <w:color w:val="0000FF"/>
        </w:rPr>
        <w:t xml:space="preserve"> </w:t>
      </w:r>
      <w:r>
        <w:rPr>
          <w:rFonts w:ascii="Arial" w:cs="Arial" w:eastAsia="Arial" w:hAnsi="Arial"/>
          <w:sz w:val="16"/>
          <w:szCs w:val="16"/>
          <w:color w:val="000000"/>
        </w:rPr>
        <w:t>component thereof until the Administrative Agent is advised in writing by such Lender that it is no longer illegal for such Lender to determine</w:t>
      </w:r>
      <w:r>
        <w:rPr>
          <w:rFonts w:ascii="Arial" w:cs="Arial" w:eastAsia="Arial" w:hAnsi="Arial"/>
          <w:sz w:val="16"/>
          <w:szCs w:val="16"/>
          <w:color w:val="0000FF"/>
        </w:rPr>
        <w:t xml:space="preserve"> </w:t>
      </w:r>
      <w:r>
        <w:rPr>
          <w:rFonts w:ascii="Arial" w:cs="Arial" w:eastAsia="Arial" w:hAnsi="Arial"/>
          <w:sz w:val="16"/>
          <w:szCs w:val="16"/>
          <w:color w:val="000000"/>
        </w:rPr>
        <w:t xml:space="preserve">or charge interest rates based upon the Published LIBO Rate </w:t>
      </w:r>
      <w:r>
        <w:rPr>
          <w:rFonts w:ascii="Arial" w:cs="Arial" w:eastAsia="Arial" w:hAnsi="Arial"/>
          <w:sz w:val="16"/>
          <w:szCs w:val="16"/>
          <w:u w:val="single" w:color="auto"/>
          <w:color w:val="0000FF"/>
        </w:rPr>
        <w:t>or Term SOFR</w:t>
      </w:r>
      <w:r>
        <w:rPr>
          <w:rFonts w:ascii="Arial" w:cs="Arial" w:eastAsia="Arial" w:hAnsi="Arial"/>
          <w:sz w:val="16"/>
          <w:szCs w:val="16"/>
          <w:color w:val="000000"/>
        </w:rPr>
        <w:t xml:space="preserve"> and (z) in the case of any Loans denominated in a Revolving Alternative Currency, prepay all such Loans, as applicable, in the affected currency or currencies.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-864870</wp:posOffset>
            </wp:positionV>
            <wp:extent cx="7239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2.21.Defaulting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1" w:lineRule="exact"/>
        <w:rPr>
          <w:sz w:val="20"/>
          <w:szCs w:val="20"/>
          <w:color w:val="auto"/>
        </w:rPr>
      </w:pPr>
    </w:p>
    <w:p>
      <w:pPr>
        <w:jc w:val="both"/>
        <w:ind w:left="760" w:firstLine="745"/>
        <w:spacing w:after="0" w:line="262" w:lineRule="auto"/>
        <w:tabs>
          <w:tab w:leader="none" w:pos="18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Fees shall cease to accrue on the unfunded portion of any Commitment of such Defaulting Lender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clause (d)(iv)</w:t>
      </w:r>
      <w:r>
        <w:rPr>
          <w:rFonts w:ascii="Arial" w:cs="Arial" w:eastAsia="Arial" w:hAnsi="Arial"/>
          <w:sz w:val="18"/>
          <w:szCs w:val="18"/>
          <w:color w:val="auto"/>
        </w:rPr>
        <w:t xml:space="preserve"> below, on the participation of such Defaulting Lender in Letters of Credit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and pursuant to any other provisions of this Agreement or any other Loan Document.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49" w:name="page150"/>
    <w:bookmarkEnd w:id="149"/>
    <w:p>
      <w:pPr>
        <w:jc w:val="both"/>
        <w:ind w:firstLine="745"/>
        <w:spacing w:after="0" w:line="254"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spacing w:after="0" w:line="190" w:lineRule="exact"/>
        <w:rPr>
          <w:rFonts w:ascii="Arial" w:cs="Arial" w:eastAsia="Arial" w:hAnsi="Arial"/>
          <w:sz w:val="18"/>
          <w:szCs w:val="18"/>
          <w:color w:val="auto"/>
        </w:rPr>
      </w:pPr>
    </w:p>
    <w:p>
      <w:pPr>
        <w:jc w:val="both"/>
        <w:ind w:firstLine="745"/>
        <w:spacing w:after="0" w:line="286" w:lineRule="auto"/>
        <w:tabs>
          <w:tab w:leader="none" w:pos="108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any Defaulting Lender (whether voluntary or mandatory, at maturity,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or otherwise, and including any amounts made available to the Administrative Agent by such Defaulting Lender pursuant to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jc w:val="both"/>
        <w:spacing w:after="0" w:line="282" w:lineRule="auto"/>
        <w:rPr>
          <w:rFonts w:ascii="Arial" w:cs="Arial" w:eastAsia="Arial" w:hAnsi="Arial"/>
          <w:sz w:val="16"/>
          <w:szCs w:val="16"/>
          <w:color w:val="auto"/>
        </w:rPr>
      </w:pPr>
      <w:r>
        <w:rPr>
          <w:rFonts w:ascii="Arial" w:cs="Arial" w:eastAsia="Arial" w:hAnsi="Arial"/>
          <w:sz w:val="16"/>
          <w:szCs w:val="16"/>
          <w:u w:val="single" w:color="auto"/>
          <w:color w:val="auto"/>
        </w:rPr>
        <w:t>9.09</w:t>
      </w:r>
      <w:r>
        <w:rPr>
          <w:rFonts w:ascii="Arial" w:cs="Arial" w:eastAsia="Arial" w:hAnsi="Arial"/>
          <w:sz w:val="16"/>
          <w:szCs w:val="16"/>
          <w:color w:val="auto"/>
        </w:rPr>
        <w:t xml:space="preserve">), shall be applied at such time or times as may be determined by the Administrative Agent and, where relevant, the Borrower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any applicable Issuing Bank and/or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as the Administrative Agent or the Borrower may elect, to be held in a deposit account and released in order to satisfy obligations of such Defaulting Lender to fund Loans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non-Defaulting Lenders, Issuing Banks or Swingline Lender as a result of any judgment of a court of competent jurisdiction obtained by any non-Defaulting Lender, any Issuing Bank or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Exposure owed to, all non-Defaulting Lenders on a pro rata basis prior to being applied to the payment of any Loans of, or LC Exposure owed to, such Defaulting Lender. Any payments, prepayments or other amounts paid or payable to any Defaulting Lender that are applied (or held) to pay amounts owed by any Defaulting Lender or to post Cash collateral pursuant to this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392" w:lineRule="exact"/>
        <w:rPr>
          <w:rFonts w:ascii="Arial" w:cs="Arial" w:eastAsia="Arial" w:hAnsi="Arial"/>
          <w:sz w:val="16"/>
          <w:szCs w:val="16"/>
          <w:color w:val="auto"/>
        </w:rPr>
      </w:pPr>
    </w:p>
    <w:p>
      <w:pPr>
        <w:ind w:left="1080" w:hanging="335"/>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any LC Exposure or Swingline Exposure exists at the time any Lender becomes a Defaulting Lender then:</w:t>
      </w:r>
    </w:p>
    <w:p>
      <w:pPr>
        <w:spacing w:after="0" w:line="222" w:lineRule="exact"/>
        <w:rPr>
          <w:rFonts w:ascii="Arial" w:cs="Arial" w:eastAsia="Arial" w:hAnsi="Arial"/>
          <w:sz w:val="18"/>
          <w:szCs w:val="18"/>
          <w:color w:val="auto"/>
        </w:rPr>
      </w:pPr>
    </w:p>
    <w:p>
      <w:pPr>
        <w:jc w:val="both"/>
        <w:ind w:left="740" w:firstLine="754"/>
        <w:spacing w:after="0" w:line="268" w:lineRule="auto"/>
        <w:tabs>
          <w:tab w:leader="none" w:pos="185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 the LC Exposure of such Defaulting Lender shall be reallocated among the non-Defaulting Lenders under the applicable Revolving Facility (the “</w:t>
      </w:r>
      <w:r>
        <w:rPr>
          <w:rFonts w:ascii="Arial" w:cs="Arial" w:eastAsia="Arial" w:hAnsi="Arial"/>
          <w:sz w:val="17"/>
          <w:szCs w:val="17"/>
          <w:u w:val="single" w:color="auto"/>
          <w:color w:val="auto"/>
        </w:rPr>
        <w:t>Non-Defaulting Revolving Lenders</w:t>
      </w:r>
      <w:r>
        <w:rPr>
          <w:rFonts w:ascii="Arial" w:cs="Arial" w:eastAsia="Arial" w:hAnsi="Arial"/>
          <w:sz w:val="17"/>
          <w:szCs w:val="17"/>
          <w:color w:val="auto"/>
        </w:rPr>
        <w:t>”) in accordance with their respective Revolving Credit Percentages but only to the extent that (after giving effect to the reallocations in clauses (I) through (III) of this paragraph) (A) the sum of the Revolving Credit Exposures of all Non-Defaulting Revolving Lenders attributable to the Revolving Credit Commitments of any Class does not exceed the total of the Revolving Credit Commitments of all Non-Defaulting Revolving Lenders of such Class and (B) the Revolving Credit Exposure of any Non-Defaulting Revolving Lender that is attributable to its Revolving Credit Commitment of such Class does not exceed such Non-Defaulting Revolving Lender’s Revolving Credit Commitment, (II) the Swingline Exposure of such Defaulting Lender shall be reallocated among the Non-Defaulting Revolving Lenders in accordance with their respective Applicable Revolving Credit Percentages but only to the extent that (A) the sum of the Revolving Credit Exposures of all Non-Defaulting Revolving Lenders attributable to the Revolving Credit Commitments of any Class does not exceed the total of the Revolving Credit Commitments of all</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50" w:name="page151"/>
    <w:bookmarkEnd w:id="150"/>
    <w:p>
      <w:pPr>
        <w:jc w:val="both"/>
        <w:ind w:left="380"/>
        <w:spacing w:after="0" w:line="268" w:lineRule="auto"/>
        <w:rPr>
          <w:sz w:val="20"/>
          <w:szCs w:val="20"/>
          <w:color w:val="auto"/>
        </w:rPr>
      </w:pPr>
      <w:r>
        <w:rPr>
          <w:rFonts w:ascii="Arial" w:cs="Arial" w:eastAsia="Arial" w:hAnsi="Arial"/>
          <w:sz w:val="17"/>
          <w:szCs w:val="17"/>
          <w:color w:val="auto"/>
        </w:rPr>
        <w:t>Non-Defaulting Revolving Lenders of such Class and (B) the Revolving Credit Exposure of any non-Defaulting Lender that is attributable to its Revolving Credit Commitment of any Class does not exceed such non-Defaulting Revolving Lender’s Revolving Credit Commitment of such Class and (III) if at such time there are Revolving Credit Commitments of a Class other than the Initial Revolving Credit Commitments, the LC Exposure of such Defaulting Lender shall be reallocated among the Non-Defaulting Revolving Lenders under the Revolving Facility of such other Class of Revolving Credit Commitments in accordance with their respective Applicable Revolving Credit Percentages but only to the extent that (A) the sum of the Revolving Credit Exposures of all Non-Defaulting Revolving Lenders attributable to the Revolving Credit Commitments of such other Class does not exceed the total of the Revolving Credit Commitments of all Non-Defaulting Revolving Lenders of such other Class and (B) the Revolving Credit Exposure of any non-Defaulting Lender that is attributable to its Revolving Credit Commitment of such other Class does not exceed such non-Defaulting Revolving Lender’s Revolving Credit Commitment of such other Class;</w:t>
      </w:r>
    </w:p>
    <w:p>
      <w:pPr>
        <w:spacing w:after="0" w:line="182" w:lineRule="exact"/>
        <w:rPr>
          <w:sz w:val="20"/>
          <w:szCs w:val="20"/>
          <w:color w:val="auto"/>
        </w:rPr>
      </w:pPr>
    </w:p>
    <w:p>
      <w:pPr>
        <w:jc w:val="both"/>
        <w:ind w:left="380" w:firstLine="754"/>
        <w:spacing w:after="0" w:line="267" w:lineRule="auto"/>
        <w:tabs>
          <w:tab w:leader="none" w:pos="1472"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if the reallocation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obligations of such Defaulting Lender to fund participations in any Swingline Loans (after giving effect to any partial reallocation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any Cash collateral provided by such Defaulting Lender or pursuant to </w:t>
      </w:r>
      <w:r>
        <w:rPr>
          <w:rFonts w:ascii="Arial" w:cs="Arial" w:eastAsia="Arial" w:hAnsi="Arial"/>
          <w:sz w:val="17"/>
          <w:szCs w:val="17"/>
          <w:u w:val="single" w:color="auto"/>
          <w:color w:val="auto"/>
        </w:rPr>
        <w:t>Section 2.21(c)</w:t>
      </w:r>
      <w:r>
        <w:rPr>
          <w:rFonts w:ascii="Arial" w:cs="Arial" w:eastAsia="Arial" w:hAnsi="Arial"/>
          <w:sz w:val="17"/>
          <w:szCs w:val="17"/>
          <w:color w:val="auto"/>
        </w:rPr>
        <w:t xml:space="preserve"> above) or make other arrangements reasonably satisfactory to the Administrative Agent and to the applicable Issuing Bank and/or Swingline Lender under the applicable Class or Classes of Revolving Credit Commitments with respect to such LC Exposure and/or Swingline Loans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(B) the Administrative Agent’s good faith determination that there exists excess Cash collateral (including as a result of any subsequent reallocation of Swingline Loans and LC Exposure among non-Defaulting Lenders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82" w:lineRule="exact"/>
        <w:rPr>
          <w:rFonts w:ascii="Arial" w:cs="Arial" w:eastAsia="Arial" w:hAnsi="Arial"/>
          <w:sz w:val="17"/>
          <w:szCs w:val="17"/>
          <w:color w:val="auto"/>
        </w:rPr>
      </w:pPr>
    </w:p>
    <w:p>
      <w:pPr>
        <w:jc w:val="both"/>
        <w:ind w:left="380" w:firstLine="754"/>
        <w:spacing w:after="0" w:line="339" w:lineRule="auto"/>
        <w:tabs>
          <w:tab w:leader="none" w:pos="145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if the LC Exposure of the non-Defaulting Lenders is reallocated pursuant to this </w:t>
      </w:r>
      <w:r>
        <w:rPr>
          <w:rFonts w:ascii="Arial" w:cs="Arial" w:eastAsia="Arial" w:hAnsi="Arial"/>
          <w:sz w:val="16"/>
          <w:szCs w:val="16"/>
          <w:u w:val="single" w:color="auto"/>
          <w:color w:val="auto"/>
        </w:rPr>
        <w:t>Section 2.21(d)</w:t>
      </w:r>
      <w:r>
        <w:rPr>
          <w:rFonts w:ascii="Arial" w:cs="Arial" w:eastAsia="Arial" w:hAnsi="Arial"/>
          <w:sz w:val="16"/>
          <w:szCs w:val="16"/>
          <w:color w:val="auto"/>
        </w:rPr>
        <w:t xml:space="preserve">, then the fees payable to the Revolving Lenders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as the case may be, shall be adjusted to give effect to such reallocation; and</w:t>
      </w:r>
    </w:p>
    <w:p>
      <w:pPr>
        <w:spacing w:after="0" w:line="125" w:lineRule="exact"/>
        <w:rPr>
          <w:rFonts w:ascii="Arial" w:cs="Arial" w:eastAsia="Arial" w:hAnsi="Arial"/>
          <w:sz w:val="16"/>
          <w:szCs w:val="16"/>
          <w:color w:val="auto"/>
        </w:rPr>
      </w:pPr>
    </w:p>
    <w:p>
      <w:pPr>
        <w:jc w:val="both"/>
        <w:ind w:left="380" w:firstLine="754"/>
        <w:spacing w:after="0" w:line="277" w:lineRule="auto"/>
        <w:tabs>
          <w:tab w:leader="none" w:pos="1486"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if any Defaulting Lender’s LC Exposure is not Cash collateralized, prepaid or reallocated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2.21(d)</w:t>
      </w:r>
      <w:r>
        <w:rPr>
          <w:rFonts w:ascii="Arial" w:cs="Arial" w:eastAsia="Arial" w:hAnsi="Arial"/>
          <w:sz w:val="17"/>
          <w:szCs w:val="17"/>
          <w:color w:val="auto"/>
        </w:rPr>
        <w:t xml:space="preserve">, then, without prejudice to any rights or remedies of the applicable Issuing Bank or any Revolving Lender hereunder, all letter of credit fees payable under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with respect to such Defaulting Lender’s LC Exposure shall be payable to the applicable Issuing Bank until such Defaulting Lender’s LC Exposure is Cash collateralized or reallocated.</w:t>
      </w:r>
    </w:p>
    <w:p>
      <w:pPr>
        <w:spacing w:after="0" w:line="172" w:lineRule="exact"/>
        <w:rPr>
          <w:rFonts w:ascii="Arial" w:cs="Arial" w:eastAsia="Arial" w:hAnsi="Arial"/>
          <w:sz w:val="17"/>
          <w:szCs w:val="17"/>
          <w:color w:val="auto"/>
        </w:rPr>
      </w:pPr>
    </w:p>
    <w:p>
      <w:pPr>
        <w:jc w:val="both"/>
        <w:ind w:left="-360" w:firstLine="745"/>
        <w:spacing w:after="0" w:line="292" w:lineRule="auto"/>
        <w:tabs>
          <w:tab w:leader="none" w:pos="71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So long as any Revolving Lender is a Defaulting Lender, the Swingline Lender shall not be required to fund any Swingline Loans, and no Issuing Bank shall be required to issue, extend, create, incur, amend or increase any Letter of Credit unless it is reasonably satisfied that the related exposure will be 100% covered by the Revolving Credit Commitments of the non-Defaulting Lenders, Cash collateral provided pursuant to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and/or Cash collateral provided in accordance with </w:t>
      </w:r>
      <w:r>
        <w:rPr>
          <w:rFonts w:ascii="Arial" w:cs="Arial" w:eastAsia="Arial" w:hAnsi="Arial"/>
          <w:sz w:val="16"/>
          <w:szCs w:val="16"/>
          <w:u w:val="single" w:color="auto"/>
          <w:color w:val="auto"/>
        </w:rPr>
        <w:t>Section 2.21(d)</w:t>
      </w:r>
      <w:r>
        <w:rPr>
          <w:rFonts w:ascii="Arial" w:cs="Arial" w:eastAsia="Arial" w:hAnsi="Arial"/>
          <w:sz w:val="16"/>
          <w:szCs w:val="16"/>
          <w:color w:val="auto"/>
        </w:rPr>
        <w:t xml:space="preserve">, and participating interests in any such or newly issued, extended or created Letter of Credit or newly made Swingline Loan shall be allocated among Non-Defaulting Revolving Lenders in a manner consistent with </w:t>
      </w:r>
      <w:r>
        <w:rPr>
          <w:rFonts w:ascii="Arial" w:cs="Arial" w:eastAsia="Arial" w:hAnsi="Arial"/>
          <w:sz w:val="16"/>
          <w:szCs w:val="16"/>
          <w:u w:val="single" w:color="auto"/>
          <w:color w:val="auto"/>
        </w:rPr>
        <w:t>Section 2.21(d)(i)</w:t>
      </w:r>
      <w:r>
        <w:rPr>
          <w:rFonts w:ascii="Arial" w:cs="Arial" w:eastAsia="Arial" w:hAnsi="Arial"/>
          <w:sz w:val="16"/>
          <w:szCs w:val="16"/>
          <w:color w:val="auto"/>
        </w:rPr>
        <w:t xml:space="preserve"> (it being understood that Defaulting Lenders shall not participate therein).</w:t>
      </w:r>
    </w:p>
    <w:p>
      <w:pPr>
        <w:spacing w:after="0" w:line="161" w:lineRule="exact"/>
        <w:rPr>
          <w:rFonts w:ascii="Arial" w:cs="Arial" w:eastAsia="Arial" w:hAnsi="Arial"/>
          <w:sz w:val="16"/>
          <w:szCs w:val="16"/>
          <w:color w:val="auto"/>
        </w:rPr>
      </w:pPr>
    </w:p>
    <w:p>
      <w:pPr>
        <w:jc w:val="both"/>
        <w:ind w:left="-360" w:firstLine="745"/>
        <w:spacing w:after="0" w:line="262" w:lineRule="auto"/>
        <w:tabs>
          <w:tab w:leader="none" w:pos="71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that the Administrative Agent and the Borrower agree that any Defaulting Lender has adequately remedied all matters that caused such Revolving Lender to be a Defaulting Lender, then (A) the Applicable Revolving Credit Percentage of LC Exposure of the applicable Revolving Lenders shall be</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51" w:name="page152"/>
    <w:bookmarkEnd w:id="151"/>
    <w:p>
      <w:pPr>
        <w:jc w:val="both"/>
        <w:ind w:left="760"/>
        <w:spacing w:after="0" w:line="284" w:lineRule="auto"/>
        <w:rPr>
          <w:sz w:val="20"/>
          <w:szCs w:val="20"/>
          <w:color w:val="auto"/>
        </w:rPr>
      </w:pPr>
      <w:r>
        <w:rPr>
          <w:rFonts w:ascii="Arial" w:cs="Arial" w:eastAsia="Arial" w:hAnsi="Arial"/>
          <w:sz w:val="16"/>
          <w:szCs w:val="16"/>
          <w:color w:val="auto"/>
        </w:rPr>
        <w:t>readjusted to reflect the inclusion of such Revolving Lender’s applicable Revolving Credit Commitment, and on such date such Revolving Lender shall purchase at par such of the applicable Revolving Loans of the other applicable Revolving Lenders or participations in applicable Revolving Loans as the Administrative Agent determines is necessary in order for such Revolving Lender to hold such Revolving Loans or participations in accordance with its Applicable Revolving Credit Percentage, (B) the Applicable Revolving Credit Percentage of Swingline Exposure of the Revolving Lenders shall be readjusted to reflect the inclusion of such Lender’s Revolving Credit Commitment and (C) if the Revolving Lender that was a Defaulting Lender was not an Initial Revolving Lender, the Applicable Revolving Credit Percentage of LC Exposure of the Revolving Lenders of the Revolving Credit Commitments of the Revolving Lenders of the Class of which such Lender is a part shall be readjusted to reflect the inclusion of such Revolving Lender’s Revolving Credit Commitment, and on such date such Revolving Lender shall purchase at par such of the Revolving Loans of the applicable Class of the other Revolving Lenders of such Class or participations in Revolving Loans of the applicable Class as the Administrative Agent determines is necessary in order for such Revolving Lender to hold such Revolving Loans or participations in accordance with its Applicable Revolving Credit Percentage. Notwithstanding the fact that any Defaulting Lender has adequately remedied all matters that caused such Lender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2.22.Incremental Credit Extensions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90" w:lineRule="auto"/>
        <w:tabs>
          <w:tab w:leader="none" w:pos="101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Borrower may, at any time, on one or more occasions pursuant to an Incremental Facility Amendment (i) add one or more new Classes of term facilities and/or increase the principal amount of the Term Loans of any existing Class by requesting new commitments to provide such Term Loans (any such new Class or increase, an “</w:t>
      </w:r>
      <w:r>
        <w:rPr>
          <w:rFonts w:ascii="Arial" w:cs="Arial" w:eastAsia="Arial" w:hAnsi="Arial"/>
          <w:sz w:val="16"/>
          <w:szCs w:val="16"/>
          <w:u w:val="single" w:color="auto"/>
          <w:color w:val="auto"/>
        </w:rPr>
        <w:t>Incremental Term Facility</w:t>
      </w:r>
      <w:r>
        <w:rPr>
          <w:rFonts w:ascii="Arial" w:cs="Arial" w:eastAsia="Arial" w:hAnsi="Arial"/>
          <w:sz w:val="16"/>
          <w:szCs w:val="16"/>
          <w:color w:val="auto"/>
        </w:rPr>
        <w:t>” and any loans made pursuant to an Incremental Term Facility,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and/or (ii) add one or more new Classes of Incremental Revolving Credit Commitments and/or increase the aggregate amount of the Revolving Credit Commitments of any existing Class (any such new Class or increase, an “</w:t>
      </w:r>
      <w:r>
        <w:rPr>
          <w:rFonts w:ascii="Arial" w:cs="Arial" w:eastAsia="Arial" w:hAnsi="Arial"/>
          <w:sz w:val="16"/>
          <w:szCs w:val="16"/>
          <w:u w:val="single" w:color="auto"/>
          <w:color w:val="auto"/>
        </w:rPr>
        <w:t>Incremental Revolving Facility</w:t>
      </w:r>
      <w:r>
        <w:rPr>
          <w:rFonts w:ascii="Arial" w:cs="Arial" w:eastAsia="Arial" w:hAnsi="Arial"/>
          <w:sz w:val="16"/>
          <w:szCs w:val="16"/>
          <w:color w:val="auto"/>
        </w:rPr>
        <w:t>” and, together with any Incremental Term Facility,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and the loans thereunder, “</w:t>
      </w:r>
      <w:r>
        <w:rPr>
          <w:rFonts w:ascii="Arial" w:cs="Arial" w:eastAsia="Arial" w:hAnsi="Arial"/>
          <w:sz w:val="16"/>
          <w:szCs w:val="16"/>
          <w:u w:val="single" w:color="auto"/>
          <w:color w:val="auto"/>
        </w:rPr>
        <w:t>Incremental Revolving Loans</w:t>
      </w:r>
      <w:r>
        <w:rPr>
          <w:rFonts w:ascii="Arial" w:cs="Arial" w:eastAsia="Arial" w:hAnsi="Arial"/>
          <w:sz w:val="16"/>
          <w:szCs w:val="16"/>
          <w:color w:val="auto"/>
        </w:rPr>
        <w:t>” and any Incremental Revolving Loans, together with any Incremental Term Loans, “</w:t>
      </w:r>
      <w:r>
        <w:rPr>
          <w:rFonts w:ascii="Arial" w:cs="Arial" w:eastAsia="Arial" w:hAnsi="Arial"/>
          <w:sz w:val="16"/>
          <w:szCs w:val="16"/>
          <w:u w:val="single" w:color="auto"/>
          <w:color w:val="auto"/>
        </w:rPr>
        <w:t>Incremental Loans</w:t>
      </w:r>
      <w:r>
        <w:rPr>
          <w:rFonts w:ascii="Arial" w:cs="Arial" w:eastAsia="Arial" w:hAnsi="Arial"/>
          <w:sz w:val="16"/>
          <w:szCs w:val="16"/>
          <w:color w:val="auto"/>
        </w:rPr>
        <w:t xml:space="preserve">”) in an aggregate outstanding principal amount not to exceed the Incremental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63" w:lineRule="exact"/>
        <w:rPr>
          <w:rFonts w:ascii="Arial" w:cs="Arial" w:eastAsia="Arial" w:hAnsi="Arial"/>
          <w:sz w:val="16"/>
          <w:szCs w:val="16"/>
          <w:color w:val="auto"/>
        </w:rPr>
      </w:pPr>
    </w:p>
    <w:p>
      <w:pPr>
        <w:ind w:left="760" w:firstLine="1045"/>
        <w:spacing w:after="0" w:line="275" w:lineRule="auto"/>
        <w:tabs>
          <w:tab w:leader="none" w:pos="204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 Incremental Commitment in respect of any Incremental Term Facility may be in an amount that is less than $5,000,000 (or such lesser amount to which the Administrative Agent may reasonably agree),</w:t>
      </w:r>
    </w:p>
    <w:p>
      <w:pPr>
        <w:spacing w:after="0" w:line="171" w:lineRule="exact"/>
        <w:rPr>
          <w:sz w:val="20"/>
          <w:szCs w:val="20"/>
          <w:color w:val="auto"/>
        </w:rPr>
      </w:pPr>
    </w:p>
    <w:p>
      <w:pPr>
        <w:jc w:val="both"/>
        <w:ind w:left="760" w:firstLine="1048"/>
        <w:spacing w:after="0" w:line="284" w:lineRule="auto"/>
        <w:rPr>
          <w:sz w:val="20"/>
          <w:szCs w:val="20"/>
          <w:color w:val="auto"/>
        </w:rPr>
      </w:pPr>
      <w:r>
        <w:rPr>
          <w:rFonts w:ascii="Arial" w:cs="Arial" w:eastAsia="Arial" w:hAnsi="Arial"/>
          <w:sz w:val="17"/>
          <w:szCs w:val="17"/>
          <w:color w:val="auto"/>
        </w:rPr>
        <w:t>(ii)except as the Borrower and any Lender may separately agree,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spacing w:after="0" w:line="166" w:lineRule="exact"/>
        <w:rPr>
          <w:sz w:val="20"/>
          <w:szCs w:val="20"/>
          <w:color w:val="auto"/>
        </w:rPr>
      </w:pPr>
    </w:p>
    <w:p>
      <w:pPr>
        <w:jc w:val="both"/>
        <w:ind w:left="760" w:firstLine="1048"/>
        <w:spacing w:after="0" w:line="339" w:lineRule="auto"/>
        <w:rPr>
          <w:sz w:val="20"/>
          <w:szCs w:val="20"/>
          <w:color w:val="auto"/>
        </w:rPr>
      </w:pPr>
      <w:r>
        <w:rPr>
          <w:rFonts w:ascii="Arial" w:cs="Arial" w:eastAsia="Arial" w:hAnsi="Arial"/>
          <w:sz w:val="16"/>
          <w:szCs w:val="16"/>
          <w:color w:val="auto"/>
        </w:rPr>
        <w:t>(iii)no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25" w:lineRule="exact"/>
        <w:rPr>
          <w:sz w:val="20"/>
          <w:szCs w:val="20"/>
          <w:color w:val="auto"/>
        </w:rPr>
      </w:pPr>
    </w:p>
    <w:p>
      <w:pPr>
        <w:jc w:val="both"/>
        <w:ind w:left="760" w:firstLine="1048"/>
        <w:spacing w:after="0" w:line="286" w:lineRule="auto"/>
        <w:rPr>
          <w:sz w:val="20"/>
          <w:szCs w:val="20"/>
          <w:color w:val="auto"/>
        </w:rPr>
      </w:pPr>
      <w:r>
        <w:rPr>
          <w:rFonts w:ascii="Arial" w:cs="Arial" w:eastAsia="Arial" w:hAnsi="Arial"/>
          <w:sz w:val="16"/>
          <w:szCs w:val="16"/>
          <w:color w:val="auto"/>
        </w:rPr>
        <w:t>(iv)except as otherwise permitted herein (including with respect to margin, pricing, maturity and fees), (A) the terms of any Incremental Term Facility, if not substantially consistent with those applicable to any then-existing Term Loans, must be reasonably acceptable to the Administrative Agent (it being agreed that (x) any terms which are applicable only after the then-existing Latest Term Loan Maturity Date and</w:t>
      </w:r>
    </w:p>
    <w:p>
      <w:pPr>
        <w:spacing w:after="0" w:line="2" w:lineRule="exact"/>
        <w:rPr>
          <w:sz w:val="20"/>
          <w:szCs w:val="20"/>
          <w:color w:val="auto"/>
        </w:rPr>
      </w:pPr>
    </w:p>
    <w:p>
      <w:pPr>
        <w:jc w:val="both"/>
        <w:ind w:left="760" w:hanging="4"/>
        <w:spacing w:after="0" w:line="251" w:lineRule="auto"/>
        <w:tabs>
          <w:tab w:leader="none" w:pos="102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terms contained in such Incremental Term Facility that are more favorable to the lenders or the agent of such Incremental Term Facility than those contained in the Loan Documents and are then conformed (or added) to the Loan Documents for the benefit of the Term Lenders or, as applicable, the Administrative Agent (</w:t>
      </w:r>
      <w:r>
        <w:rPr>
          <w:rFonts w:ascii="Arial" w:cs="Arial" w:eastAsia="Arial" w:hAnsi="Arial"/>
          <w:sz w:val="18"/>
          <w:szCs w:val="18"/>
          <w:i w:val="1"/>
          <w:iCs w:val="1"/>
          <w:color w:val="auto"/>
        </w:rPr>
        <w:t>i.e.</w:t>
      </w:r>
      <w:r>
        <w:rPr>
          <w:rFonts w:ascii="Arial" w:cs="Arial" w:eastAsia="Arial" w:hAnsi="Arial"/>
          <w:sz w:val="18"/>
          <w:szCs w:val="18"/>
          <w:color w:val="auto"/>
        </w:rPr>
        <w:t>, by conforming or adding a term to the then-outstanding Term Loans pursuant to the applicable Incremental Facility Amendment) shall be deemed satisfactory to the Administrative Agent) and (B) the terms of any Incremental Revolving Facility, if not substantially consistent with those applicable to any then-existing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52" w:name="page153"/>
    <w:bookmarkEnd w:id="152"/>
    <w:p>
      <w:pPr>
        <w:jc w:val="both"/>
        <w:spacing w:after="0" w:line="254" w:lineRule="auto"/>
        <w:rPr>
          <w:sz w:val="20"/>
          <w:szCs w:val="20"/>
          <w:color w:val="auto"/>
        </w:rPr>
      </w:pPr>
      <w:r>
        <w:rPr>
          <w:rFonts w:ascii="Arial" w:cs="Arial" w:eastAsia="Arial" w:hAnsi="Arial"/>
          <w:sz w:val="18"/>
          <w:szCs w:val="18"/>
          <w:color w:val="auto"/>
        </w:rPr>
        <w:t>Revolving Facility must be reasonably acceptable to the Administrative Agent (it being agreed that (x) any terms which are applicable only after the then-existing Latest Revolving Credit Maturity Date and (y) terms contained in such Incremental Revolving Facility that are more favorable to the lenders or the agent of such Incremental Revolving Facility than those contained in the Loan Documents and are then conformed (or added) to the Loan Documents for the benefit of the Revolving Lenders or, as applicable, the Administrative Agent (i.e., by conforming or adding a term to the then-outstanding Revolving Facility pursuant to the applicable Incremental Facility Amendment) shall be deemed satisfactory to the Administrative Agent),</w:t>
      </w:r>
    </w:p>
    <w:p>
      <w:pPr>
        <w:spacing w:after="0" w:line="191" w:lineRule="exact"/>
        <w:rPr>
          <w:sz w:val="20"/>
          <w:szCs w:val="20"/>
          <w:color w:val="auto"/>
        </w:rPr>
      </w:pPr>
    </w:p>
    <w:p>
      <w:pPr>
        <w:jc w:val="both"/>
        <w:ind w:firstLine="1045"/>
        <w:spacing w:after="0" w:line="267" w:lineRule="auto"/>
        <w:tabs>
          <w:tab w:leader="none" w:pos="128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the Effective Yield (and the components thereof) applicable to any Incremental Facility shall be determined by the Borrower and the lender or lenders providing such Incremental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Incremental Term Facility that is (A) in an aggregate principal amount in excess of $235,000,000 (the “</w:t>
      </w:r>
      <w:r>
        <w:rPr>
          <w:rFonts w:ascii="Arial" w:cs="Arial" w:eastAsia="Arial" w:hAnsi="Arial"/>
          <w:sz w:val="17"/>
          <w:szCs w:val="17"/>
          <w:u w:val="single" w:color="auto"/>
          <w:color w:val="auto"/>
        </w:rPr>
        <w:t>MFN Trigger Amount</w:t>
      </w:r>
      <w:r>
        <w:rPr>
          <w:rFonts w:ascii="Arial" w:cs="Arial" w:eastAsia="Arial" w:hAnsi="Arial"/>
          <w:sz w:val="17"/>
          <w:szCs w:val="17"/>
          <w:color w:val="auto"/>
        </w:rPr>
        <w:t xml:space="preserve">”), (B)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Term Loans in right of payment and with respect to security, (C) incurred in reliance on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“Incremental Cap” (but not any reclassification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the proviso to such definition), (D) incurred prior to the 12-month anniversary of the Closing Date and (E) scheduled to mature prior to the date that is two years after the Initial Term Loan Maturity Date, the Effective Yield applicable thereto may not be more than 0.75% higher than the Effective Yield applicable to the Initial Term Loans unless the Applicable Rate (and/or, as provided in the proviso below, the Alternate Base Rate floor or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floor) with respect to the Initial Term Loans is adjusted to be equal to the Effective Yield with respect to such Incremental Facility,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0.75% (this clause (v), including the carveouts and qualifications set forth in clauses (A) through (E), the “</w:t>
      </w:r>
      <w:r>
        <w:rPr>
          <w:rFonts w:ascii="Arial" w:cs="Arial" w:eastAsia="Arial" w:hAnsi="Arial"/>
          <w:sz w:val="17"/>
          <w:szCs w:val="17"/>
          <w:u w:val="single" w:color="auto"/>
          <w:color w:val="auto"/>
        </w:rPr>
        <w:t>MFN Protection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increase in Effective Yield to any Initial Term Loan due to the application or imposition of an Alternate Base Rate floor or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floor on any Incremental Term Loan may be effected, at the option of the Borrower, through an increase in (or implementation of, as applicable) any Alternate Base Rate floor or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floor applicable to such Initial Term Loan,</w:t>
      </w:r>
    </w:p>
    <w:p>
      <w:pPr>
        <w:spacing w:after="0" w:line="183" w:lineRule="exact"/>
        <w:rPr>
          <w:sz w:val="20"/>
          <w:szCs w:val="20"/>
          <w:color w:val="auto"/>
        </w:rPr>
      </w:pPr>
    </w:p>
    <w:p>
      <w:pPr>
        <w:jc w:val="both"/>
        <w:ind w:firstLine="1048"/>
        <w:spacing w:after="0" w:line="310" w:lineRule="auto"/>
        <w:rPr>
          <w:sz w:val="20"/>
          <w:szCs w:val="20"/>
          <w:color w:val="auto"/>
        </w:rPr>
      </w:pPr>
      <w:r>
        <w:rPr>
          <w:rFonts w:ascii="Arial" w:cs="Arial" w:eastAsia="Arial" w:hAnsi="Arial"/>
          <w:sz w:val="16"/>
          <w:szCs w:val="16"/>
          <w:color w:val="auto"/>
        </w:rPr>
        <w:t>(vi)(A) subject to the Permitted Earlier Maturity Indebtedness Exception, the final maturity date with respect to any Incremental Term Loans shall be no earlier than the Latest Term Loan Maturity Date and (B) no Incremental Revolving Facility may have a final maturity date earlier than (or require scheduled amortization or mandatory commitment reductions prior to) the Latest Revolving Credit Maturity Date,</w:t>
      </w:r>
    </w:p>
    <w:p>
      <w:pPr>
        <w:spacing w:after="0" w:line="147" w:lineRule="exact"/>
        <w:rPr>
          <w:sz w:val="20"/>
          <w:szCs w:val="20"/>
          <w:color w:val="auto"/>
        </w:rPr>
      </w:pPr>
    </w:p>
    <w:p>
      <w:pPr>
        <w:jc w:val="both"/>
        <w:ind w:firstLine="1048"/>
        <w:spacing w:after="0" w:line="262" w:lineRule="auto"/>
        <w:rPr>
          <w:sz w:val="20"/>
          <w:szCs w:val="20"/>
          <w:color w:val="auto"/>
        </w:rPr>
      </w:pPr>
      <w:r>
        <w:rPr>
          <w:rFonts w:ascii="Arial" w:cs="Arial" w:eastAsia="Arial" w:hAnsi="Arial"/>
          <w:sz w:val="18"/>
          <w:szCs w:val="18"/>
          <w:color w:val="auto"/>
        </w:rPr>
        <w:t>(vii)subject to the Permitted Earlier Maturity Indebtedness Exception, the Weighted Average Life to Maturity of any Incremental Term Facility shall be no shorter than the remaining Weighted Average Life to Maturity of the then-existing tranche of Term Loans (without giving effect to any prepayments thereof),</w:t>
      </w:r>
    </w:p>
    <w:p>
      <w:pPr>
        <w:spacing w:after="0" w:line="182" w:lineRule="exact"/>
        <w:rPr>
          <w:sz w:val="20"/>
          <w:szCs w:val="20"/>
          <w:color w:val="auto"/>
        </w:rPr>
      </w:pPr>
    </w:p>
    <w:p>
      <w:pPr>
        <w:jc w:val="both"/>
        <w:ind w:firstLine="1048"/>
        <w:spacing w:after="0" w:line="275" w:lineRule="auto"/>
        <w:rPr>
          <w:sz w:val="20"/>
          <w:szCs w:val="20"/>
          <w:color w:val="auto"/>
        </w:rPr>
      </w:pPr>
      <w:r>
        <w:rPr>
          <w:rFonts w:ascii="Arial" w:cs="Arial" w:eastAsia="Arial" w:hAnsi="Arial"/>
          <w:sz w:val="18"/>
          <w:szCs w:val="18"/>
          <w:color w:val="auto"/>
        </w:rPr>
        <w:t xml:space="preserve">(viii)subject to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any Incremental Term Facility may otherwise have an amortization schedule as determined by the Borrower and the lenders providing such Incremental Term Facility,</w:t>
      </w:r>
    </w:p>
    <w:p>
      <w:pPr>
        <w:spacing w:after="0" w:line="171" w:lineRule="exact"/>
        <w:rPr>
          <w:sz w:val="20"/>
          <w:szCs w:val="20"/>
          <w:color w:val="auto"/>
        </w:rPr>
      </w:pPr>
    </w:p>
    <w:p>
      <w:pPr>
        <w:jc w:val="both"/>
        <w:ind w:firstLine="1048"/>
        <w:spacing w:after="0" w:line="275" w:lineRule="auto"/>
        <w:rPr>
          <w:sz w:val="20"/>
          <w:szCs w:val="20"/>
          <w:color w:val="auto"/>
        </w:rPr>
      </w:pPr>
      <w:r>
        <w:rPr>
          <w:rFonts w:ascii="Arial" w:cs="Arial" w:eastAsia="Arial" w:hAnsi="Arial"/>
          <w:sz w:val="18"/>
          <w:szCs w:val="18"/>
          <w:color w:val="auto"/>
        </w:rPr>
        <w:t xml:space="preserve">(ix)subject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to the extent applicable, any fees payable in connection with any Incremental Facility shall be determined by the Borrower and the arrangers and/or lenders providing such Incremental Facility,</w:t>
      </w:r>
    </w:p>
    <w:p>
      <w:pPr>
        <w:spacing w:after="0" w:line="171" w:lineRule="exact"/>
        <w:rPr>
          <w:sz w:val="20"/>
          <w:szCs w:val="20"/>
          <w:color w:val="auto"/>
        </w:rPr>
      </w:pPr>
    </w:p>
    <w:p>
      <w:pPr>
        <w:jc w:val="both"/>
        <w:ind w:firstLine="1045"/>
        <w:spacing w:after="0" w:line="255" w:lineRule="auto"/>
        <w:tabs>
          <w:tab w:leader="none" w:pos="128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 any Incremental Term Facility or Incremental Revolving Facility may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tranche of Term Loans or Revolving Loans, as applicable, in right of payment and/or security or may be unsecured (and to the extent the relevant Incremental Facility is secured but not by the Loan Documents, it shall be subject to an Acceptable Intercreditor Agreement) and (B) no Incremental Facility may be (x) guaranteed by any Subsidiary of the Borrower which is not a Loan Party or (y) secured by any assets other than the Collateral,</w:t>
      </w:r>
    </w:p>
    <w:p>
      <w:pPr>
        <w:spacing w:after="0" w:line="190" w:lineRule="exact"/>
        <w:rPr>
          <w:sz w:val="20"/>
          <w:szCs w:val="20"/>
          <w:color w:val="auto"/>
        </w:rPr>
      </w:pPr>
    </w:p>
    <w:p>
      <w:pPr>
        <w:jc w:val="both"/>
        <w:ind w:firstLine="1048"/>
        <w:spacing w:after="0" w:line="277" w:lineRule="auto"/>
        <w:rPr>
          <w:sz w:val="20"/>
          <w:szCs w:val="20"/>
          <w:color w:val="auto"/>
        </w:rPr>
      </w:pPr>
      <w:r>
        <w:rPr>
          <w:rFonts w:ascii="Arial" w:cs="Arial" w:eastAsia="Arial" w:hAnsi="Arial"/>
          <w:sz w:val="17"/>
          <w:szCs w:val="17"/>
          <w:color w:val="auto"/>
        </w:rPr>
        <w:t xml:space="preserve">(xi)any Incremental Term Facility may participate (A) in any voluntary prepayment of Term Loans as set forth in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on a pro rata basis, greater than pro rata basis or less than a pro rata basis with the then-existing Term Loans and (B) in any mandatory prepayment of Term Loans as set forth in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on a pro rata basis (to the extent such Incremental Term Facility is secured on a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basis with the Initial Term Loans), greater than pro rata basis with respect to prepayments of any such</w:t>
      </w:r>
    </w:p>
    <w:p>
      <w:pPr>
        <w:spacing w:after="0" w:line="17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53" w:name="page154"/>
    <w:bookmarkEnd w:id="153"/>
    <w:p>
      <w:pPr>
        <w:jc w:val="both"/>
        <w:ind w:left="760"/>
        <w:spacing w:after="0" w:line="275" w:lineRule="auto"/>
        <w:rPr>
          <w:sz w:val="20"/>
          <w:szCs w:val="20"/>
          <w:color w:val="auto"/>
        </w:rPr>
      </w:pPr>
      <w:r>
        <w:rPr>
          <w:rFonts w:ascii="Arial" w:cs="Arial" w:eastAsia="Arial" w:hAnsi="Arial"/>
          <w:sz w:val="18"/>
          <w:szCs w:val="18"/>
          <w:color w:val="auto"/>
        </w:rPr>
        <w:t>Incremental Term Facility with the proceeds of any Replacement Term Loans or Replacement Notes or less than a pro rata basis with the then-existing Term Loans, in each case, to the extent provided in such Sections,</w:t>
      </w:r>
    </w:p>
    <w:p>
      <w:pPr>
        <w:spacing w:after="0" w:line="171" w:lineRule="exact"/>
        <w:rPr>
          <w:sz w:val="20"/>
          <w:szCs w:val="20"/>
          <w:color w:val="auto"/>
        </w:rPr>
      </w:pPr>
    </w:p>
    <w:p>
      <w:pPr>
        <w:jc w:val="both"/>
        <w:ind w:left="760" w:firstLine="1048"/>
        <w:spacing w:after="0" w:line="284" w:lineRule="auto"/>
        <w:rPr>
          <w:sz w:val="20"/>
          <w:szCs w:val="20"/>
          <w:color w:val="auto"/>
        </w:rPr>
      </w:pPr>
      <w:r>
        <w:rPr>
          <w:rFonts w:ascii="Arial" w:cs="Arial" w:eastAsia="Arial" w:hAnsi="Arial"/>
          <w:sz w:val="16"/>
          <w:szCs w:val="16"/>
          <w:color w:val="auto"/>
        </w:rPr>
        <w:t xml:space="preserve">(xii)the conditions set forth in </w:t>
      </w:r>
      <w:r>
        <w:rPr>
          <w:rFonts w:ascii="Arial" w:cs="Arial" w:eastAsia="Arial" w:hAnsi="Arial"/>
          <w:sz w:val="16"/>
          <w:szCs w:val="16"/>
          <w:u w:val="single" w:color="auto"/>
          <w:color w:val="auto"/>
        </w:rPr>
        <w:t>Sections 4.02(b)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be satisfied upon initial funding of any Incremental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or in any other provision of any Loan Document, if (x) the proceeds of any Incremental Facility are incurred in connection with an acquisition or other Investment or an irrevocable repayment, repurchase or redemption of Indebtedness,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shall have occurred and be continuing on such date and (y) the proceeds of any Incremental Facility are intended to be applied to finance an acquisition or other Investment and the lenders providing such Incremental Facility so agree, the availability thereof shall be subject to customary “SunGard” or “certain funds” conditionality (including, for the avoidance of doubt, with respect to Collateral) (including that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shall be deemed to require (x) in the case of an acquisition or other Investment, the customary “specified acquisition agreement representations” shall be true and correct solely to the extent required by the terms of the definition thereof and (ii) the Specified Representations shall be true and correct in all material respects on and as of the date of the initial borrowing of such Incremental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Specified Representation which expressly relates to a given date or period, such representation and warranty shall be true and correct in all material respects as of the respective date or for the respective period, as the case may be, (II) if any Specified Representation is qualified by or subject to a “material adverse effect,” “material adverse change” or similar term or qualification, (1) in the case of an acquisition or other Investment, the definition thereof shall be the definition of “Material Adverse Effect” (or similar term) in the definitive documentation relating to such acquisition or other Investment for purposes of the making or deemed making of such Specified Representation on, or as of, the date of the initial borrowing of such Incremental Facility and (2) such Specified Representation shall be true and correct in all respects and (III)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shall not apply to Collateral that is not required to be created or perfected on or prior to the date of initial funding of such Incremental Facility;</w:t>
      </w:r>
    </w:p>
    <w:p>
      <w:pPr>
        <w:spacing w:after="0" w:line="169"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(xiii)the proceeds of any Incremental Facility may be used for working capital and/or purchase price adjustments and other general corporate purposes (including capital expenditures, acquisitions, Investments, Restricted Payments and Restricted Debt Payments and related fees and expenses) and any other use not prohibited by this Agreement, and</w:t>
      </w:r>
    </w:p>
    <w:p>
      <w:pPr>
        <w:spacing w:after="0" w:line="182" w:lineRule="exact"/>
        <w:rPr>
          <w:sz w:val="20"/>
          <w:szCs w:val="20"/>
          <w:color w:val="auto"/>
        </w:rPr>
      </w:pPr>
    </w:p>
    <w:p>
      <w:pPr>
        <w:jc w:val="both"/>
        <w:ind w:left="760" w:firstLine="1048"/>
        <w:spacing w:after="0" w:line="269" w:lineRule="auto"/>
        <w:rPr>
          <w:sz w:val="20"/>
          <w:szCs w:val="20"/>
          <w:color w:val="auto"/>
        </w:rPr>
      </w:pPr>
      <w:r>
        <w:rPr>
          <w:rFonts w:ascii="Arial" w:cs="Arial" w:eastAsia="Arial" w:hAnsi="Arial"/>
          <w:sz w:val="17"/>
          <w:szCs w:val="17"/>
          <w:color w:val="auto"/>
        </w:rPr>
        <w:t xml:space="preserve">(xiv)on the date of the Borrowing of any Incremental Term Loans that will be of the same Class as any then-existing Class of Term Loans, and notwithstanding anything to the contrary set forth in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above,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w:t>
      </w:r>
      <w:r>
        <w:rPr>
          <w:rFonts w:ascii="Arial" w:cs="Arial" w:eastAsia="Arial" w:hAnsi="Arial"/>
          <w:sz w:val="17"/>
          <w:szCs w:val="17"/>
          <w:u w:val="single" w:color="auto"/>
          <w:color w:val="auto"/>
        </w:rPr>
        <w:t>clause (a)(xiv)</w:t>
      </w:r>
      <w:r>
        <w:rPr>
          <w:rFonts w:ascii="Arial" w:cs="Arial" w:eastAsia="Arial" w:hAnsi="Arial"/>
          <w:sz w:val="17"/>
          <w:szCs w:val="17"/>
          <w:color w:val="auto"/>
        </w:rPr>
        <w:t xml:space="preserve"> may result in new Incremental Term Loans having Interest Periods (the duration of which may be less than one month) that begin during an Interest Period then applicable to outstanding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of the relevant Class and which end on the last day of such Interest Period.</w:t>
      </w:r>
    </w:p>
    <w:p>
      <w:pPr>
        <w:spacing w:after="0" w:line="182" w:lineRule="exact"/>
        <w:rPr>
          <w:sz w:val="20"/>
          <w:szCs w:val="20"/>
          <w:color w:val="auto"/>
        </w:rPr>
      </w:pPr>
    </w:p>
    <w:p>
      <w:pPr>
        <w:jc w:val="both"/>
        <w:ind w:firstLine="756"/>
        <w:spacing w:after="0" w:line="292" w:lineRule="auto"/>
        <w:tabs>
          <w:tab w:leader="none" w:pos="101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Incremental Commitments may be provided by any existing Lender, or by any other Eligible Assignee (any such other lender being called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in the case of any Incremental Revolving Facility, any Issuing Bank and Swingline Lender) shall have a right to consent (such consent not to be unreasonably withheld or delayed) to the relevant Additional Lender’s provision of Incremental Commitments if such consent would be required under </w:t>
      </w:r>
      <w:r>
        <w:rPr>
          <w:rFonts w:ascii="Arial" w:cs="Arial" w:eastAsia="Arial" w:hAnsi="Arial"/>
          <w:sz w:val="16"/>
          <w:szCs w:val="16"/>
          <w:u w:val="single" w:color="auto"/>
          <w:color w:val="auto"/>
        </w:rPr>
        <w:t>Section 9.05(b)</w:t>
      </w:r>
      <w:r>
        <w:rPr>
          <w:rFonts w:ascii="Arial" w:cs="Arial" w:eastAsia="Arial" w:hAnsi="Arial"/>
          <w:sz w:val="16"/>
          <w:szCs w:val="16"/>
          <w:color w:val="auto"/>
        </w:rPr>
        <w:t xml:space="preserve"> for an assignment of Loans to such Additional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Additional Lender that is an Affiliated Lender shall be subject to the provisions of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to the same extent as if the relevant Incremental Commitments and related Obligations had been acquired by such Lender by way of assignment.</w:t>
      </w:r>
    </w:p>
    <w:p>
      <w:pPr>
        <w:spacing w:after="0" w:line="161" w:lineRule="exact"/>
        <w:rPr>
          <w:rFonts w:ascii="Arial" w:cs="Arial" w:eastAsia="Arial" w:hAnsi="Arial"/>
          <w:sz w:val="16"/>
          <w:szCs w:val="16"/>
          <w:color w:val="auto"/>
        </w:rPr>
      </w:pPr>
    </w:p>
    <w:p>
      <w:pPr>
        <w:jc w:val="both"/>
        <w:ind w:firstLine="756"/>
        <w:spacing w:after="0" w:line="262" w:lineRule="auto"/>
        <w:tabs>
          <w:tab w:leader="none" w:pos="101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Lender or Additional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54" w:name="page155"/>
    <w:bookmarkEnd w:id="154"/>
    <w:p>
      <w:pPr>
        <w:spacing w:after="0" w:line="275" w:lineRule="auto"/>
        <w:rPr>
          <w:sz w:val="20"/>
          <w:szCs w:val="20"/>
          <w:color w:val="auto"/>
        </w:rPr>
      </w:pPr>
      <w:r>
        <w:rPr>
          <w:rFonts w:ascii="Arial" w:cs="Arial" w:eastAsia="Arial" w:hAnsi="Arial"/>
          <w:sz w:val="18"/>
          <w:szCs w:val="18"/>
          <w:color w:val="auto"/>
        </w:rPr>
        <w:t>Incremental Commitment. On the effective date of such Incremental Commitment, each Additional Lender shall become a Lender for all purposes in connection with this Agreement.</w:t>
      </w:r>
    </w:p>
    <w:p>
      <w:pPr>
        <w:spacing w:after="0" w:line="171" w:lineRule="exact"/>
        <w:rPr>
          <w:sz w:val="20"/>
          <w:szCs w:val="20"/>
          <w:color w:val="auto"/>
        </w:rPr>
      </w:pPr>
    </w:p>
    <w:p>
      <w:pPr>
        <w:jc w:val="both"/>
        <w:ind w:firstLine="756"/>
        <w:spacing w:after="0" w:line="268" w:lineRule="auto"/>
        <w:tabs>
          <w:tab w:leader="none" w:pos="101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As conditions precedent to the effectiveness of any Incremental Facility or the making of any Incremental Loans, (i) upon its reasonable request, the Administrative Agent shall be entitled to receive customary written opinions of counsel (</w:t>
      </w:r>
      <w:r>
        <w:rPr>
          <w:rFonts w:ascii="Arial" w:cs="Arial" w:eastAsia="Arial" w:hAnsi="Arial"/>
          <w:sz w:val="17"/>
          <w:szCs w:val="17"/>
          <w:u w:val="single" w:color="auto"/>
          <w:color w:val="auto"/>
        </w:rPr>
        <w:t>provided</w:t>
      </w:r>
      <w:r>
        <w:rPr>
          <w:rFonts w:ascii="Arial" w:cs="Arial" w:eastAsia="Arial" w:hAnsi="Arial"/>
          <w:sz w:val="17"/>
          <w:szCs w:val="17"/>
          <w:color w:val="auto"/>
        </w:rPr>
        <w:t>, that, local counsel opinions shall not be required with respect to the any jurisdictions in which Restricted Subsidiaries that are material Restricted Subsidiaries are not formed, organized or incorporated), as well as such reaffirmation agreements, supplements and/or amendments as it shall reasonably require, (ii) the Administrative Agent shall be entitled to receive, from each Additional Lender, an administrative questionnaire, in the form provided to such Additional Lender by the Administrative Agent (the “</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xml:space="preserve">”) and such other documents as it shall reasonably require from such Additional Lender, (iii) the Administrative Agent and Lenders shall be entitled to receive all fees required to be paid in respect of such Incremental Facility or Incremental Loans, (iv) subject to </w:t>
      </w:r>
      <w:r>
        <w:rPr>
          <w:rFonts w:ascii="Arial" w:cs="Arial" w:eastAsia="Arial" w:hAnsi="Arial"/>
          <w:sz w:val="17"/>
          <w:szCs w:val="17"/>
          <w:u w:val="single" w:color="auto"/>
          <w:color w:val="auto"/>
        </w:rPr>
        <w:t>Section 2.22(a)(xii)</w:t>
      </w:r>
      <w:r>
        <w:rPr>
          <w:rFonts w:ascii="Arial" w:cs="Arial" w:eastAsia="Arial" w:hAnsi="Arial"/>
          <w:sz w:val="17"/>
          <w:szCs w:val="17"/>
          <w:color w:val="auto"/>
        </w:rPr>
        <w:t xml:space="preserve">, the Administrative Agent shall have received a Borrowing Request as if the relevant Incremental Loans were subject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another written request the form of which is reasonably acceptable to the Administrative Agent and (v) the Administrative Agent shall be entitled to receive a certificate of the Borrower signed by a Responsible Officer thereof;</w:t>
      </w:r>
    </w:p>
    <w:p>
      <w:pPr>
        <w:spacing w:after="0" w:line="182" w:lineRule="exact"/>
        <w:rPr>
          <w:rFonts w:ascii="Arial" w:cs="Arial" w:eastAsia="Arial" w:hAnsi="Arial"/>
          <w:sz w:val="17"/>
          <w:szCs w:val="17"/>
          <w:color w:val="auto"/>
        </w:rPr>
      </w:pPr>
    </w:p>
    <w:p>
      <w:pPr>
        <w:ind w:left="1500" w:firstLine="754"/>
        <w:spacing w:after="0" w:line="275" w:lineRule="auto"/>
        <w:tabs>
          <w:tab w:leader="none" w:pos="2548" w:val="left"/>
        </w:tabs>
        <w:numPr>
          <w:ilvl w:val="2"/>
          <w:numId w:val="165"/>
        </w:numPr>
        <w:rPr>
          <w:rFonts w:ascii="Arial" w:cs="Arial" w:eastAsia="Arial" w:hAnsi="Arial"/>
          <w:sz w:val="18"/>
          <w:szCs w:val="18"/>
          <w:color w:val="auto"/>
        </w:rPr>
      </w:pPr>
      <w:r>
        <w:rPr>
          <w:rFonts w:ascii="Arial" w:cs="Arial" w:eastAsia="Arial" w:hAnsi="Arial"/>
          <w:sz w:val="18"/>
          <w:szCs w:val="18"/>
          <w:color w:val="auto"/>
        </w:rPr>
        <w:t>certifying and attaching a copy of the resolutions adopted by the governing body of the Borrower approving or consenting to such Incremental Facility or Incremental Loans, and</w:t>
      </w:r>
    </w:p>
    <w:p>
      <w:pPr>
        <w:spacing w:after="0" w:line="170" w:lineRule="exact"/>
        <w:rPr>
          <w:rFonts w:ascii="Arial" w:cs="Arial" w:eastAsia="Arial" w:hAnsi="Arial"/>
          <w:sz w:val="18"/>
          <w:szCs w:val="18"/>
          <w:color w:val="auto"/>
        </w:rPr>
      </w:pPr>
    </w:p>
    <w:p>
      <w:pPr>
        <w:ind w:left="2560" w:hanging="306"/>
        <w:spacing w:after="0"/>
        <w:tabs>
          <w:tab w:leader="none" w:pos="25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 xml:space="preserve">to the extent applicable, certifying that the condition set forth in </w:t>
      </w:r>
      <w:r>
        <w:rPr>
          <w:rFonts w:ascii="Arial" w:cs="Arial" w:eastAsia="Arial" w:hAnsi="Arial"/>
          <w:sz w:val="18"/>
          <w:szCs w:val="18"/>
          <w:u w:val="single" w:color="auto"/>
          <w:color w:val="auto"/>
        </w:rPr>
        <w:t>clause (a)(xii)</w:t>
      </w:r>
      <w:r>
        <w:rPr>
          <w:rFonts w:ascii="Arial" w:cs="Arial" w:eastAsia="Arial" w:hAnsi="Arial"/>
          <w:sz w:val="18"/>
          <w:szCs w:val="18"/>
          <w:color w:val="auto"/>
        </w:rPr>
        <w:t xml:space="preserve"> above has been satisfied.</w:t>
      </w:r>
    </w:p>
    <w:p>
      <w:pPr>
        <w:spacing w:after="0" w:line="222" w:lineRule="exact"/>
        <w:rPr>
          <w:rFonts w:ascii="Arial" w:cs="Arial" w:eastAsia="Arial" w:hAnsi="Arial"/>
          <w:sz w:val="18"/>
          <w:szCs w:val="18"/>
          <w:color w:val="auto"/>
        </w:rPr>
      </w:pPr>
    </w:p>
    <w:p>
      <w:pPr>
        <w:ind w:left="1020" w:hanging="264"/>
        <w:spacing w:after="0"/>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Upon the implementation of any Incremental Revolving Facility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760" w:firstLine="1045"/>
        <w:spacing w:after="0" w:line="284" w:lineRule="auto"/>
        <w:tabs>
          <w:tab w:leader="none" w:pos="204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if such Incremental Revolving Facility establishes Revolving Credit Commitments of the same Class as any then-existing Class of Revolving Credit Commitments, (x)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 (A) participations hereunder in Letters of Credit and (B) participations hereunder in Swingline Loans shall be held on a pro rata basis on the basis of their respective Revolving Credit Commitments (after giving effect to any increase in the Revolving Credit Commitment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(y)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Commitments of such Class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and</w:t>
      </w:r>
    </w:p>
    <w:p>
      <w:pPr>
        <w:spacing w:after="0" w:line="174" w:lineRule="exact"/>
        <w:rPr>
          <w:sz w:val="20"/>
          <w:szCs w:val="20"/>
          <w:color w:val="auto"/>
        </w:rPr>
      </w:pPr>
    </w:p>
    <w:p>
      <w:pPr>
        <w:jc w:val="both"/>
        <w:ind w:left="760" w:firstLine="1048"/>
        <w:spacing w:after="0" w:line="269" w:lineRule="auto"/>
        <w:rPr>
          <w:sz w:val="20"/>
          <w:szCs w:val="20"/>
          <w:color w:val="auto"/>
        </w:rPr>
      </w:pPr>
      <w:r>
        <w:rPr>
          <w:rFonts w:ascii="Arial" w:cs="Arial" w:eastAsia="Arial" w:hAnsi="Arial"/>
          <w:sz w:val="17"/>
          <w:szCs w:val="17"/>
          <w:color w:val="auto"/>
        </w:rPr>
        <w:t xml:space="preserve">(ii)if such Incremental Revolving Facility establishes Revolving Credit Commitments of a new Class, then (A) the borrowing and repayment (except for (x) payments of interest and fees at different rates on the Revolving Facilities (and related outstandings), (y) repayments required on the Maturity Date of any Revolving Facility and (z) repayments made in connection with a permanent repayment and termination of the Revolving Credit Commitments under any Revolving Facility (subject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of Revolving Loans with respect to any Revolving Facility after the effective date of such Incremental Revolving Facility shall be made on a pro rata basis (to the extent secured on a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basis with the then-existing Revolving Loans) or less than pro rata basis (but, for the avoidance of doubt, not on a greater than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basis) with all other then-existing Revolving Loans, (B) all Letters of Credit and Swingline Loans shall be participated on a pro rata basis by all Revolving Lenders and (C) any permanent repayment of Revolving Loans with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55" w:name="page156"/>
    <w:bookmarkEnd w:id="155"/>
    <w:p>
      <w:pPr>
        <w:jc w:val="both"/>
        <w:ind w:left="760"/>
        <w:spacing w:after="0" w:line="300" w:lineRule="auto"/>
        <w:rPr>
          <w:sz w:val="20"/>
          <w:szCs w:val="20"/>
          <w:color w:val="auto"/>
        </w:rPr>
      </w:pPr>
      <w:r>
        <w:rPr>
          <w:rFonts w:ascii="Arial" w:cs="Arial" w:eastAsia="Arial" w:hAnsi="Arial"/>
          <w:sz w:val="16"/>
          <w:szCs w:val="16"/>
          <w:color w:val="auto"/>
        </w:rPr>
        <w:t xml:space="preserve">respect to, and reduction and termination of Revolving Credit Commitments under, any Revolving Facility after the effective date of such Incremental Revolving Facility shall be made on a pro rata basis (to the extent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then-existing Revolving Loans) or less than pro rata basis with all other Revolving Facilities, or, to the extent such Incremental Revolving Credit Commitments are terminated in full and refinanced or replaced with a Replacement Revolving Facility or Replacement Notes, a greater than pro rata basis.</w:t>
      </w:r>
    </w:p>
    <w:p>
      <w:pPr>
        <w:spacing w:after="0" w:line="155" w:lineRule="exact"/>
        <w:rPr>
          <w:sz w:val="20"/>
          <w:szCs w:val="20"/>
          <w:color w:val="auto"/>
        </w:rPr>
      </w:pPr>
    </w:p>
    <w:p>
      <w:pPr>
        <w:jc w:val="both"/>
        <w:ind w:firstLine="756"/>
        <w:spacing w:after="0" w:line="262" w:lineRule="auto"/>
        <w:tabs>
          <w:tab w:leader="none" w:pos="10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the date of effectiveness of any Incremental Revolving Facility, the maximum amount of LC Exposure and/or Swingline Loans, as applicable, permitted hereunder shall increase by an amount, if any, agreed upon by Administrative Agent, the relevant Issuing Bank and/or Swingline Lender, as applicable, and the Borrower.</w:t>
      </w:r>
    </w:p>
    <w:p>
      <w:pPr>
        <w:spacing w:after="0" w:line="182" w:lineRule="exact"/>
        <w:rPr>
          <w:rFonts w:ascii="Arial" w:cs="Arial" w:eastAsia="Arial" w:hAnsi="Arial"/>
          <w:sz w:val="18"/>
          <w:szCs w:val="18"/>
          <w:color w:val="auto"/>
        </w:rPr>
      </w:pPr>
    </w:p>
    <w:p>
      <w:pPr>
        <w:jc w:val="both"/>
        <w:ind w:firstLine="756"/>
        <w:spacing w:after="0" w:line="300" w:lineRule="auto"/>
        <w:tabs>
          <w:tab w:leader="none" w:pos="101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such technical amendments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1020" w:hanging="264"/>
        <w:spacing w:after="0"/>
        <w:tabs>
          <w:tab w:leader="none" w:pos="10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supersede any provision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w:t>
      </w:r>
      <w:r>
        <w:rPr>
          <w:rFonts w:ascii="Arial" w:cs="Arial" w:eastAsia="Arial" w:hAnsi="Arial"/>
          <w:sz w:val="18"/>
          <w:szCs w:val="18"/>
          <w:color w:val="auto"/>
        </w:rPr>
        <w:t xml:space="preserve"> to the contrary.</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2.23.Extensions of Loans and Revolving Credit Commitments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6" w:lineRule="auto"/>
        <w:tabs>
          <w:tab w:leader="none" w:pos="101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Arial" w:cs="Arial" w:eastAsia="Arial" w:hAnsi="Arial"/>
          <w:sz w:val="16"/>
          <w:szCs w:val="16"/>
          <w:u w:val="single" w:color="auto"/>
          <w:color w:val="auto"/>
        </w:rPr>
        <w:t>Extension</w:t>
      </w:r>
      <w:r>
        <w:rPr>
          <w:rFonts w:ascii="Arial" w:cs="Arial" w:eastAsia="Arial" w:hAnsi="Arial"/>
          <w:sz w:val="16"/>
          <w:szCs w:val="16"/>
          <w:color w:val="auto"/>
        </w:rPr>
        <w:t>,” and each group of Loans or Commitments, as applicable, in each case as so extended, and the original Loans and the original Commitments (in each case not so extended), being a “Class”;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168" w:lineRule="exact"/>
        <w:rPr>
          <w:rFonts w:ascii="Arial" w:cs="Arial" w:eastAsia="Arial" w:hAnsi="Arial"/>
          <w:sz w:val="16"/>
          <w:szCs w:val="16"/>
          <w:color w:val="auto"/>
        </w:rPr>
      </w:pPr>
    </w:p>
    <w:p>
      <w:pPr>
        <w:jc w:val="both"/>
        <w:ind w:left="760" w:firstLine="1045"/>
        <w:spacing w:after="0" w:line="266" w:lineRule="auto"/>
        <w:tabs>
          <w:tab w:leader="none" w:pos="204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 xml:space="preserve">except as to (A) interest rates, fees and final maturity (which shall, subject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more favorable to the lenders of such Extended Revolving Credit Commitments or Extended Revolving Loans or the Administrative Agent than those contained in the Loan Documents applicable to the then-existing Revolving Credit Commitments or Revolving Loans and are then conformed (or added) to the Loan Documents for the benefit of the Revolving Lenders or, as applicable, the Administrative Agent (</w:t>
      </w:r>
      <w:r>
        <w:rPr>
          <w:rFonts w:ascii="Arial" w:cs="Arial" w:eastAsia="Arial" w:hAnsi="Arial"/>
          <w:sz w:val="17"/>
          <w:szCs w:val="17"/>
          <w:i w:val="1"/>
          <w:iCs w:val="1"/>
          <w:color w:val="auto"/>
        </w:rPr>
        <w:t>i.e</w:t>
      </w:r>
      <w:r>
        <w:rPr>
          <w:rFonts w:ascii="Arial" w:cs="Arial" w:eastAsia="Arial" w:hAnsi="Arial"/>
          <w:sz w:val="17"/>
          <w:szCs w:val="17"/>
          <w:color w:val="auto"/>
        </w:rPr>
        <w:t>., by conforming or adding a term to the then-outstanding Revolving Facility pursuant to the applicable Extension Amendment), and (C) any covenants or other provisions applicable only to periods after the Latest Revolving Credit Maturity Date, the Revolving Credit Commitment of any Lender who agrees to an Extension with respect to such Commitment (an “</w:t>
      </w:r>
      <w:r>
        <w:rPr>
          <w:rFonts w:ascii="Arial" w:cs="Arial" w:eastAsia="Arial" w:hAnsi="Arial"/>
          <w:sz w:val="17"/>
          <w:szCs w:val="17"/>
          <w:u w:val="single" w:color="auto"/>
          <w:color w:val="auto"/>
        </w:rPr>
        <w:t>Extended Revolving Credit Commitment</w:t>
      </w:r>
      <w:r>
        <w:rPr>
          <w:rFonts w:ascii="Arial" w:cs="Arial" w:eastAsia="Arial" w:hAnsi="Arial"/>
          <w:sz w:val="17"/>
          <w:szCs w:val="17"/>
          <w:color w:val="auto"/>
        </w:rPr>
        <w:t>”; and the Loans thereunder, “</w:t>
      </w:r>
      <w:r>
        <w:rPr>
          <w:rFonts w:ascii="Arial" w:cs="Arial" w:eastAsia="Arial" w:hAnsi="Arial"/>
          <w:sz w:val="17"/>
          <w:szCs w:val="17"/>
          <w:u w:val="single" w:color="auto"/>
          <w:color w:val="auto"/>
        </w:rPr>
        <w:t>Extended Revolving Loans</w:t>
      </w:r>
      <w:r>
        <w:rPr>
          <w:rFonts w:ascii="Arial" w:cs="Arial" w:eastAsia="Arial" w:hAnsi="Arial"/>
          <w:sz w:val="17"/>
          <w:szCs w:val="17"/>
          <w:color w:val="auto"/>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more than one Revolving Facility exists after giving effect to any such Extension, (x) the borrowing and repayment (except for (1) payments of interest and fees at different rates on the Revolving Facilities (and related outstandings), (2) repayments required upon the Maturity Date of any Revolving Facility and (3) repayments made in connection with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56" w:name="page157"/>
    <w:bookmarkEnd w:id="156"/>
    <w:p>
      <w:pPr>
        <w:jc w:val="both"/>
        <w:spacing w:after="0" w:line="269" w:lineRule="auto"/>
        <w:rPr>
          <w:sz w:val="20"/>
          <w:szCs w:val="20"/>
          <w:color w:val="auto"/>
        </w:rPr>
      </w:pPr>
      <w:r>
        <w:rPr>
          <w:rFonts w:ascii="Arial" w:cs="Arial" w:eastAsia="Arial" w:hAnsi="Arial"/>
          <w:sz w:val="17"/>
          <w:szCs w:val="17"/>
          <w:color w:val="auto"/>
        </w:rPr>
        <w:t xml:space="preserve">permanent repayment and termination of Revolving Credit Commitments under any Revolving Facility (subject to </w:t>
      </w:r>
      <w:r>
        <w:rPr>
          <w:rFonts w:ascii="Arial" w:cs="Arial" w:eastAsia="Arial" w:hAnsi="Arial"/>
          <w:sz w:val="17"/>
          <w:szCs w:val="17"/>
          <w:u w:val="single" w:color="auto"/>
          <w:color w:val="auto"/>
        </w:rPr>
        <w:t>clause (z)</w:t>
      </w:r>
      <w:r>
        <w:rPr>
          <w:rFonts w:ascii="Arial" w:cs="Arial" w:eastAsia="Arial" w:hAnsi="Arial"/>
          <w:sz w:val="17"/>
          <w:szCs w:val="17"/>
          <w:color w:val="auto"/>
        </w:rPr>
        <w:t xml:space="preserve"> below)) of Revolving Loans with respect to any Revolving Facility after the effective date of such Extended Revolving Credit Commitments shall be made on a pro rata basis with all other Revolving Facilities, (y) all Swingline Loans and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and (II) to the extent refinanced or replaced with a Replacement Revolving Facility or Replacement Notes;</w:t>
      </w:r>
    </w:p>
    <w:p>
      <w:pPr>
        <w:spacing w:after="0" w:line="178" w:lineRule="exact"/>
        <w:rPr>
          <w:sz w:val="20"/>
          <w:szCs w:val="20"/>
          <w:color w:val="auto"/>
        </w:rPr>
      </w:pPr>
    </w:p>
    <w:p>
      <w:pPr>
        <w:jc w:val="both"/>
        <w:ind w:firstLine="1048"/>
        <w:spacing w:after="0" w:line="287" w:lineRule="auto"/>
        <w:rPr>
          <w:sz w:val="20"/>
          <w:szCs w:val="20"/>
          <w:color w:val="auto"/>
        </w:rPr>
      </w:pPr>
      <w:r>
        <w:rPr>
          <w:rFonts w:ascii="Arial" w:cs="Arial" w:eastAsia="Arial" w:hAnsi="Arial"/>
          <w:sz w:val="16"/>
          <w:szCs w:val="16"/>
          <w:color w:val="auto"/>
        </w:rPr>
        <w:t xml:space="preserve">(ii)except as to (A) interest rates, fees, amortization, final maturity date, premiums, required prepayment dates and participation in prepayments (which shall, subject to immediately succeeding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be determined by the Borrower and any Lender who agrees to an Extension of its Term Loans and set forth in the relevant Extension Offer), (B) terms applicable to such Extended Term Loans (as defined below) that are more favorable to the lenders or the agent of such Extended Term Loans than those contained in the Loan Documents and are then conformed (or added) to the Loan Documents for the benefit of the Term Lenders or, as applicable, the Administrative Agent (</w:t>
      </w:r>
      <w:r>
        <w:rPr>
          <w:rFonts w:ascii="Arial" w:cs="Arial" w:eastAsia="Arial" w:hAnsi="Arial"/>
          <w:sz w:val="16"/>
          <w:szCs w:val="16"/>
          <w:i w:val="1"/>
          <w:iCs w:val="1"/>
          <w:color w:val="auto"/>
        </w:rPr>
        <w:t>i.e.</w:t>
      </w:r>
      <w:r>
        <w:rPr>
          <w:rFonts w:ascii="Arial" w:cs="Arial" w:eastAsia="Arial" w:hAnsi="Arial"/>
          <w:sz w:val="16"/>
          <w:szCs w:val="16"/>
          <w:color w:val="auto"/>
        </w:rPr>
        <w:t>, by conforming or adding a term to the then-outstanding Term Loans pursuant to the applicable Extension Amendment) and (C) any covenants or other provisions applicable only to periods after the Latest Term Loan Maturity Date (in each case, as of the date of such Extension), the Term Loans of any Lender extended pursuant to any Extension (any such extended Term Loans, the “</w:t>
      </w:r>
      <w:r>
        <w:rPr>
          <w:rFonts w:ascii="Arial" w:cs="Arial" w:eastAsia="Arial" w:hAnsi="Arial"/>
          <w:sz w:val="16"/>
          <w:szCs w:val="16"/>
          <w:u w:val="single" w:color="auto"/>
          <w:color w:val="auto"/>
        </w:rPr>
        <w:t>Extended Term Loans</w:t>
      </w:r>
      <w:r>
        <w:rPr>
          <w:rFonts w:ascii="Arial" w:cs="Arial" w:eastAsia="Arial" w:hAnsi="Arial"/>
          <w:sz w:val="16"/>
          <w:szCs w:val="16"/>
          <w:color w:val="auto"/>
        </w:rPr>
        <w:t>”) shall have substantially consistent terms (or terms not less favorable to existing Lenders) as the tranche of Term Loans subject to the relevant Extension Offer;</w:t>
      </w:r>
    </w:p>
    <w:p>
      <w:pPr>
        <w:spacing w:after="0" w:line="170" w:lineRule="exact"/>
        <w:rPr>
          <w:sz w:val="20"/>
          <w:szCs w:val="20"/>
          <w:color w:val="auto"/>
        </w:rPr>
      </w:pPr>
    </w:p>
    <w:p>
      <w:pPr>
        <w:jc w:val="both"/>
        <w:ind w:firstLine="1048"/>
        <w:spacing w:after="0" w:line="262" w:lineRule="auto"/>
        <w:rPr>
          <w:sz w:val="20"/>
          <w:szCs w:val="20"/>
          <w:color w:val="auto"/>
        </w:rPr>
      </w:pPr>
      <w:r>
        <w:rPr>
          <w:rFonts w:ascii="Arial" w:cs="Arial" w:eastAsia="Arial" w:hAnsi="Arial"/>
          <w:sz w:val="18"/>
          <w:szCs w:val="18"/>
          <w:color w:val="auto"/>
        </w:rPr>
        <w:t>(iii)(x)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spacing w:after="0" w:line="182" w:lineRule="exact"/>
        <w:rPr>
          <w:sz w:val="20"/>
          <w:szCs w:val="20"/>
          <w:color w:val="auto"/>
        </w:rPr>
      </w:pPr>
    </w:p>
    <w:p>
      <w:pPr>
        <w:jc w:val="both"/>
        <w:ind w:firstLine="1048"/>
        <w:spacing w:after="0" w:line="275" w:lineRule="auto"/>
        <w:rPr>
          <w:sz w:val="20"/>
          <w:szCs w:val="20"/>
          <w:color w:val="auto"/>
        </w:rPr>
      </w:pPr>
      <w:r>
        <w:rPr>
          <w:rFonts w:ascii="Arial" w:cs="Arial" w:eastAsia="Arial" w:hAnsi="Arial"/>
          <w:sz w:val="18"/>
          <w:szCs w:val="18"/>
          <w:color w:val="auto"/>
        </w:rPr>
        <w:t>(iv)the Weighted Average Life to Maturity of any Extended Term Loans shall be no shorter than the remaining Weighted Average Life to Maturity of any then-existing Term Loans;</w:t>
      </w:r>
    </w:p>
    <w:p>
      <w:pPr>
        <w:spacing w:after="0" w:line="171" w:lineRule="exact"/>
        <w:rPr>
          <w:sz w:val="20"/>
          <w:szCs w:val="20"/>
          <w:color w:val="auto"/>
        </w:rPr>
      </w:pPr>
    </w:p>
    <w:p>
      <w:pPr>
        <w:ind w:firstLine="1045"/>
        <w:spacing w:after="0" w:line="275" w:lineRule="auto"/>
        <w:tabs>
          <w:tab w:leader="none" w:pos="12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any Extended Term Loans may otherwise have an amortization schedule as determined by the Borrower and the Lenders providing such Extended Term Loans;</w:t>
      </w:r>
    </w:p>
    <w:p>
      <w:pPr>
        <w:spacing w:after="0" w:line="171" w:lineRule="exact"/>
        <w:rPr>
          <w:sz w:val="20"/>
          <w:szCs w:val="20"/>
          <w:color w:val="auto"/>
        </w:rPr>
      </w:pPr>
    </w:p>
    <w:p>
      <w:pPr>
        <w:jc w:val="both"/>
        <w:ind w:firstLine="1048"/>
        <w:spacing w:after="0" w:line="339" w:lineRule="auto"/>
        <w:rPr>
          <w:sz w:val="20"/>
          <w:szCs w:val="20"/>
          <w:color w:val="auto"/>
        </w:rPr>
      </w:pPr>
      <w:r>
        <w:rPr>
          <w:rFonts w:ascii="Arial" w:cs="Arial" w:eastAsia="Arial" w:hAnsi="Arial"/>
          <w:sz w:val="16"/>
          <w:szCs w:val="16"/>
          <w:color w:val="auto"/>
        </w:rPr>
        <w:t xml:space="preserve">(vi)any Extended Term Loans may participate (A) in any voluntary prepayments of Term Loans as set forth in </w:t>
      </w:r>
      <w:r>
        <w:rPr>
          <w:rFonts w:ascii="Arial" w:cs="Arial" w:eastAsia="Arial" w:hAnsi="Arial"/>
          <w:sz w:val="16"/>
          <w:szCs w:val="16"/>
          <w:u w:val="single" w:color="auto"/>
          <w:color w:val="auto"/>
        </w:rPr>
        <w:t>Section 2.11(a)(i)</w:t>
      </w:r>
      <w:r>
        <w:rPr>
          <w:rFonts w:ascii="Arial" w:cs="Arial" w:eastAsia="Arial" w:hAnsi="Arial"/>
          <w:sz w:val="16"/>
          <w:szCs w:val="16"/>
          <w:color w:val="auto"/>
        </w:rPr>
        <w:t xml:space="preserve"> and (B) in any mandatory prepayments of Term Loans as set forth in </w:t>
      </w:r>
      <w:r>
        <w:rPr>
          <w:rFonts w:ascii="Arial" w:cs="Arial" w:eastAsia="Arial" w:hAnsi="Arial"/>
          <w:sz w:val="16"/>
          <w:szCs w:val="16"/>
          <w:u w:val="single" w:color="auto"/>
          <w:color w:val="auto"/>
        </w:rPr>
        <w:t>Section 2.11(b)(vi)</w:t>
      </w:r>
      <w:r>
        <w:rPr>
          <w:rFonts w:ascii="Arial" w:cs="Arial" w:eastAsia="Arial" w:hAnsi="Arial"/>
          <w:sz w:val="16"/>
          <w:szCs w:val="16"/>
          <w:color w:val="auto"/>
        </w:rPr>
        <w:t>, in each case, to the extent provided in such Sections;</w:t>
      </w:r>
    </w:p>
    <w:p>
      <w:pPr>
        <w:spacing w:after="0" w:line="125" w:lineRule="exact"/>
        <w:rPr>
          <w:sz w:val="20"/>
          <w:szCs w:val="20"/>
          <w:color w:val="auto"/>
        </w:rPr>
      </w:pPr>
    </w:p>
    <w:p>
      <w:pPr>
        <w:jc w:val="both"/>
        <w:ind w:firstLine="1048"/>
        <w:spacing w:after="0" w:line="274" w:lineRule="auto"/>
        <w:rPr>
          <w:sz w:val="20"/>
          <w:szCs w:val="20"/>
          <w:color w:val="auto"/>
        </w:rPr>
      </w:pPr>
      <w:r>
        <w:rPr>
          <w:rFonts w:ascii="Arial" w:cs="Arial" w:eastAsia="Arial" w:hAnsi="Arial"/>
          <w:sz w:val="17"/>
          <w:szCs w:val="17"/>
          <w:color w:val="auto"/>
        </w:rPr>
        <w:t>(vii)if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(viii)unless the Administrative Agent otherwise agrees, any Extension must be in a minimum amount of $5,000,000;</w:t>
      </w: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(ix)any applicable Minimum Extension Condition must be satisfied or waived by the Borrower;</w:t>
      </w:r>
    </w:p>
    <w:p>
      <w:pPr>
        <w:spacing w:after="0" w:line="223" w:lineRule="exact"/>
        <w:rPr>
          <w:sz w:val="20"/>
          <w:szCs w:val="20"/>
          <w:color w:val="auto"/>
        </w:rPr>
      </w:pPr>
    </w:p>
    <w:p>
      <w:pPr>
        <w:ind w:left="4780" w:right="2760" w:hanging="3735"/>
        <w:spacing w:after="0" w:line="524" w:lineRule="auto"/>
        <w:tabs>
          <w:tab w:leader="none" w:pos="129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documentation in respect of any Extension shall be consistent with the foregoing; and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53975</wp:posOffset>
            </wp:positionV>
            <wp:extent cx="71583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57" w:name="page158"/>
    <w:bookmarkEnd w:id="157"/>
    <w:p>
      <w:pPr>
        <w:jc w:val="both"/>
        <w:ind w:left="760" w:firstLine="1048"/>
        <w:spacing w:after="0" w:line="300" w:lineRule="auto"/>
        <w:rPr>
          <w:sz w:val="20"/>
          <w:szCs w:val="20"/>
          <w:color w:val="auto"/>
        </w:rPr>
      </w:pPr>
      <w:r>
        <w:rPr>
          <w:rFonts w:ascii="Arial" w:cs="Arial" w:eastAsia="Arial" w:hAnsi="Arial"/>
          <w:sz w:val="16"/>
          <w:szCs w:val="16"/>
          <w:color w:val="auto"/>
        </w:rPr>
        <w:t>(xi)no Extension of any Revolving Facility shall be effective as to the obligations of the Swingline Lender to make any Swingline Loans or any Issuing Bank with respect to Letters of Credit without the consent of the Swingline Lender or such Issuing Bank (such consents not to be unreasonably withheld or delayed) (and, in the absence of such consent, all references herein to Latest Revolving Credit Maturity Date shall be determined, when used in reference to such Issuing Bank or Swingline Lender, as applicable, without giving effect to such Extension).</w:t>
      </w:r>
    </w:p>
    <w:p>
      <w:pPr>
        <w:spacing w:after="0" w:line="155" w:lineRule="exact"/>
        <w:rPr>
          <w:sz w:val="20"/>
          <w:szCs w:val="20"/>
          <w:color w:val="auto"/>
        </w:rPr>
      </w:pPr>
    </w:p>
    <w:p>
      <w:pPr>
        <w:jc w:val="both"/>
        <w:ind w:firstLine="756"/>
        <w:spacing w:after="0" w:line="268" w:lineRule="auto"/>
        <w:tabs>
          <w:tab w:leader="none" w:pos="10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(i) No Extension consummated in reliance on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shall constitute a voluntary or mandatory prepayment for purposes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(ii) the scheduled amortization payments (insofar as such schedule affects payments due to Lenders participating in the relevant Class) set forth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adjusted to give effect to any Extension of any Class of Loans and/or Commitments and (iii) except as set forth in </w:t>
      </w:r>
      <w:r>
        <w:rPr>
          <w:rFonts w:ascii="Arial" w:cs="Arial" w:eastAsia="Arial" w:hAnsi="Arial"/>
          <w:sz w:val="17"/>
          <w:szCs w:val="17"/>
          <w:u w:val="single" w:color="auto"/>
          <w:color w:val="auto"/>
        </w:rPr>
        <w:t>clause (a)(viii)</w:t>
      </w:r>
      <w:r>
        <w:rPr>
          <w:rFonts w:ascii="Arial" w:cs="Arial" w:eastAsia="Arial" w:hAnsi="Arial"/>
          <w:sz w:val="17"/>
          <w:szCs w:val="17"/>
          <w:color w:val="auto"/>
        </w:rPr>
        <w:t xml:space="preserve"> above, no Extension Offer is required to be in any minimum amount or any minimum increment;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at its election specify as a condition (a “</w:t>
      </w:r>
      <w:r>
        <w:rPr>
          <w:rFonts w:ascii="Arial" w:cs="Arial" w:eastAsia="Arial" w:hAnsi="Arial"/>
          <w:sz w:val="17"/>
          <w:szCs w:val="17"/>
          <w:u w:val="single" w:color="auto"/>
          <w:color w:val="auto"/>
        </w:rPr>
        <w:t>Minimum Extension Condition</w:t>
      </w:r>
      <w:r>
        <w:rPr>
          <w:rFonts w:ascii="Arial" w:cs="Arial" w:eastAsia="Arial" w:hAnsi="Arial"/>
          <w:sz w:val="17"/>
          <w:szCs w:val="17"/>
          <w:color w:val="auto"/>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Lenders hereby consent to the transactions contemplated by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or any other Loan Document that may otherwise prohibit any such Extension or any other transaction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756"/>
        <w:spacing w:after="0" w:line="269" w:lineRule="auto"/>
        <w:tabs>
          <w:tab w:leader="none" w:pos="10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Subject to any consents required under </w:t>
      </w:r>
      <w:r>
        <w:rPr>
          <w:rFonts w:ascii="Arial" w:cs="Arial" w:eastAsia="Arial" w:hAnsi="Arial"/>
          <w:sz w:val="17"/>
          <w:szCs w:val="17"/>
          <w:u w:val="single" w:color="auto"/>
          <w:color w:val="auto"/>
        </w:rPr>
        <w:t>Section 2.23(a)(xi)</w:t>
      </w:r>
      <w:r>
        <w:rPr>
          <w:rFonts w:ascii="Arial" w:cs="Arial" w:eastAsia="Arial" w:hAnsi="Arial"/>
          <w:sz w:val="17"/>
          <w:szCs w:val="17"/>
          <w:color w:val="auto"/>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all other applicable Secured Obligations under this Agreement and the other Loan Documents. The Lenders hereby irrevocably authorize the Administrative Agent to enter into any Extension Amendment and any amendments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756"/>
        <w:spacing w:after="0" w:line="300" w:lineRule="auto"/>
        <w:tabs>
          <w:tab w:leader="none" w:pos="101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3"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color w:val="auto"/>
        </w:rPr>
        <w:t xml:space="preserve">On the dates and to the extent required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hereof, as applicable, Holdings (solely with respect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3.13</w:t>
      </w:r>
      <w:r>
        <w:rPr>
          <w:rFonts w:ascii="Arial" w:cs="Arial" w:eastAsia="Arial" w:hAnsi="Arial"/>
          <w:sz w:val="18"/>
          <w:szCs w:val="18"/>
          <w:color w:val="auto"/>
        </w:rPr>
        <w:t xml:space="preserve">, </w:t>
      </w:r>
      <w:r>
        <w:rPr>
          <w:rFonts w:ascii="Arial" w:cs="Arial" w:eastAsia="Arial" w:hAnsi="Arial"/>
          <w:sz w:val="18"/>
          <w:szCs w:val="18"/>
          <w:u w:val="single" w:color="auto"/>
          <w:color w:val="auto"/>
        </w:rPr>
        <w:t>3.14</w:t>
      </w:r>
      <w:r>
        <w:rPr>
          <w:rFonts w:ascii="Arial" w:cs="Arial" w:eastAsia="Arial" w:hAnsi="Arial"/>
          <w:sz w:val="18"/>
          <w:szCs w:val="18"/>
          <w:color w:val="auto"/>
        </w:rPr>
        <w:t xml:space="preserve">, </w:t>
      </w:r>
      <w:r>
        <w:rPr>
          <w:rFonts w:ascii="Arial" w:cs="Arial" w:eastAsia="Arial" w:hAnsi="Arial"/>
          <w:sz w:val="18"/>
          <w:szCs w:val="18"/>
          <w:u w:val="single" w:color="auto"/>
          <w:color w:val="auto"/>
        </w:rPr>
        <w:t>3.16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3.17</w:t>
      </w:r>
      <w:r>
        <w:rPr>
          <w:rFonts w:ascii="Arial" w:cs="Arial" w:eastAsia="Arial" w:hAnsi="Arial"/>
          <w:sz w:val="18"/>
          <w:szCs w:val="18"/>
          <w:color w:val="auto"/>
        </w:rPr>
        <w:t>) and the Borrower hereby represents and warrants to the Lenders that:</w:t>
      </w:r>
    </w:p>
    <w:p>
      <w:pPr>
        <w:spacing w:after="0" w:line="17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u w:val="single" w:color="auto"/>
          <w:color w:val="auto"/>
        </w:rPr>
        <w:t>Section 3.01.Organization; Powers</w:t>
      </w:r>
      <w:r>
        <w:rPr>
          <w:rFonts w:ascii="Arial" w:cs="Arial" w:eastAsia="Arial" w:hAnsi="Arial"/>
          <w:sz w:val="18"/>
          <w:szCs w:val="18"/>
          <w:color w:val="auto"/>
        </w:rPr>
        <w:t xml:space="preserve">. Holdings, the Borrower and each of its Restricted Subsidiaries (a) is (i) duly organized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with respect to the Loan Parties) where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failure to do so, individually or in the aggregate, would not reasonably be expected to result in a Material Adverse Effect.</w:t>
      </w:r>
    </w:p>
    <w:p>
      <w:pPr>
        <w:spacing w:after="0" w:line="22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u w:val="single" w:color="auto"/>
          <w:color w:val="auto"/>
        </w:rPr>
        <w:t>Section 3.02.Authorization; Enforceability</w:t>
      </w:r>
      <w:r>
        <w:rPr>
          <w:rFonts w:ascii="Arial" w:cs="Arial" w:eastAsia="Arial" w:hAnsi="Arial"/>
          <w:sz w:val="17"/>
          <w:szCs w:val="17"/>
          <w:color w:val="auto"/>
        </w:rPr>
        <w:t>. The execution, delivery and performance of each Loan Document are within each applicable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7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u w:val="single" w:color="auto"/>
          <w:color w:val="auto"/>
        </w:rPr>
        <w:t>Section 3.03.Governmental Approvals; No Conflicts</w:t>
      </w:r>
      <w:r>
        <w:rPr>
          <w:rFonts w:ascii="Arial" w:cs="Arial" w:eastAsia="Arial" w:hAnsi="Arial"/>
          <w:sz w:val="17"/>
          <w:szCs w:val="17"/>
          <w:color w:val="auto"/>
        </w:rPr>
        <w:t xml:space="preserve">. The execution and delivery of each Loan Document by each Loan Party thereto and the performance by such Loan Party thereof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could not be reasonably expected to have a Material Adverse Effect, (b) will not violate any (i) of such Loan Party’s Organizational Documents or (ii) Requirement of Law applicable to such Loan Party which violation, in the case of this </w:t>
      </w:r>
      <w:r>
        <w:rPr>
          <w:rFonts w:ascii="Arial" w:cs="Arial" w:eastAsia="Arial" w:hAnsi="Arial"/>
          <w:sz w:val="17"/>
          <w:szCs w:val="17"/>
          <w:u w:val="single" w:color="auto"/>
          <w:color w:val="auto"/>
        </w:rPr>
        <w:t>clause (b)(ii)</w:t>
      </w:r>
      <w:r>
        <w:rPr>
          <w:rFonts w:ascii="Arial" w:cs="Arial" w:eastAsia="Arial" w:hAnsi="Arial"/>
          <w:sz w:val="17"/>
          <w:szCs w:val="17"/>
          <w:color w:val="auto"/>
        </w:rPr>
        <w:t xml:space="preserve">, could reasonably be expected to have a Material Adverse Effect and (c) will not violate or result in a default under any other material Contractual Obligation to which such Loan Party is a party which violation, in the case of this </w:t>
      </w:r>
      <w:r>
        <w:rPr>
          <w:rFonts w:ascii="Arial" w:cs="Arial" w:eastAsia="Arial" w:hAnsi="Arial"/>
          <w:sz w:val="17"/>
          <w:szCs w:val="17"/>
          <w:u w:val="single" w:color="auto"/>
          <w:color w:val="auto"/>
        </w:rPr>
        <w:t>clause (c)</w:t>
      </w:r>
      <w:r>
        <w:rPr>
          <w:rFonts w:ascii="Arial" w:cs="Arial" w:eastAsia="Arial" w:hAnsi="Arial"/>
          <w:sz w:val="17"/>
          <w:szCs w:val="17"/>
          <w:color w:val="auto"/>
        </w:rPr>
        <w:t>, could reasonably be expected to result in a Material Adverse Effect.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3.04.Financial Condition; No Material Adverse Effect</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5" w:lineRule="auto"/>
        <w:tabs>
          <w:tab w:leader="none" w:pos="10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financial statements (i) provided pursuant to </w:t>
      </w:r>
      <w:r>
        <w:rPr>
          <w:rFonts w:ascii="Arial" w:cs="Arial" w:eastAsia="Arial" w:hAnsi="Arial"/>
          <w:sz w:val="18"/>
          <w:szCs w:val="18"/>
          <w:u w:val="single" w:color="auto"/>
          <w:color w:val="auto"/>
        </w:rPr>
        <w:t>Section 4.01(c)</w:t>
      </w:r>
      <w:r>
        <w:rPr>
          <w:rFonts w:ascii="Arial" w:cs="Arial" w:eastAsia="Arial" w:hAnsi="Arial"/>
          <w:sz w:val="18"/>
          <w:szCs w:val="18"/>
          <w:color w:val="auto"/>
        </w:rPr>
        <w:t xml:space="preserve"> and (ii) after the Closing Date, most recently provided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 present fairly, in all material respects, the financial position and results of operations and cash flows of the Borrower on a consolidated basis as of such dates and for such periods in accordance with GAAP, (x) except as otherwise expressly noted therein, (y) subject, in the case of quarterly financial statements, to the absence of footnotes and normal year-end adjustments and (z) except as may be necessary to reflect any differing entities and organizational structure prior to giving effect to the Transactions.</w:t>
      </w:r>
    </w:p>
    <w:p>
      <w:pPr>
        <w:spacing w:after="0" w:line="190" w:lineRule="exact"/>
        <w:rPr>
          <w:rFonts w:ascii="Arial" w:cs="Arial" w:eastAsia="Arial" w:hAnsi="Arial"/>
          <w:sz w:val="18"/>
          <w:szCs w:val="18"/>
          <w:color w:val="auto"/>
        </w:rPr>
      </w:pPr>
    </w:p>
    <w:p>
      <w:pPr>
        <w:ind w:firstLine="756"/>
        <w:spacing w:after="0" w:line="275" w:lineRule="auto"/>
        <w:tabs>
          <w:tab w:leader="none" w:pos="10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Since the Closing Date, there have been no events, developments or circumstances that have had, or could reasonably be expected to have, individually or in the aggregate, a Material Adverse Effect.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3.05.Properties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5" w:lineRule="auto"/>
        <w:tabs>
          <w:tab w:leader="none" w:pos="101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 and each of its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except (i) for defects in title that do not materially interfere with their ability to conduct their business as currently conducted or to utilize such properties and assets for their intended purposes or (ii) where the failure to have such title would not reasonably be expected to have a Material Adverse Effect.</w:t>
      </w:r>
    </w:p>
    <w:p>
      <w:pPr>
        <w:spacing w:after="0" w:line="190" w:lineRule="exact"/>
        <w:rPr>
          <w:rFonts w:ascii="Arial" w:cs="Arial" w:eastAsia="Arial" w:hAnsi="Arial"/>
          <w:sz w:val="18"/>
          <w:szCs w:val="18"/>
          <w:color w:val="auto"/>
        </w:rPr>
      </w:pPr>
    </w:p>
    <w:p>
      <w:pPr>
        <w:jc w:val="both"/>
        <w:ind w:firstLine="756"/>
        <w:spacing w:after="0" w:line="255" w:lineRule="auto"/>
        <w:tabs>
          <w:tab w:leader="none" w:pos="101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 and its Restricted Subsidiaries own or otherwise have a license or right to use all Intellectual Property rights (“</w:t>
      </w:r>
      <w:r>
        <w:rPr>
          <w:rFonts w:ascii="Arial" w:cs="Arial" w:eastAsia="Arial" w:hAnsi="Arial"/>
          <w:sz w:val="18"/>
          <w:szCs w:val="18"/>
          <w:u w:val="single" w:color="auto"/>
          <w:color w:val="auto"/>
        </w:rPr>
        <w:t>IP Rights</w:t>
      </w:r>
      <w:r>
        <w:rPr>
          <w:rFonts w:ascii="Arial" w:cs="Arial" w:eastAsia="Arial" w:hAnsi="Arial"/>
          <w:sz w:val="18"/>
          <w:szCs w:val="18"/>
          <w:color w:val="auto"/>
        </w:rPr>
        <w:t>”) used or held for use to conduct their respective businesses as presently conducted without, to the knowledge of the Borrower, any infringement, dilution, violation or misappropriation of the IP Rights of third parties, except to the extent the failure to own or license or have rights to use would not, or where such infringement, dilution, violation or misappropriation would not reasonably be expected to have, individually or in the aggregate, a Material Adverse Effect.</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3.06.Litigation and Environmental Matters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2" w:lineRule="auto"/>
        <w:tabs>
          <w:tab w:leader="none" w:pos="10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59" w:name="page160"/>
    <w:bookmarkEnd w:id="159"/>
    <w:p>
      <w:pPr>
        <w:jc w:val="both"/>
        <w:ind w:firstLine="756"/>
        <w:spacing w:after="0" w:line="255" w:lineRule="auto"/>
        <w:tabs>
          <w:tab w:leader="none" w:pos="10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for any matters that, individually or in the aggregate, would not reasonably be expected to result in a Material Adverse Effect, (i) neither the Borrower nor any of its Restricted Subsidiaries is subject to or has received notice of any Environmental Claim or Environmental Liability or knows of any basis for any Environmental Liability or Environmental Claim of the Borrower or any of its Restricted Subsidiaries and (ii) neither the Borrower nor any of its Restricted Subsidiaries has failed to comply with any Environmental Law or to obtain, maintain or comply with any Governmental Authorization, permit, license or other approval required under any Environmental Law.</w:t>
      </w:r>
    </w:p>
    <w:p>
      <w:pPr>
        <w:spacing w:after="0" w:line="190" w:lineRule="exact"/>
        <w:rPr>
          <w:rFonts w:ascii="Arial" w:cs="Arial" w:eastAsia="Arial" w:hAnsi="Arial"/>
          <w:sz w:val="18"/>
          <w:szCs w:val="18"/>
          <w:color w:val="auto"/>
        </w:rPr>
      </w:pPr>
    </w:p>
    <w:p>
      <w:pPr>
        <w:jc w:val="both"/>
        <w:ind w:firstLine="756"/>
        <w:spacing w:after="0" w:line="262" w:lineRule="auto"/>
        <w:tabs>
          <w:tab w:leader="none" w:pos="10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Neither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spacing w:after="0" w:line="18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u w:val="single" w:color="auto"/>
          <w:color w:val="auto"/>
        </w:rPr>
        <w:t>Section 3.07.Compliance with Laws</w:t>
      </w:r>
      <w:r>
        <w:rPr>
          <w:rFonts w:ascii="Arial" w:cs="Arial" w:eastAsia="Arial" w:hAnsi="Arial"/>
          <w:sz w:val="18"/>
          <w:szCs w:val="18"/>
          <w:color w:val="auto"/>
        </w:rPr>
        <w:t xml:space="preserve">. Each of Holdings,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shall not apply to the Requirements of Law covered by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below.</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3.08.Investment Company Status</w:t>
      </w:r>
      <w:r>
        <w:rPr>
          <w:rFonts w:ascii="Arial" w:cs="Arial" w:eastAsia="Arial" w:hAnsi="Arial"/>
          <w:sz w:val="18"/>
          <w:szCs w:val="18"/>
          <w:color w:val="auto"/>
        </w:rPr>
        <w:t>. No Loan Party is an “investment company” under the Investment Company Act of 1940.</w:t>
      </w:r>
    </w:p>
    <w:p>
      <w:pPr>
        <w:spacing w:after="0" w:line="22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u w:val="single" w:color="auto"/>
          <w:color w:val="auto"/>
        </w:rPr>
        <w:t>Section 3.09.Taxes</w:t>
      </w:r>
      <w:r>
        <w:rPr>
          <w:rFonts w:ascii="Arial" w:cs="Arial" w:eastAsia="Arial" w:hAnsi="Arial"/>
          <w:sz w:val="18"/>
          <w:szCs w:val="18"/>
          <w:color w:val="auto"/>
        </w:rPr>
        <w:t>. Each of Holdings, the Borrower and each of its Restricted Subsidiaries has timely filed or caused to be filed all Tax returns and reports required to have been filed and has paid or caused to be paid all Taxes required to have been paid by it that are due and payable (including in its capacity as a withholding agent), except (a) Taxes (or any requirement to file Tax returns with respect thereto) that are being contested in good faith by appropriate proceedings and for which the Borrower or such Restricted Subsidiary, as applicable, has set aside on its books adequate reserves in accordance with GAAP or (b) to the extent that the failure to do so, individually or in the aggregate, would not reasonably be expected to result in a Material Adverse Effect.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3.10.ERISA</w:t>
      </w:r>
      <w:r>
        <w:rPr>
          <w:rFonts w:ascii="Arial" w:cs="Arial" w:eastAsia="Arial" w:hAnsi="Arial"/>
          <w:sz w:val="18"/>
          <w:szCs w:val="18"/>
          <w:color w:val="auto"/>
        </w:rPr>
        <w:t>.</w:t>
      </w:r>
    </w:p>
    <w:p>
      <w:pPr>
        <w:spacing w:after="0" w:line="223" w:lineRule="exact"/>
        <w:rPr>
          <w:sz w:val="20"/>
          <w:szCs w:val="20"/>
          <w:color w:val="auto"/>
        </w:rPr>
      </w:pPr>
    </w:p>
    <w:p>
      <w:pPr>
        <w:ind w:firstLine="756"/>
        <w:spacing w:after="0" w:line="275" w:lineRule="auto"/>
        <w:tabs>
          <w:tab w:leader="none" w:pos="101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Plan is in compliance in form and operation with its terms and with ERISA and the Code and all other applicable Requirements of Law, except where any failure to comply would not reasonably be expected to result in a Material Adverse Effect.</w:t>
      </w:r>
    </w:p>
    <w:p>
      <w:pPr>
        <w:spacing w:after="0" w:line="170" w:lineRule="exact"/>
        <w:rPr>
          <w:rFonts w:ascii="Arial" w:cs="Arial" w:eastAsia="Arial" w:hAnsi="Arial"/>
          <w:sz w:val="18"/>
          <w:szCs w:val="18"/>
          <w:color w:val="auto"/>
        </w:rPr>
      </w:pPr>
    </w:p>
    <w:p>
      <w:pPr>
        <w:jc w:val="both"/>
        <w:ind w:firstLine="756"/>
        <w:spacing w:after="0" w:line="262" w:lineRule="auto"/>
        <w:tabs>
          <w:tab w:leader="none" w:pos="101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3.11.Disclosure</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3" w:lineRule="auto"/>
        <w:tabs>
          <w:tab w:leader="none" w:pos="101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of the Closing Date, all written information (other than the Projections, financial estimates, other forward-looking information and/or projected information and information of a general economic or industry-specific nature) concerning Holdings, the Borrower and its subsidiaries that was included in the Information Memorandum or otherwise prepared by or on behalf of Holdings, the Borrower or its subsidiaries or their respective representatives and made available to any Initial Lender or the Administrative Agent in connection with the Transactions on or before the Closing Date (the “</w:t>
      </w:r>
      <w:r>
        <w:rPr>
          <w:rFonts w:ascii="Arial" w:cs="Arial" w:eastAsia="Arial" w:hAnsi="Arial"/>
          <w:sz w:val="18"/>
          <w:szCs w:val="18"/>
          <w:u w:val="single" w:color="auto"/>
          <w:color w:val="auto"/>
        </w:rPr>
        <w:t>Information</w:t>
      </w:r>
      <w:r>
        <w:rPr>
          <w:rFonts w:ascii="Arial" w:cs="Arial" w:eastAsia="Arial" w:hAnsi="Arial"/>
          <w:sz w:val="18"/>
          <w:szCs w:val="18"/>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92" w:lineRule="exact"/>
        <w:rPr>
          <w:rFonts w:ascii="Arial" w:cs="Arial" w:eastAsia="Arial" w:hAnsi="Arial"/>
          <w:sz w:val="18"/>
          <w:szCs w:val="18"/>
          <w:color w:val="auto"/>
        </w:rPr>
      </w:pPr>
    </w:p>
    <w:p>
      <w:pPr>
        <w:jc w:val="both"/>
        <w:ind w:firstLine="756"/>
        <w:spacing w:after="0" w:line="262" w:lineRule="auto"/>
        <w:tabs>
          <w:tab w:leader="none" w:pos="101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0" w:name="page161"/>
    <w:bookmarkEnd w:id="160"/>
    <w:p>
      <w:pPr>
        <w:jc w:val="both"/>
        <w:spacing w:after="0" w:line="275" w:lineRule="auto"/>
        <w:rPr>
          <w:sz w:val="20"/>
          <w:szCs w:val="20"/>
          <w:color w:val="auto"/>
        </w:rPr>
      </w:pPr>
      <w:r>
        <w:rPr>
          <w:rFonts w:ascii="Arial" w:cs="Arial" w:eastAsia="Arial" w:hAnsi="Arial"/>
          <w:sz w:val="18"/>
          <w:szCs w:val="18"/>
          <w:color w:val="auto"/>
        </w:rPr>
        <w:t>assurance can be given that any particular financial projections will be realized, that actual results may differ from projected results and that such differences may be material).</w:t>
      </w:r>
    </w:p>
    <w:p>
      <w:pPr>
        <w:spacing w:after="0" w:line="17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u w:val="single" w:color="auto"/>
          <w:color w:val="auto"/>
        </w:rPr>
        <w:t>Section 3.12.Solvency</w:t>
      </w:r>
      <w:r>
        <w:rPr>
          <w:rFonts w:ascii="Arial" w:cs="Arial" w:eastAsia="Arial" w:hAnsi="Arial"/>
          <w:sz w:val="17"/>
          <w:szCs w:val="17"/>
          <w:color w:val="auto"/>
        </w:rPr>
        <w:t>. As of the Closing Date and after giving effect to the Transactions and the incurrence of the Indebtedness and obligations being incurred in connection with this Agreement and the Transactions, (i) the sum of the debt (including contingent liabilities) of the Borrower and its Subsidiaries, taken as a whole, does not exceed the fair value of the assets of the Borrower and its Subsidiaries, taken as a whole, (ii) the present fair saleable value of the assets (on a going concern basis) of the Borrower and its Subsidiaries, taken as a whole, is not less than the amount that will be required to pay the probable liabilities of the Borrower and its Subsidiaries, taken as a whole, on their debts as they become absolute and matured in accordance with their terms; (iii) the capital of the Borrower and its Subsidiaries, taken as a whole, is not unreasonably small in relation to the business of the Borrower and its Subsidiaries, taken as a whole, contemplated as of the Closing Date; and (iv) the Borrower and its Subsidiaries, taken as a whole, do not intend to incur, or believe that they will incur, debts (including current obligations and contingent liabilities) beyond their ability to pay such debt as they mature in accordance with their terms.</w:t>
      </w:r>
    </w:p>
    <w:p>
      <w:pPr>
        <w:spacing w:after="0" w:line="17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auto"/>
        </w:rPr>
        <w:t>Section 3.13.Subsidiaries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sets forth, in each case as of the Closing Date, (a) a correct and complete list of the name of each subsidiary of Holdings and the ownership interest therein held by Holdings or its applicable Subsidiary, and (b) the type of entity of Holdings and each of its Subsidiaries.</w:t>
      </w:r>
    </w:p>
    <w:p>
      <w:pPr>
        <w:spacing w:after="0" w:line="182"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6"/>
          <w:szCs w:val="16"/>
          <w:u w:val="single" w:color="auto"/>
          <w:color w:val="auto"/>
        </w:rPr>
        <w:t>Section 3.14.Security Interest in Collateral</w:t>
      </w:r>
      <w:r>
        <w:rPr>
          <w:rFonts w:ascii="Arial" w:cs="Arial" w:eastAsia="Arial" w:hAnsi="Arial"/>
          <w:sz w:val="16"/>
          <w:szCs w:val="16"/>
          <w:color w:val="auto"/>
        </w:rPr>
        <w:t>. Subject to any limitations and exceptions set forth in any Loan Documents, the Legal Reservations, the Perfection Requirements and the provisions of this Agreement and the other relevant Loan Documents, the Collateral Documents create legal, valid and enforceable Liens on all of the Collateral in favor of the Administrative Agent, for the benefit of itself and the other Secured Parties, and upon the satisfaction of the applicable Perfection Requirements, such Liens constitute perfected Liens (with the priority that such Liens are expressed to have under the relevant Collateral Documents, unless otherwise permitted hereunder or under any Collateral Document) on the Collateral (to the extent such Liens are required to be perfected under the terms of the Loan Documents) securing the Secured Obligations, in each case as and to the extent set forth therein.</w:t>
      </w:r>
    </w:p>
    <w:p>
      <w:pPr>
        <w:spacing w:after="0" w:line="162"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 xml:space="preserve">For the avoidance of doubt, notwithstanding anything herein or in any other Loan Document to the contrary, neither the Borrower nor any other Loan Party makes any representation or warranty as to (A) the effects of perfection or non-perfection, the priority or the enforceability of any pledge of or security interest in any Capital Stock of any Foreign Subsidiary (other than Capital Stock and assets of Foreign Subsidiaries that are Guarantors), or as to the rights and remedies of the Administrative Agent or any Lender with respect thereto, under foreign Requirements of Law not required to be obtained under the Loan Documents, (B) the enforcement of any security interest, or rights or remedies with respect to any Collateral that may be limited or restricted by, or require any consents, authorizations approvals or licenses under, any Requirement of Law or (C) on the Closing Date and until required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5.12</w:t>
      </w:r>
      <w:r>
        <w:rPr>
          <w:rFonts w:ascii="Arial" w:cs="Arial" w:eastAsia="Arial" w:hAnsi="Arial"/>
          <w:sz w:val="16"/>
          <w:szCs w:val="16"/>
          <w:color w:val="auto"/>
        </w:rPr>
        <w:t xml:space="preserve"> or 5.15, the pledge or creation of any security interest, or the effects of perfection or non-perfection, the priority or enforceability of any pledge or security interest to the extent not required on the Closing Date pursuant to the </w:t>
      </w:r>
      <w:r>
        <w:rPr>
          <w:rFonts w:ascii="Arial" w:cs="Arial" w:eastAsia="Arial" w:hAnsi="Arial"/>
          <w:sz w:val="16"/>
          <w:szCs w:val="16"/>
          <w:u w:val="single" w:color="auto"/>
          <w:color w:val="auto"/>
        </w:rPr>
        <w:t>Section 5.12 or 5.15</w:t>
      </w:r>
      <w:r>
        <w:rPr>
          <w:rFonts w:ascii="Arial" w:cs="Arial" w:eastAsia="Arial" w:hAnsi="Arial"/>
          <w:sz w:val="16"/>
          <w:szCs w:val="16"/>
          <w:color w:val="auto"/>
        </w:rPr>
        <w:t>.</w:t>
      </w:r>
    </w:p>
    <w:p>
      <w:pPr>
        <w:spacing w:after="0" w:line="169"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u w:val="single" w:color="auto"/>
          <w:color w:val="auto"/>
        </w:rPr>
        <w:t>Section 3.15.Labor Disputes</w:t>
      </w:r>
      <w:r>
        <w:rPr>
          <w:rFonts w:ascii="Arial" w:cs="Arial" w:eastAsia="Arial" w:hAnsi="Arial"/>
          <w:sz w:val="16"/>
          <w:szCs w:val="16"/>
          <w:color w:val="auto"/>
        </w:rPr>
        <w:t>. Except as individually or in the aggregate would not reasonably be expected to have a Material Adverse Effect, (a) there are no strikes, lockouts or slowdowns against the Borrower or any of its Restricted Subsidiaries pending or, to the knowledge of the Borrower or any of its Restricted Subsidiaries, threatened and (b) the hours worked by and payments made to employees of the Borrower and its Restricted Subsidiaries have not been in violation of the Fair Labor Standards Act or any other applicable Requirements of Law dealing with such matters.</w:t>
      </w:r>
    </w:p>
    <w:p>
      <w:pPr>
        <w:spacing w:after="0" w:line="155"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7"/>
          <w:szCs w:val="17"/>
          <w:u w:val="single" w:color="auto"/>
          <w:color w:val="auto"/>
        </w:rPr>
        <w:t>Section 3.16.Federal Reserve Regulations</w:t>
      </w:r>
      <w:r>
        <w:rPr>
          <w:rFonts w:ascii="Arial" w:cs="Arial" w:eastAsia="Arial" w:hAnsi="Arial"/>
          <w:sz w:val="17"/>
          <w:szCs w:val="17"/>
          <w:color w:val="auto"/>
        </w:rPr>
        <w:t>. No part of the proceeds of any Loan or any Letter of Credit have been used, whether directly or indirectly, and whether immediately, incidentally or ultimately, for any purpose that results in a violation of the provisions of Regulation U.</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3.17.OFAC; PATRIOT ACT and FCPA</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2" w:lineRule="auto"/>
        <w:tabs>
          <w:tab w:leader="none" w:pos="101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None of Holdings, the Borrower nor any of its Restricted Subsidiaries nor, to the knowledge of the Borrower, any director, officer or employee of any of the foregoing is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(ii) the Borrower will not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1" w:name="page162"/>
    <w:bookmarkEnd w:id="161"/>
    <w:p>
      <w:pPr>
        <w:jc w:val="both"/>
        <w:spacing w:after="0" w:line="262" w:lineRule="auto"/>
        <w:rPr>
          <w:sz w:val="20"/>
          <w:szCs w:val="20"/>
          <w:color w:val="auto"/>
        </w:rPr>
      </w:pPr>
      <w:r>
        <w:rPr>
          <w:rFonts w:ascii="Arial" w:cs="Arial" w:eastAsia="Arial" w:hAnsi="Arial"/>
          <w:sz w:val="18"/>
          <w:szCs w:val="18"/>
          <w:color w:val="auto"/>
        </w:rPr>
        <w:t>directly or, to its knowledge, indirectly, use the proceeds of the Loans or Letters of Credit or otherwise make available such proceeds to any Person for the purpose of financing the activities of any Person or in any country subject to any U.S. sanctions administered by OFAC, except to the extent licensed or otherwise approved by OFAC or in compliance with applicable exemptions licenses or other approvals.</w:t>
      </w:r>
    </w:p>
    <w:p>
      <w:pPr>
        <w:spacing w:after="0" w:line="182" w:lineRule="exact"/>
        <w:rPr>
          <w:sz w:val="20"/>
          <w:szCs w:val="20"/>
          <w:color w:val="auto"/>
        </w:rPr>
      </w:pPr>
    </w:p>
    <w:p>
      <w:pPr>
        <w:ind w:left="1020" w:hanging="264"/>
        <w:spacing w:after="0"/>
        <w:tabs>
          <w:tab w:leader="none" w:pos="1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the extent applicable, each Loan Party is in compliance, in all material respects, with the USA PATRIOT Act.</w:t>
      </w:r>
    </w:p>
    <w:p>
      <w:pPr>
        <w:spacing w:after="0" w:line="222" w:lineRule="exact"/>
        <w:rPr>
          <w:rFonts w:ascii="Arial" w:cs="Arial" w:eastAsia="Arial" w:hAnsi="Arial"/>
          <w:sz w:val="18"/>
          <w:szCs w:val="18"/>
          <w:color w:val="auto"/>
        </w:rPr>
      </w:pPr>
    </w:p>
    <w:p>
      <w:pPr>
        <w:jc w:val="both"/>
        <w:ind w:firstLine="756"/>
        <w:spacing w:after="0" w:line="268" w:lineRule="auto"/>
        <w:tabs>
          <w:tab w:leader="none" w:pos="101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Neither the Borrower nor any of its Restricted Subsidiaries nor, to the knowledge of the Borrower, any director, officer, agent (solely to the extent acting in their capacity as agents for Holdings or any of its Subsidiaries) or employee of the Borrower or any Restricted Subsidiary, has taken any action, directly or indirectly, that would result in a material violation by any such Person of the U.S. Foreign Corrupt Practices Act of 1977, as amended (the “</w:t>
      </w:r>
      <w:r>
        <w:rPr>
          <w:rFonts w:ascii="Arial" w:cs="Arial" w:eastAsia="Arial" w:hAnsi="Arial"/>
          <w:sz w:val="17"/>
          <w:szCs w:val="17"/>
          <w:u w:val="single" w:color="auto"/>
          <w:color w:val="auto"/>
        </w:rPr>
        <w:t>FCPA</w:t>
      </w:r>
      <w:r>
        <w:rPr>
          <w:rFonts w:ascii="Arial" w:cs="Arial" w:eastAsia="Arial" w:hAnsi="Arial"/>
          <w:sz w:val="17"/>
          <w:szCs w:val="17"/>
          <w:color w:val="auto"/>
        </w:rPr>
        <w:t>”),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any applicable anti-corruption Requirement of Law of any Governmental Authority. The Borrower will not directly or, to its knowledge, indirectly, use the proceeds of the Loans or Letters of Credit or otherwise make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w:t>
      </w:r>
    </w:p>
    <w:p>
      <w:pPr>
        <w:spacing w:after="0" w:line="182"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 xml:space="preserve">The representations and warranties set forth in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above made by or on behalf of any Foreign Subsidiary are subject to and limited by any Requirement of Law applicable to such Foreign Subsidiary; it being understood and agreed that to the extent that any Foreign Subsidiary is unable to make any representation or warranty set forth in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as a result of the application of this sentence, such Foreign Subsidiary shall be deemed to have represented and warranted that it is in compliance, in all material respects, with any equivalent Requirement of Law relating to anti-terrorism, anti-corruption, sanctions or anti-money laundering that is applicable to such Foreign Subsidiary in its relevant local jurisdiction of organization.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4.01.Closing Date</w:t>
      </w:r>
      <w:r>
        <w:rPr>
          <w:rFonts w:ascii="Arial" w:cs="Arial" w:eastAsia="Arial" w:hAnsi="Arial"/>
          <w:sz w:val="18"/>
          <w:szCs w:val="18"/>
          <w:color w:val="auto"/>
        </w:rPr>
        <w:t xml:space="preserve">. The obligations of (i) each Lender to make Loans and (ii) any Issuing Bank to issue Letters of Credit shall not become effective until the date on which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1" w:lineRule="exact"/>
        <w:rPr>
          <w:sz w:val="20"/>
          <w:szCs w:val="20"/>
          <w:color w:val="auto"/>
        </w:rPr>
      </w:pPr>
    </w:p>
    <w:p>
      <w:pPr>
        <w:jc w:val="both"/>
        <w:ind w:left="760" w:firstLine="745"/>
        <w:spacing w:after="0" w:line="286" w:lineRule="auto"/>
        <w:tabs>
          <w:tab w:leader="none" w:pos="1848"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Credit Agreement and Loan Documents</w:t>
      </w:r>
      <w:r>
        <w:rPr>
          <w:rFonts w:ascii="Arial" w:cs="Arial" w:eastAsia="Arial" w:hAnsi="Arial"/>
          <w:sz w:val="16"/>
          <w:szCs w:val="16"/>
          <w:color w:val="auto"/>
        </w:rPr>
        <w:t>. The Administrative Agent (or its counsel) shall have received from Holdings and each Loan Party, to the extent party thereto, (i) a counterpart signed by Holdings or such Loan Party (or written evidence reasonably satisfactory to the Administrative Agent (which may include a copy transmitted by facsimile or other electronic method) that such party has signed a counterpart) of</w:t>
      </w:r>
    </w:p>
    <w:p>
      <w:pPr>
        <w:spacing w:after="0" w:line="1" w:lineRule="exact"/>
        <w:rPr>
          <w:rFonts w:ascii="Arial" w:cs="Arial" w:eastAsia="Arial" w:hAnsi="Arial"/>
          <w:sz w:val="16"/>
          <w:szCs w:val="16"/>
          <w:color w:val="auto"/>
        </w:rPr>
      </w:pPr>
    </w:p>
    <w:p>
      <w:pPr>
        <w:jc w:val="both"/>
        <w:ind w:left="760" w:hanging="4"/>
        <w:spacing w:after="0" w:line="253" w:lineRule="auto"/>
        <w:tabs>
          <w:tab w:leader="none" w:pos="10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this Agreement, (B) the Security Agreement, (C) any Intellectual Property Security Agreement, (D) the Loan Guaranty, and (E) each Promissory Note requested by a Lender at least three Business Days prior to the Closing Date and (ii) a Borrowing Request as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760" w:firstLine="745"/>
        <w:spacing w:after="0" w:line="310" w:lineRule="auto"/>
        <w:tabs>
          <w:tab w:leader="none" w:pos="1846"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(or its counsel) shall have received, on behalf of itself, the Lenders and each Issuing Bank on the Closing Date, a customary written opinion of Kirkland &amp; Ellis LLP, in its capacity as special counsel for the Loan Parties, dated the Closing Date and addressed to the Administrative Agent, the Lenders, the Swingline Lender and each Issuing Bank on the Closing Date.</w:t>
      </w:r>
    </w:p>
    <w:p>
      <w:pPr>
        <w:spacing w:after="0" w:line="147" w:lineRule="exact"/>
        <w:rPr>
          <w:rFonts w:ascii="Arial" w:cs="Arial" w:eastAsia="Arial" w:hAnsi="Arial"/>
          <w:sz w:val="16"/>
          <w:szCs w:val="16"/>
          <w:color w:val="auto"/>
        </w:rPr>
      </w:pPr>
    </w:p>
    <w:p>
      <w:pPr>
        <w:jc w:val="both"/>
        <w:ind w:left="760" w:firstLine="745"/>
        <w:spacing w:after="0" w:line="310" w:lineRule="auto"/>
        <w:tabs>
          <w:tab w:leader="none" w:pos="1876"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Administrative Agent shall have received the (x) audited consolidated balance sheet and related consolidated statements of income, shareholders’ equity and cash flows of the Borrower and its subsidiaries for the Fiscal Year ended December 31, 2020 and (y) the unaudited consolidated balance sheets and related consolidated statements of income and cash flows of the Borrower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2" w:name="page163"/>
    <w:bookmarkEnd w:id="162"/>
    <w:p>
      <w:pPr>
        <w:spacing w:after="0" w:line="275" w:lineRule="auto"/>
        <w:rPr>
          <w:sz w:val="20"/>
          <w:szCs w:val="20"/>
          <w:color w:val="auto"/>
        </w:rPr>
      </w:pPr>
      <w:r>
        <w:rPr>
          <w:rFonts w:ascii="Arial" w:cs="Arial" w:eastAsia="Arial" w:hAnsi="Arial"/>
          <w:sz w:val="18"/>
          <w:szCs w:val="18"/>
          <w:color w:val="auto"/>
        </w:rPr>
        <w:t>and its subsidiaries as of and for the Fiscal Quarter ended March 31, 2021; provided that the Administrative Agent acknowledges that it has received the financial statements required by this clause (c).</w:t>
      </w:r>
    </w:p>
    <w:p>
      <w:pPr>
        <w:spacing w:after="0" w:line="171" w:lineRule="exact"/>
        <w:rPr>
          <w:sz w:val="20"/>
          <w:szCs w:val="20"/>
          <w:color w:val="auto"/>
        </w:rPr>
      </w:pPr>
    </w:p>
    <w:p>
      <w:pPr>
        <w:jc w:val="both"/>
        <w:ind w:firstLine="745"/>
        <w:spacing w:after="0" w:line="285" w:lineRule="auto"/>
        <w:tabs>
          <w:tab w:leader="none" w:pos="1111"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Secretary’s Certificate and Good Standing Certificates</w:t>
      </w:r>
      <w:r>
        <w:rPr>
          <w:rFonts w:ascii="Arial" w:cs="Arial" w:eastAsia="Arial" w:hAnsi="Arial"/>
          <w:sz w:val="16"/>
          <w:szCs w:val="16"/>
          <w:color w:val="auto"/>
        </w:rPr>
        <w:t>. The Administrative Agent (or its counsel) shall have received (i) a certificate of Holdings and each applicable Loan Party, dated the Closing Date and executed by a secretary, assistant secretary or other Responsible Officer thereof, which shall (A) certify that (x) attached thereto is a true and complete copy of the certificate or articles of incorporation, formation or organization of Holdings or such Loan Party, as applicable, certified by the relevant authority of its jurisdiction of organization, which certificate or articles of incorporation, formation or organization of Holdings or such Loan Party, as applicable, have not been amended (except as attached thereto) since the date reflected thereon, (y) attached thereto is a true and correct copy of the by-laws or operating, management, partnership or similar agreement of Holdings or such Loan Party, as applicable, together with all amendments thereto as of the Closing Date and such by-laws or operating, management, partnership or similar agreement are in full force and effect and (z) attached thereto is a true and complete copy of the resolutions or written consent, as applicable, of its board of directors, board of managers, sole member or other applicable governing body authorizing the execution and delivery of the Loan Documents, which resolutions or consent have not been modified, rescinded or amended (other than as attached thereto) and are in full force and effect, and (B) identify by name and title and bear the signatures of the officers, managers, directors or authorized signatories of Holdings or such Loan Party, as applicable, authorized to sign the Loan Documents to which Holdings or such Loan Party, as applicable, is a party and (ii) a good standing (or equivalent) certificate for Holdings or such Loan Party, as applicable, from the relevant authority of its jurisdiction of organization, dated as of a recent date.</w:t>
      </w:r>
    </w:p>
    <w:p>
      <w:pPr>
        <w:spacing w:after="0" w:line="166" w:lineRule="exact"/>
        <w:rPr>
          <w:rFonts w:ascii="Arial" w:cs="Arial" w:eastAsia="Arial" w:hAnsi="Arial"/>
          <w:sz w:val="16"/>
          <w:szCs w:val="16"/>
          <w:color w:val="auto"/>
        </w:rPr>
      </w:pPr>
    </w:p>
    <w:p>
      <w:pPr>
        <w:jc w:val="both"/>
        <w:ind w:firstLine="745"/>
        <w:spacing w:after="0" w:line="295" w:lineRule="auto"/>
        <w:tabs>
          <w:tab w:leader="none" w:pos="1105"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Holdings and the other Loan Parties set forth in this Agreement and the other Loan Documents shall be true and correct in all material respects on and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any representation and warranty specifically refers to a given date or period, it shall be true and correct in all material respects as of such date or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59" w:lineRule="exact"/>
        <w:rPr>
          <w:rFonts w:ascii="Arial" w:cs="Arial" w:eastAsia="Arial" w:hAnsi="Arial"/>
          <w:sz w:val="16"/>
          <w:szCs w:val="16"/>
          <w:color w:val="auto"/>
        </w:rPr>
      </w:pPr>
    </w:p>
    <w:p>
      <w:pPr>
        <w:jc w:val="both"/>
        <w:ind w:firstLine="745"/>
        <w:spacing w:after="0" w:line="255" w:lineRule="auto"/>
        <w:tabs>
          <w:tab w:leader="none" w:pos="108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Prior to or substantially concurrently with the funding of the Initial Term Loans hereunder, the Administrative Agent shall have received (i) all fees required to be paid by the Borrower on the Closing Date pursuant to the Fee Letter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w:t>
      </w:r>
    </w:p>
    <w:p>
      <w:pPr>
        <w:spacing w:after="0" w:line="190" w:lineRule="exact"/>
        <w:rPr>
          <w:rFonts w:ascii="Arial" w:cs="Arial" w:eastAsia="Arial" w:hAnsi="Arial"/>
          <w:sz w:val="18"/>
          <w:szCs w:val="18"/>
          <w:color w:val="auto"/>
        </w:rPr>
      </w:pPr>
    </w:p>
    <w:p>
      <w:pPr>
        <w:ind w:left="1080" w:hanging="335"/>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firstLine="745"/>
        <w:spacing w:after="0" w:line="258" w:lineRule="auto"/>
        <w:tabs>
          <w:tab w:leader="none" w:pos="109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Closing Date Refinancing</w:t>
      </w:r>
      <w:r>
        <w:rPr>
          <w:rFonts w:ascii="Arial" w:cs="Arial" w:eastAsia="Arial" w:hAnsi="Arial"/>
          <w:sz w:val="18"/>
          <w:szCs w:val="18"/>
          <w:color w:val="auto"/>
        </w:rPr>
        <w:t>. Substantially concurrently with the initial funding of the Loans hereunder, including by use of the proceeds thereof, the Closing Date Refinancing shall be consummated (and the Administrative Agent shall have received customary payoff letters, customary redemption and satisfaction and discharge documentation, as applicable and/or other reasonable forms of confirmation thereof, as applicable).</w:t>
      </w:r>
    </w:p>
    <w:p>
      <w:pPr>
        <w:spacing w:after="0" w:line="184" w:lineRule="exact"/>
        <w:rPr>
          <w:rFonts w:ascii="Arial" w:cs="Arial" w:eastAsia="Arial" w:hAnsi="Arial"/>
          <w:sz w:val="18"/>
          <w:szCs w:val="18"/>
          <w:color w:val="auto"/>
        </w:rPr>
      </w:pPr>
    </w:p>
    <w:p>
      <w:pPr>
        <w:ind w:left="1080" w:hanging="335"/>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firstLine="745"/>
        <w:spacing w:after="0" w:line="262" w:lineRule="auto"/>
        <w:tabs>
          <w:tab w:leader="none" w:pos="108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(or its counsel) shall have received a certificate in substantially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from the chief financial officer (or other officer with reasonably equivalent responsibilities) of the Borrower dated as of the Closing Date and certifying as to the matters set forth therein.</w:t>
      </w:r>
    </w:p>
    <w:p>
      <w:pPr>
        <w:spacing w:after="0" w:line="182" w:lineRule="exact"/>
        <w:rPr>
          <w:rFonts w:ascii="Arial" w:cs="Arial" w:eastAsia="Arial" w:hAnsi="Arial"/>
          <w:sz w:val="18"/>
          <w:szCs w:val="18"/>
          <w:color w:val="auto"/>
        </w:rPr>
      </w:pPr>
    </w:p>
    <w:p>
      <w:pPr>
        <w:ind w:firstLine="745"/>
        <w:spacing w:after="0" w:line="275" w:lineRule="auto"/>
        <w:tabs>
          <w:tab w:leader="none" w:pos="108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Perfection Certificate</w:t>
      </w:r>
      <w:r>
        <w:rPr>
          <w:rFonts w:ascii="Arial" w:cs="Arial" w:eastAsia="Arial" w:hAnsi="Arial"/>
          <w:sz w:val="18"/>
          <w:szCs w:val="18"/>
          <w:color w:val="auto"/>
        </w:rPr>
        <w:t>. The Administrative Agent (or its counsel) shall have received a completed Perfection Certificate dated the Closing Date and signed by a Responsible Officer of Holdings</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63" w:name="page164"/>
    <w:bookmarkEnd w:id="163"/>
    <w:p>
      <w:pPr>
        <w:ind w:left="760"/>
        <w:spacing w:after="0" w:line="275" w:lineRule="auto"/>
        <w:rPr>
          <w:sz w:val="20"/>
          <w:szCs w:val="20"/>
          <w:color w:val="auto"/>
        </w:rPr>
      </w:pPr>
      <w:r>
        <w:rPr>
          <w:rFonts w:ascii="Arial" w:cs="Arial" w:eastAsia="Arial" w:hAnsi="Arial"/>
          <w:sz w:val="18"/>
          <w:szCs w:val="18"/>
          <w:color w:val="auto"/>
        </w:rPr>
        <w:t xml:space="preserve">and each Loan Party, together with all attachments contemplated thereby and,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UCC, tax, judgment and intellectual property lien searches.</w:t>
      </w:r>
    </w:p>
    <w:p>
      <w:pPr>
        <w:spacing w:after="0" w:line="171" w:lineRule="exact"/>
        <w:rPr>
          <w:sz w:val="20"/>
          <w:szCs w:val="20"/>
          <w:color w:val="auto"/>
        </w:rPr>
      </w:pPr>
    </w:p>
    <w:p>
      <w:pPr>
        <w:jc w:val="both"/>
        <w:ind w:left="760" w:firstLine="745"/>
        <w:spacing w:after="0" w:line="300" w:lineRule="auto"/>
        <w:tabs>
          <w:tab w:leader="none" w:pos="1849"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Pledged Stock and Pledged Notes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5.15</w:t>
      </w:r>
      <w:r>
        <w:rPr>
          <w:rFonts w:ascii="Arial" w:cs="Arial" w:eastAsia="Arial" w:hAnsi="Arial"/>
          <w:sz w:val="16"/>
          <w:szCs w:val="16"/>
          <w:color w:val="auto"/>
        </w:rPr>
        <w:t>, the Administrative Agent (or its counsel) shall have received (i) the certificates representing the Capital Stock required to be pledged pursuant to the Security Agreement, together with an undated stock power or similar instrument of transfer for each such certificate endorsed in blank by a duly authorized officer of the pledgor thereof, and (ii) each Material Debt Instrument (if any) endorsed (without recourse) in blank (or accompanied by a transfer form endorsed in blank) by the pledgor thereof.</w:t>
      </w:r>
    </w:p>
    <w:p>
      <w:pPr>
        <w:spacing w:after="0" w:line="155" w:lineRule="exact"/>
        <w:rPr>
          <w:rFonts w:ascii="Arial" w:cs="Arial" w:eastAsia="Arial" w:hAnsi="Arial"/>
          <w:sz w:val="16"/>
          <w:szCs w:val="16"/>
          <w:color w:val="auto"/>
        </w:rPr>
      </w:pPr>
    </w:p>
    <w:p>
      <w:pPr>
        <w:jc w:val="both"/>
        <w:ind w:left="760" w:firstLine="745"/>
        <w:spacing w:after="0" w:line="277" w:lineRule="auto"/>
        <w:tabs>
          <w:tab w:leader="none" w:pos="1877"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each document (including any UCC (or similar) financing statement) required by any Collateral Document or under applicable Requirements of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spacing w:after="0" w:line="172" w:lineRule="exact"/>
        <w:rPr>
          <w:rFonts w:ascii="Arial" w:cs="Arial" w:eastAsia="Arial" w:hAnsi="Arial"/>
          <w:sz w:val="17"/>
          <w:szCs w:val="17"/>
          <w:color w:val="auto"/>
        </w:rPr>
      </w:pPr>
    </w:p>
    <w:p>
      <w:pPr>
        <w:ind w:left="1840" w:hanging="335"/>
        <w:spacing w:after="0"/>
        <w:tabs>
          <w:tab w:leader="none" w:pos="18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1840" w:hanging="335"/>
        <w:spacing w:after="0"/>
        <w:tabs>
          <w:tab w:leader="none" w:pos="18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760" w:firstLine="745"/>
        <w:spacing w:after="0" w:line="277" w:lineRule="auto"/>
        <w:tabs>
          <w:tab w:leader="none" w:pos="186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No later than three Business Days in advance of the Closing Date, the Administrative Agent shall have received all documentation and other information reasonably requested with respect to Holdings or any Loan Party in writing by any Initial Lender at least ten Business Days in advance of the Closing Date, which documentation or other information is required by regulatory authorities under applicable “know your customer” and anti-money laundering rules and regulations, including the USA PATRIOT Act.</w:t>
      </w:r>
    </w:p>
    <w:p>
      <w:pPr>
        <w:spacing w:after="0" w:line="172" w:lineRule="exact"/>
        <w:rPr>
          <w:rFonts w:ascii="Arial" w:cs="Arial" w:eastAsia="Arial" w:hAnsi="Arial"/>
          <w:sz w:val="17"/>
          <w:szCs w:val="17"/>
          <w:color w:val="auto"/>
        </w:rPr>
      </w:pPr>
    </w:p>
    <w:p>
      <w:pPr>
        <w:ind w:left="760" w:firstLine="745"/>
        <w:spacing w:after="0" w:line="275" w:lineRule="auto"/>
        <w:tabs>
          <w:tab w:leader="none" w:pos="186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 certificate from a Responsible Officer of the Borrower certifying satisfaction of the condition precedent set forth in </w:t>
      </w:r>
      <w:r>
        <w:rPr>
          <w:rFonts w:ascii="Arial" w:cs="Arial" w:eastAsia="Arial" w:hAnsi="Arial"/>
          <w:sz w:val="18"/>
          <w:szCs w:val="18"/>
          <w:u w:val="single" w:color="auto"/>
          <w:color w:val="auto"/>
        </w:rPr>
        <w:t>Section 4.01(e)</w:t>
      </w:r>
      <w:r>
        <w:rPr>
          <w:rFonts w:ascii="Arial" w:cs="Arial" w:eastAsia="Arial" w:hAnsi="Arial"/>
          <w:sz w:val="18"/>
          <w:szCs w:val="18"/>
          <w:color w:val="auto"/>
        </w:rPr>
        <w:t>.</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For purposes of determining whether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have been satisfied on the Closing Date, by funding the Loans hereunder, the Administrative Agent and each Lender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4.02.Each Credit Extension</w:t>
      </w:r>
      <w:r>
        <w:rPr>
          <w:rFonts w:ascii="Arial" w:cs="Arial" w:eastAsia="Arial" w:hAnsi="Arial"/>
          <w:sz w:val="18"/>
          <w:szCs w:val="18"/>
          <w:color w:val="auto"/>
        </w:rPr>
        <w:t>. After the Closing Date, the obligation of each Revolving Lender to make any Credit Extension is subject solely to the satisfaction of the following conditions:</w:t>
      </w:r>
    </w:p>
    <w:p>
      <w:pPr>
        <w:spacing w:after="0" w:line="171" w:lineRule="exact"/>
        <w:rPr>
          <w:sz w:val="20"/>
          <w:szCs w:val="20"/>
          <w:color w:val="auto"/>
        </w:rPr>
      </w:pPr>
    </w:p>
    <w:p>
      <w:pPr>
        <w:ind w:left="1840" w:hanging="335"/>
        <w:spacing w:after="0"/>
        <w:tabs>
          <w:tab w:leader="none" w:pos="18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(i) In the case of any Borrowing, the Administrative Agent shall have received a Borrowing Request as required by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jc w:val="both"/>
        <w:ind w:left="760" w:hanging="4"/>
        <w:spacing w:after="0" w:line="253" w:lineRule="auto"/>
        <w:tabs>
          <w:tab w:leader="none" w:pos="10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 the case of the issuance of any Letter of Credit, the applicable Issuing Bank and the Administrative Agent shall have received a notice requesting the issuance of such Letter of Credit as required by </w:t>
      </w:r>
      <w:r>
        <w:rPr>
          <w:rFonts w:ascii="Arial" w:cs="Arial" w:eastAsia="Arial" w:hAnsi="Arial"/>
          <w:sz w:val="18"/>
          <w:szCs w:val="18"/>
          <w:u w:val="single" w:color="auto"/>
          <w:color w:val="auto"/>
        </w:rPr>
        <w:t>Section 2.05(a)(ii)</w:t>
      </w:r>
      <w:r>
        <w:rPr>
          <w:rFonts w:ascii="Arial" w:cs="Arial" w:eastAsia="Arial" w:hAnsi="Arial"/>
          <w:sz w:val="18"/>
          <w:szCs w:val="18"/>
          <w:color w:val="auto"/>
        </w:rPr>
        <w:t xml:space="preserve"> or (iii) in the case of any Borrowing of Swingline Loans, the Swingline Lender and the Administrative Agent shall have received a request as required by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760" w:firstLine="745"/>
        <w:spacing w:after="0" w:line="272" w:lineRule="auto"/>
        <w:tabs>
          <w:tab w:leader="none" w:pos="1872" w:val="left"/>
        </w:tabs>
        <w:numPr>
          <w:ilvl w:val="1"/>
          <w:numId w:val="184"/>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Holdings and the other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representation and warranty specifically refers to a given date or period, it shall be true and correct in all material respects as of such date or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4" w:name="page165"/>
    <w:bookmarkEnd w:id="164"/>
    <w:p>
      <w:pPr>
        <w:ind w:left="760" w:firstLine="745"/>
        <w:spacing w:after="0" w:line="275" w:lineRule="auto"/>
        <w:tabs>
          <w:tab w:leader="none" w:pos="18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applicable Credit Extension, no Event of Default or Default has occurred and is continuing.</w:t>
      </w:r>
    </w:p>
    <w:p>
      <w:pPr>
        <w:spacing w:after="0" w:line="17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Each Credit Extension after the Closing Date shall be deemed to constitute a representation and warranty by the Borrower on the date thereof as to the matters specified in </w:t>
      </w:r>
      <w:r>
        <w:rPr>
          <w:rFonts w:ascii="Arial" w:cs="Arial" w:eastAsia="Arial" w:hAnsi="Arial"/>
          <w:sz w:val="18"/>
          <w:szCs w:val="18"/>
          <w:u w:val="single" w:color="auto"/>
          <w:color w:val="auto"/>
        </w:rPr>
        <w:t>paragraphs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 conditions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shall not apply to (A) any Incremental Loan made in connection with any acquisition, other Investment or irrevocable repayment, repurchase or redemption of Indebtedness and/or (B) any Credit Extension under any Refinancing Amendment and/or Extension Amendment unless in each case the lenders in respect thereof have required satisfaction of the same in the applicable Incremental Facility Amendment, Refinancing Amendment or Extension Amendment, as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3"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From the Closing Date until the date on which all Commitments have expired or terminated and the principal of and interest on each Loan and all fees, expenses and other amounts and Obligations payable under any Loan Document (other than (i) contingent indemnification obligations for which no claim or demand has been made and (ii) Banking Services Obligations or Secured Hedging Obligations under any Hedge Agreements as to which no amounts are due and payable or arrangements reasonably satisfactory to the applicable counterparty have been made) have been paid in full in Cash and all Letters of Credit have expired or have been terminated (or have been (x) collateralized or back-stopped by a letter of credit or otherwise in a manner reasonably satisfactory to the relevant Issuing Bank or (y) deemed reissued under another agreement reasonably acceptable to the applicable Issuing Bank and the Administrative Agent) and all LC Disbursements have been reimbursed (such date,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Holdings (solely with respect to </w:t>
      </w:r>
      <w:r>
        <w:rPr>
          <w:rFonts w:ascii="Arial" w:cs="Arial" w:eastAsia="Arial" w:hAnsi="Arial"/>
          <w:sz w:val="16"/>
          <w:szCs w:val="16"/>
          <w:u w:val="single" w:color="auto"/>
          <w:color w:val="auto"/>
        </w:rPr>
        <w:t>Sections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5.12</w:t>
      </w:r>
      <w:r>
        <w:rPr>
          <w:rFonts w:ascii="Arial" w:cs="Arial" w:eastAsia="Arial" w:hAnsi="Arial"/>
          <w:sz w:val="16"/>
          <w:szCs w:val="16"/>
          <w:color w:val="auto"/>
        </w:rPr>
        <w:t>) and the Borrower hereby covenant and agree with the Lenders that:</w:t>
      </w:r>
    </w:p>
    <w:p>
      <w:pPr>
        <w:spacing w:after="0" w:line="16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5.01.Financial Statements and Other Reports</w:t>
      </w:r>
      <w:r>
        <w:rPr>
          <w:rFonts w:ascii="Arial" w:cs="Arial" w:eastAsia="Arial" w:hAnsi="Arial"/>
          <w:sz w:val="18"/>
          <w:szCs w:val="18"/>
          <w:color w:val="auto"/>
        </w:rPr>
        <w:t xml:space="preserve">. The Borrower will deliver to the Administrative Agent for delivery by the Administrative Agent, subject to </w:t>
      </w:r>
      <w:r>
        <w:rPr>
          <w:rFonts w:ascii="Arial" w:cs="Arial" w:eastAsia="Arial" w:hAnsi="Arial"/>
          <w:sz w:val="18"/>
          <w:szCs w:val="18"/>
          <w:u w:val="single" w:color="auto"/>
          <w:color w:val="auto"/>
        </w:rPr>
        <w:t>Section 9.05(f)</w:t>
      </w:r>
      <w:r>
        <w:rPr>
          <w:rFonts w:ascii="Arial" w:cs="Arial" w:eastAsia="Arial" w:hAnsi="Arial"/>
          <w:sz w:val="18"/>
          <w:szCs w:val="18"/>
          <w:color w:val="auto"/>
        </w:rPr>
        <w:t>, to each Lender:</w:t>
      </w:r>
    </w:p>
    <w:p>
      <w:pPr>
        <w:spacing w:after="0" w:line="171" w:lineRule="exact"/>
        <w:rPr>
          <w:sz w:val="20"/>
          <w:szCs w:val="20"/>
          <w:color w:val="auto"/>
        </w:rPr>
      </w:pPr>
    </w:p>
    <w:p>
      <w:pPr>
        <w:jc w:val="both"/>
        <w:ind w:left="760" w:firstLine="745"/>
        <w:spacing w:after="0" w:line="287" w:lineRule="auto"/>
        <w:tabs>
          <w:tab w:leader="none" w:pos="183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xml:space="preserve">. As soon as available, and in any event within 60 days after the end of each of the first three Fiscal Quarters of each Fiscal Year, commencing with the Fiscal Quarter ending September 30, 2021, the consolidated balance sheet of Borrower and its subsidiaries as at the end of such Fiscal Quarter and the related consolidated statements of income and cash flows of Borrower and its subsidiaries for such Fiscal Quarter and for the period from the beginning of the then current Fiscal Year to the end of such Fiscal Quarter, and setting forth, in reasonable detail, in comparative form the corresponding figures for the corresponding periods of the previous Fiscal Year (such comparisons only to be required with respect to periods ended after the Closing Date), all in reasonable detail, together with a Responsible Officer Certification (which may be included in the applicable Compliance Certificate)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portion of any such financial statements relating to the Borrower and its subsidiaries shall only be required to reflect the Borrower’s good faith estimate of any purchase accounting adjustments relating to any acquisition consummated after the Closing Date until the Fiscal Quarter ending March 31 of the Fiscal Year following the Fiscal Year in which the relevant acquisition was consummated;</w:t>
      </w:r>
    </w:p>
    <w:p>
      <w:pPr>
        <w:spacing w:after="0" w:line="164" w:lineRule="exact"/>
        <w:rPr>
          <w:rFonts w:ascii="Arial" w:cs="Arial" w:eastAsia="Arial" w:hAnsi="Arial"/>
          <w:sz w:val="16"/>
          <w:szCs w:val="16"/>
          <w:color w:val="auto"/>
        </w:rPr>
      </w:pPr>
    </w:p>
    <w:p>
      <w:pPr>
        <w:jc w:val="both"/>
        <w:ind w:left="760" w:firstLine="745"/>
        <w:spacing w:after="0" w:line="287" w:lineRule="auto"/>
        <w:tabs>
          <w:tab w:leader="none" w:pos="183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xml:space="preserve">. As soon as available, and in any event within 120 days after the end of each Fiscal Year ending after the Closing Date, (i) the consolidated balance sheet of the Borrower and its subsidiaries as at the end of such Fiscal Year and the related consolidated statements of income, shareholders’ equity and cash flows of the Borrower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 a report thereon of an independent certified public accountant of recognized national standing (which report shall not be subject to a qualification as to the scope of such audit or “going concern” qualification (except as resulting from (A) the impending maturity of any Indebtedness within the four Fiscal Quarter period following the relevant audit date, (B) any actual or anticipated breach of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or any other financial covenant hereunder or under any other Indebtedness or (C) the activities, operations, financial results, assets or liabilities of any Unrestricted Subsidiary) but may include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5" w:name="page166"/>
    <w:bookmarkEnd w:id="165"/>
    <w:p>
      <w:pPr>
        <w:jc w:val="both"/>
        <w:ind w:left="4"/>
        <w:spacing w:after="0" w:line="262" w:lineRule="auto"/>
        <w:rPr>
          <w:sz w:val="20"/>
          <w:szCs w:val="20"/>
          <w:color w:val="auto"/>
        </w:rPr>
      </w:pPr>
      <w:r>
        <w:rPr>
          <w:rFonts w:ascii="Arial" w:cs="Arial" w:eastAsia="Arial" w:hAnsi="Arial"/>
          <w:sz w:val="18"/>
          <w:szCs w:val="18"/>
          <w:color w:val="auto"/>
        </w:rPr>
        <w:t>“going concern” explanatory paragraph or like statement), and shall state that such consolidated financial statements fairly present, in all material respects, the consolidated financial position of the Borrower as at the dates indicated and its income and cash flows for the periods indicated in conformity with GAAP;</w:t>
      </w:r>
    </w:p>
    <w:p>
      <w:pPr>
        <w:spacing w:after="0" w:line="182" w:lineRule="exact"/>
        <w:rPr>
          <w:sz w:val="20"/>
          <w:szCs w:val="20"/>
          <w:color w:val="auto"/>
        </w:rPr>
      </w:pPr>
    </w:p>
    <w:p>
      <w:pPr>
        <w:jc w:val="both"/>
        <w:ind w:left="4" w:firstLine="745"/>
        <w:spacing w:after="0" w:line="274" w:lineRule="auto"/>
        <w:tabs>
          <w:tab w:leader="none" w:pos="1106"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Together with each delivery of financial statements of the Borrower and its subsidiaries pursuant to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(i) a duly executed and completed Compliance Certificate and (ii) (A) a summary of the pro forma adjustments necessary to eliminate the accounts of Unrestricted Subsidiaries (if any) from such financial statements and (B) a list identifying each subsidiary of the Borrower as a Restricted Subsidiary or an Unrestricted Subsidiary as of the date of delivery of such Compliance Certificate or confirmation that there is no change in such information since the later of the Closing Date and the date of the last such list;</w:t>
      </w:r>
    </w:p>
    <w:p>
      <w:pPr>
        <w:spacing w:after="0" w:line="174" w:lineRule="exact"/>
        <w:rPr>
          <w:rFonts w:ascii="Arial" w:cs="Arial" w:eastAsia="Arial" w:hAnsi="Arial"/>
          <w:sz w:val="17"/>
          <w:szCs w:val="17"/>
          <w:color w:val="auto"/>
        </w:rPr>
      </w:pPr>
    </w:p>
    <w:p>
      <w:pPr>
        <w:ind w:left="1084" w:hanging="335"/>
        <w:spacing w:after="0"/>
        <w:tabs>
          <w:tab w:leader="none" w:pos="108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4" w:firstLine="745"/>
        <w:spacing w:after="0" w:line="277" w:lineRule="auto"/>
        <w:tabs>
          <w:tab w:leader="none" w:pos="1092"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Notice of Default</w:t>
      </w:r>
      <w:r>
        <w:rPr>
          <w:rFonts w:ascii="Arial" w:cs="Arial" w:eastAsia="Arial" w:hAnsi="Arial"/>
          <w:sz w:val="17"/>
          <w:szCs w:val="17"/>
          <w:color w:val="auto"/>
        </w:rPr>
        <w:t>.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notice specifying the nature and period of existence of such condition, event or change and what action the Borrower has taken, is taking and proposes to take with respect thereto;</w:t>
      </w:r>
    </w:p>
    <w:p>
      <w:pPr>
        <w:spacing w:after="0" w:line="172" w:lineRule="exact"/>
        <w:rPr>
          <w:rFonts w:ascii="Arial" w:cs="Arial" w:eastAsia="Arial" w:hAnsi="Arial"/>
          <w:sz w:val="17"/>
          <w:szCs w:val="17"/>
          <w:color w:val="auto"/>
        </w:rPr>
      </w:pPr>
    </w:p>
    <w:p>
      <w:pPr>
        <w:jc w:val="both"/>
        <w:ind w:left="4" w:firstLine="745"/>
        <w:spacing w:after="0" w:line="255" w:lineRule="auto"/>
        <w:tabs>
          <w:tab w:leader="none" w:pos="1097"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would reasonably be expected to have a Material Adverse Effect, written notice thereof from the Borrower together with such other non-privileged information as may be reasonably available to the Loan Parties to enable the Lenders to evaluate such matters;</w:t>
      </w:r>
    </w:p>
    <w:p>
      <w:pPr>
        <w:spacing w:after="0" w:line="190" w:lineRule="exact"/>
        <w:rPr>
          <w:rFonts w:ascii="Arial" w:cs="Arial" w:eastAsia="Arial" w:hAnsi="Arial"/>
          <w:sz w:val="18"/>
          <w:szCs w:val="18"/>
          <w:color w:val="auto"/>
        </w:rPr>
      </w:pPr>
    </w:p>
    <w:p>
      <w:pPr>
        <w:ind w:left="4" w:firstLine="745"/>
        <w:spacing w:after="0" w:line="275" w:lineRule="auto"/>
        <w:tabs>
          <w:tab w:leader="none" w:pos="1097"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Promptly upon any Responsible Officer of the Borrower becoming aware of the occurrence of any ERISA Event that would reasonably be expected to have a Material Adverse Effect, a written notice specifying the nature thereof;</w:t>
      </w:r>
    </w:p>
    <w:p>
      <w:pPr>
        <w:spacing w:after="0" w:line="170" w:lineRule="exact"/>
        <w:rPr>
          <w:rFonts w:ascii="Arial" w:cs="Arial" w:eastAsia="Arial" w:hAnsi="Arial"/>
          <w:sz w:val="18"/>
          <w:szCs w:val="18"/>
          <w:color w:val="auto"/>
        </w:rPr>
      </w:pPr>
    </w:p>
    <w:p>
      <w:pPr>
        <w:ind w:left="1084" w:hanging="335"/>
        <w:spacing w:after="0"/>
        <w:tabs>
          <w:tab w:leader="none" w:pos="108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1084" w:hanging="335"/>
        <w:spacing w:after="0"/>
        <w:tabs>
          <w:tab w:leader="none" w:pos="1084"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 Prompt (and, in any event, within 90 days of the relevant change) written notice of any change</w:t>
      </w:r>
    </w:p>
    <w:p>
      <w:pPr>
        <w:spacing w:after="0" w:line="45" w:lineRule="exact"/>
        <w:rPr>
          <w:rFonts w:ascii="Arial" w:cs="Arial" w:eastAsia="Arial" w:hAnsi="Arial"/>
          <w:sz w:val="16"/>
          <w:szCs w:val="16"/>
          <w:color w:val="auto"/>
        </w:rPr>
      </w:pPr>
    </w:p>
    <w:p>
      <w:pPr>
        <w:jc w:val="both"/>
        <w:ind w:left="4" w:hanging="4"/>
        <w:spacing w:after="0" w:line="252" w:lineRule="auto"/>
        <w:tabs>
          <w:tab w:leader="none" w:pos="2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any Loan Party’s legal name, (ii) in any Loan Party’s type of organization or (iii) in any Loan Party’s jurisdiction of organization,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w:t>
      </w:r>
    </w:p>
    <w:p>
      <w:pPr>
        <w:spacing w:after="0" w:line="190" w:lineRule="exact"/>
        <w:rPr>
          <w:rFonts w:ascii="Arial" w:cs="Arial" w:eastAsia="Arial" w:hAnsi="Arial"/>
          <w:sz w:val="18"/>
          <w:szCs w:val="18"/>
          <w:color w:val="auto"/>
        </w:rPr>
      </w:pPr>
    </w:p>
    <w:p>
      <w:pPr>
        <w:jc w:val="both"/>
        <w:ind w:left="4" w:firstLine="745"/>
        <w:spacing w:after="0" w:line="262" w:lineRule="auto"/>
        <w:tabs>
          <w:tab w:leader="none" w:pos="1088"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Annual Collateral Verification</w:t>
      </w:r>
      <w:r>
        <w:rPr>
          <w:rFonts w:ascii="Arial" w:cs="Arial" w:eastAsia="Arial" w:hAnsi="Arial"/>
          <w:sz w:val="18"/>
          <w:szCs w:val="18"/>
          <w:color w:val="auto"/>
        </w:rPr>
        <w:t xml:space="preserve">. Together with the delivery of each Compliance Certificate provided with the financial statements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a Perfection Certificate Supplement (or confirmation that there have been no changes in such information since the Closing Date or the most recent Perfection Certificate Supplement provided);</w:t>
      </w:r>
    </w:p>
    <w:p>
      <w:pPr>
        <w:spacing w:after="0" w:line="182" w:lineRule="exact"/>
        <w:rPr>
          <w:rFonts w:ascii="Arial" w:cs="Arial" w:eastAsia="Arial" w:hAnsi="Arial"/>
          <w:sz w:val="18"/>
          <w:szCs w:val="18"/>
          <w:color w:val="auto"/>
        </w:rPr>
      </w:pPr>
    </w:p>
    <w:p>
      <w:pPr>
        <w:jc w:val="both"/>
        <w:ind w:left="4" w:firstLine="745"/>
        <w:spacing w:after="0" w:line="272" w:lineRule="auto"/>
        <w:tabs>
          <w:tab w:leader="none" w:pos="1099"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Certain Reports</w:t>
      </w:r>
      <w:r>
        <w:rPr>
          <w:rFonts w:ascii="Arial" w:cs="Arial" w:eastAsia="Arial" w:hAnsi="Arial"/>
          <w:sz w:val="17"/>
          <w:szCs w:val="17"/>
          <w:color w:val="auto"/>
        </w:rPr>
        <w:t>. Promptly upon their becoming available and without duplication of any obligations with respect to any such information that is otherwise required to be delivered under the provisions of any Loan Document, copies of (i) all financial statements, reports, notices and proxy statements sent or made available generally by Holdings or its applicable Parent Company to its security holders acting in such capacity and (ii) all regular and periodic reports and all registration statements (other than on Form S-8 or a similar form) and prospectuses, if any, filed by Holdings or its applicable Parent Company with any securities exchange or with the SEC or any analogous Governmental Authority or private regulatory authority with jurisdiction over matters relating to securities; and</w:t>
      </w:r>
    </w:p>
    <w:p>
      <w:pPr>
        <w:spacing w:after="0" w:line="176"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166" w:name="page167"/>
    <w:bookmarkEnd w:id="166"/>
    <w:p>
      <w:pPr>
        <w:jc w:val="both"/>
        <w:ind w:left="760" w:firstLine="745"/>
        <w:spacing w:after="0" w:line="288" w:lineRule="auto"/>
        <w:tabs>
          <w:tab w:leader="none" w:pos="1862"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xml:space="preserve">. Such other certificates, reports and information (financial or otherwise) as the Administrative Agent may reasonably request from time to time regarding the financial condition or business of the Borrower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Holdings, the Borrower nor any Restricted Subsidiary shall be required to disclose or provide any information (a) that constitutes non-financial trade secrets or non-financial proprietary information of Holdings, the Borrower or any of its subsidiaries or any of their respective customers and/or suppliers, (b) in respect of which disclosure to the Administrative Agent or any Lender (or any of their respective representatives) is prohibited by applicable Requirements of Law, (c) that is subject to attorney-client or similar privilege or constitutes attorney work product or (d) in respect of which Holdings, the Borrower or any Restricted Subsidiary owes confidentiality obligations to any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confidentiality obligations were not entered into in contemplation of the requirements of this </w:t>
      </w:r>
      <w:r>
        <w:rPr>
          <w:rFonts w:ascii="Arial" w:cs="Arial" w:eastAsia="Arial" w:hAnsi="Arial"/>
          <w:sz w:val="16"/>
          <w:szCs w:val="16"/>
          <w:u w:val="single" w:color="auto"/>
          <w:color w:val="auto"/>
        </w:rPr>
        <w:t>Section 5.01(l)</w:t>
      </w:r>
      <w:r>
        <w:rPr>
          <w:rFonts w:ascii="Arial" w:cs="Arial" w:eastAsia="Arial" w:hAnsi="Arial"/>
          <w:sz w:val="16"/>
          <w:szCs w:val="16"/>
          <w:color w:val="auto"/>
        </w:rPr>
        <w:t>).</w:t>
      </w:r>
    </w:p>
    <w:p>
      <w:pPr>
        <w:spacing w:after="0" w:line="169"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 xml:space="preserve">Documents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delivered electronically and if so delivered, shall be deemed to have been delivered on the date (i) on which the Borrower (or a representative thereof) (x) posts such documents or (y) provides a link thereto at the website address listed on </w:t>
      </w:r>
      <w:r>
        <w:rPr>
          <w:rFonts w:ascii="Arial" w:cs="Arial" w:eastAsia="Arial" w:hAnsi="Arial"/>
          <w:sz w:val="16"/>
          <w:szCs w:val="16"/>
          <w:u w:val="single" w:color="auto"/>
          <w:color w:val="auto"/>
        </w:rPr>
        <w:t>Schedule 9.01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with respect to items required to be delivered pursuant to </w:t>
      </w:r>
      <w:r>
        <w:rPr>
          <w:rFonts w:ascii="Arial" w:cs="Arial" w:eastAsia="Arial" w:hAnsi="Arial"/>
          <w:sz w:val="16"/>
          <w:szCs w:val="16"/>
          <w:u w:val="single" w:color="auto"/>
          <w:color w:val="auto"/>
        </w:rPr>
        <w:t>Section 5.01(k)</w:t>
      </w:r>
      <w:r>
        <w:rPr>
          <w:rFonts w:ascii="Arial" w:cs="Arial" w:eastAsia="Arial" w:hAnsi="Arial"/>
          <w:sz w:val="16"/>
          <w:szCs w:val="16"/>
          <w:color w:val="auto"/>
        </w:rPr>
        <w:t xml:space="preserve"> above, the Borrower shall promptly notify (which notice may be by facsimile or electronic mail) the Administrative Agent of the posting of any such documents at the website address listed on </w:t>
      </w:r>
      <w:r>
        <w:rPr>
          <w:rFonts w:ascii="Arial" w:cs="Arial" w:eastAsia="Arial" w:hAnsi="Arial"/>
          <w:sz w:val="16"/>
          <w:szCs w:val="16"/>
          <w:u w:val="single" w:color="auto"/>
          <w:color w:val="auto"/>
        </w:rPr>
        <w:t>Schedule 9.01</w:t>
      </w:r>
      <w:r>
        <w:rPr>
          <w:rFonts w:ascii="Arial" w:cs="Arial" w:eastAsia="Arial" w:hAnsi="Arial"/>
          <w:sz w:val="16"/>
          <w:szCs w:val="16"/>
          <w:color w:val="auto"/>
        </w:rPr>
        <w:t xml:space="preserve"> and provide to the Administrative Agent by electronic mail electronic versions (</w:t>
      </w:r>
      <w:r>
        <w:rPr>
          <w:rFonts w:ascii="Arial" w:cs="Arial" w:eastAsia="Arial" w:hAnsi="Arial"/>
          <w:sz w:val="16"/>
          <w:szCs w:val="16"/>
          <w:i w:val="1"/>
          <w:iCs w:val="1"/>
          <w:color w:val="auto"/>
        </w:rPr>
        <w:t>i.e</w:t>
      </w:r>
      <w:r>
        <w:rPr>
          <w:rFonts w:ascii="Arial" w:cs="Arial" w:eastAsia="Arial" w:hAnsi="Arial"/>
          <w:sz w:val="16"/>
          <w:szCs w:val="16"/>
          <w:color w:val="auto"/>
        </w:rPr>
        <w:t>., soft copies) of such documents; (ii) on which such documents are delivered by the Borrower to the Administrative Agent for posting on behalf of the Borrower on IntraLinks/SyndTrak or another relevant website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if any, to which each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Arial" w:cs="Arial" w:eastAsia="Arial" w:hAnsi="Arial"/>
          <w:sz w:val="16"/>
          <w:szCs w:val="16"/>
          <w:u w:val="single" w:color="auto"/>
          <w:color w:val="auto"/>
        </w:rPr>
        <w:t>Section 5.01(k)</w:t>
      </w:r>
      <w:r>
        <w:rPr>
          <w:rFonts w:ascii="Arial" w:cs="Arial" w:eastAsia="Arial" w:hAnsi="Arial"/>
          <w:sz w:val="16"/>
          <w:szCs w:val="16"/>
          <w:color w:val="auto"/>
        </w:rPr>
        <w:t xml:space="preserve"> above in respect of information filed by Holdings or its applicable Parent Company with any securities exchange or with the SEC or any analogous governmental or private regulatory authority with jurisdiction over matters relating to securities (other than Form 10-Q Reports and Form 10-K reports described in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 on which such items have been made available on the SEC website or the website of the relevant analogous governmental or private regulatory authority or securities exchange. Each Lender shall be solely responsible for timely accessing posted documents or requesting delivery of paper copies of such documents from the Administrative Agent and maintaining its copies of such documents.</w:t>
      </w:r>
    </w:p>
    <w:p>
      <w:pPr>
        <w:spacing w:after="0" w:line="16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 xml:space="preserve">Notwithstanding the foregoing, the obligations in </w:t>
      </w:r>
      <w:r>
        <w:rPr>
          <w:rFonts w:ascii="Arial" w:cs="Arial" w:eastAsia="Arial" w:hAnsi="Arial"/>
          <w:sz w:val="17"/>
          <w:szCs w:val="17"/>
          <w:u w:val="single" w:color="auto"/>
          <w:color w:val="auto"/>
        </w:rPr>
        <w:t>paragraphs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satisfied with respect to any financial statements of the Borrower by furnishing (A) the applicable financial statements of Holdings (or any other Parent Company) or (B) the Borrower’s, Holdings’ (or any other Parent Company’s), as applicable, Form 10-K or 10-Q, as applicable, filed with the SEC or any securities exchange, in each case, within the time periods specified in such paragraphs;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 to the extent such financial statements relate to any Parent Company and there are material differences resulting from material operations or material Indebtedness of such Parent Company, such financial statements shall be accompanied by consolidating information that summarizes in reasonable detail the differences between the information relating to such Parent Company, on the one hand, and the information relating to the Borrower and its consolidated subsidiaries on a standalone basis, on the other hand, and (ii) to the extent such statements are in lieu of statements required to be provided under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Arial" w:cs="Arial" w:eastAsia="Arial" w:hAnsi="Arial"/>
          <w:sz w:val="17"/>
          <w:szCs w:val="17"/>
          <w:u w:val="single" w:color="auto"/>
          <w:color w:val="auto"/>
        </w:rPr>
        <w:t>Section 5.01(b)</w:t>
      </w:r>
      <w:r>
        <w:rPr>
          <w:rFonts w:ascii="Arial" w:cs="Arial" w:eastAsia="Arial" w:hAnsi="Arial"/>
          <w:sz w:val="17"/>
          <w:szCs w:val="17"/>
          <w:color w:val="auto"/>
        </w:rPr>
        <w:t>.</w:t>
      </w:r>
    </w:p>
    <w:p>
      <w:pPr>
        <w:spacing w:after="0" w:line="18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 xml:space="preserve">Any financial statement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be required to include acquisition accounting adjustments relating to the Transactions or any Permitted Acquisition to the extent it is not practicable to include any such adjustments in such financial statement.</w:t>
      </w:r>
    </w:p>
    <w:p>
      <w:pPr>
        <w:spacing w:after="0" w:line="18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u w:val="single" w:color="auto"/>
          <w:color w:val="auto"/>
        </w:rPr>
        <w:t>Section 5.02.Existence</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Holdings and the Borrower will, and the Borrower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Holdings nor the Borrower nor any of the Borrower’s Restricted Subsidiaries shall be required to preserve any such existence (other than with respect to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7" w:name="page168"/>
    <w:bookmarkEnd w:id="167"/>
    <w:p>
      <w:pPr>
        <w:jc w:val="both"/>
        <w:spacing w:after="0" w:line="262" w:lineRule="auto"/>
        <w:rPr>
          <w:sz w:val="20"/>
          <w:szCs w:val="20"/>
          <w:color w:val="auto"/>
        </w:rPr>
      </w:pPr>
      <w:r>
        <w:rPr>
          <w:rFonts w:ascii="Arial" w:cs="Arial" w:eastAsia="Arial" w:hAnsi="Arial"/>
          <w:sz w:val="18"/>
          <w:szCs w:val="18"/>
          <w:color w:val="auto"/>
        </w:rPr>
        <w:t>preservation of existence of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spacing w:after="0" w:line="182"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6"/>
          <w:szCs w:val="16"/>
          <w:u w:val="single" w:color="auto"/>
          <w:color w:val="auto"/>
        </w:rPr>
        <w:t>Section 5.03.Payment of Taxes</w:t>
      </w:r>
      <w:r>
        <w:rPr>
          <w:rFonts w:ascii="Arial" w:cs="Arial" w:eastAsia="Arial" w:hAnsi="Arial"/>
          <w:sz w:val="16"/>
          <w:szCs w:val="16"/>
          <w:color w:val="auto"/>
        </w:rPr>
        <w:t xml:space="preserve">. Holdings and the Borrower will, and the Borrower will cause each of its Restricted Subsidiaries to, timely pay all Taxes imposed upon it or any of its properties or assets or in respect of any of its income or businesses or franchises;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Tax need be paid if (a) it is being contested in good faith by appropriate proceedings,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or (b) failure to pay or discharge the same could not reasonably be expected, individually or in the aggregate, to result in a Material Adverse Effect.</w:t>
      </w:r>
    </w:p>
    <w:p>
      <w:pPr>
        <w:spacing w:after="0" w:line="16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u w:val="single" w:color="auto"/>
          <w:color w:val="auto"/>
        </w:rPr>
        <w:t>Section 5.04.Maintenance of Properties</w:t>
      </w:r>
      <w:r>
        <w:rPr>
          <w:rFonts w:ascii="Arial" w:cs="Arial" w:eastAsia="Arial" w:hAnsi="Arial"/>
          <w:sz w:val="17"/>
          <w:szCs w:val="17"/>
          <w:color w:val="auto"/>
        </w:rPr>
        <w:t>.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except as expressly permitted by this Agreement or where the failure to maintain such properties or make such repairs, renewals or replacements could not reasonably be expected to have a Material Adverse Effect.</w:t>
      </w:r>
    </w:p>
    <w:p>
      <w:pPr>
        <w:spacing w:after="0" w:line="174"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u w:val="single" w:color="auto"/>
          <w:color w:val="auto"/>
        </w:rPr>
        <w:t>Section 5.05.Insurance</w:t>
      </w:r>
      <w:r>
        <w:rPr>
          <w:rFonts w:ascii="Arial" w:cs="Arial" w:eastAsia="Arial" w:hAnsi="Arial"/>
          <w:sz w:val="16"/>
          <w:szCs w:val="16"/>
          <w:color w:val="auto"/>
        </w:rPr>
        <w:t xml:space="preserve">. Except where the failure to do so would not reasonably be expected to have a Material Adverse Effect, the Borrower will maintain or cause to be maintained, with financially sound and reputable insurers that the Borrower believes (in the good faith and judgment of its management) are financially sound and reputable at the time the relevant coverage is placed or renewed, or with a Captive Insurance Subsidiary, such insurance coverage with respect to liabilities, losses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hereof, (i) name the Administrative Agent on behalf of the Secured Parties as an additional insured thereunder as its interests may appear and (ii) to the extent available from the relevant insurance carrier, in the case of each casualty insurance policy (excluding any business interruption insurance policy), contain a loss payable clause or endorsement that names the Administrative Agent, on behalf of the Secured Parties as the loss payee thereunder and, to the extent available from the relevant insurance carrier after submission of a request by the applicable Loan Party to obtain the same, provide for at least 30 days’ prior written notice to the Administrative Agent of any modification or cancellation of such policy (or 10 days’ prior written notice in the case of the failure to pay any premiums thereunder).</w:t>
      </w:r>
    </w:p>
    <w:p>
      <w:pPr>
        <w:spacing w:after="0" w:line="173"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u w:val="single" w:color="auto"/>
          <w:color w:val="auto"/>
        </w:rPr>
        <w:t>Section 5.06.Inspections</w:t>
      </w:r>
      <w:r>
        <w:rPr>
          <w:rFonts w:ascii="Arial" w:cs="Arial" w:eastAsia="Arial" w:hAnsi="Arial"/>
          <w:sz w:val="16"/>
          <w:szCs w:val="16"/>
          <w:color w:val="auto"/>
        </w:rPr>
        <w:t>. The Borrower will, and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at the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any of its subsidiaries) may, if it so chooses, be present at or participate in any such discussion), all upon reasonable notice and at reasonable times during normal business hours;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only the Administrative Agent on behalf of the Lenders may exercise the rights of the Administrative Agent and the Lenders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and (b) except as expressly set forth in the proviso below during the continuance of an Event of Default, the Administrative Agent shall not exercise such rights more often than one time during any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when an Event of Default exists and is continuing, the Administrative Agent (or any of its representatives or independent contractors) may do any of the foregoing at the expense of the Borrower at any time during normal business hours and upon reasonable advance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anything to the contrary herein, neither the Borrower nor any Restricted Subsidiary shall be required to disclose, permit the inspection, examination or making of copies of or taking abstracts from, or discuss any document, information, or other matter (A) that constitutes non-financial trade secrets or non-financial proprietary information of the Borrower and its subsidiaries and/or any of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8" w:name="page169"/>
    <w:bookmarkEnd w:id="168"/>
    <w:p>
      <w:pPr>
        <w:jc w:val="both"/>
        <w:spacing w:after="0" w:line="277" w:lineRule="auto"/>
        <w:rPr>
          <w:sz w:val="20"/>
          <w:szCs w:val="20"/>
          <w:color w:val="auto"/>
        </w:rPr>
      </w:pPr>
      <w:r>
        <w:rPr>
          <w:rFonts w:ascii="Arial" w:cs="Arial" w:eastAsia="Arial" w:hAnsi="Arial"/>
          <w:sz w:val="17"/>
          <w:szCs w:val="17"/>
          <w:color w:val="auto"/>
        </w:rPr>
        <w:t>customers and/or suppliers, (B) in respect of which disclosure to the Administrative Agent or any Lender (or any of their respective representatives or contractors) is prohibited by applicable Requirements of Law, (C) that is subject to attorney-client or similar privilege or constitutes attorney work product or (D) in respect of which Holdings, the Borrower or any Restricted Subsidiary owes confidentiality obligations to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confidentiality obligations were not entered into in contemplation of the requirements of this </w:t>
      </w:r>
      <w:r>
        <w:rPr>
          <w:rFonts w:ascii="Arial" w:cs="Arial" w:eastAsia="Arial" w:hAnsi="Arial"/>
          <w:sz w:val="17"/>
          <w:szCs w:val="17"/>
          <w:u w:val="single" w:color="auto"/>
          <w:color w:val="auto"/>
        </w:rPr>
        <w:t>Section 5.06</w:t>
      </w:r>
      <w:r>
        <w:rPr>
          <w:rFonts w:ascii="Arial" w:cs="Arial" w:eastAsia="Arial" w:hAnsi="Arial"/>
          <w:sz w:val="17"/>
          <w:szCs w:val="17"/>
          <w:color w:val="auto"/>
        </w:rPr>
        <w:t>).</w:t>
      </w:r>
    </w:p>
    <w:p>
      <w:pPr>
        <w:spacing w:after="0" w:line="172"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u w:val="single" w:color="auto"/>
          <w:color w:val="auto"/>
        </w:rPr>
        <w:t>Section 5.07.Maintenance of Book and Records</w:t>
      </w:r>
      <w:r>
        <w:rPr>
          <w:rFonts w:ascii="Arial" w:cs="Arial" w:eastAsia="Arial" w:hAnsi="Arial"/>
          <w:sz w:val="16"/>
          <w:szCs w:val="16"/>
          <w:color w:val="auto"/>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47"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u w:val="single" w:color="auto"/>
          <w:color w:val="auto"/>
        </w:rPr>
        <w:t>Section 5.08.Compliance with Laws</w:t>
      </w:r>
      <w:r>
        <w:rPr>
          <w:rFonts w:ascii="Arial" w:cs="Arial" w:eastAsia="Arial" w:hAnsi="Arial"/>
          <w:sz w:val="16"/>
          <w:szCs w:val="16"/>
          <w:color w:val="auto"/>
        </w:rPr>
        <w:t xml:space="preserve">. The Borrower will comply, and will cause each of its Restricted Subsidiaries to comply, with the requirements of all applicable Requirements of Law (including applicable ERISA and all Environmental Laws, OFAC, the USA PATRIOT Act and the FCPA), except to the extent the failure of the Borrower or the relevant Restricted Subsidiary to comply could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Section 5.08</w:t>
      </w:r>
      <w:r>
        <w:rPr>
          <w:rFonts w:ascii="Arial" w:cs="Arial" w:eastAsia="Arial" w:hAnsi="Arial"/>
          <w:sz w:val="16"/>
          <w:szCs w:val="16"/>
          <w:color w:val="auto"/>
        </w:rPr>
        <w:t>, as they pertain to compliance by any Foreign Subsidiary with OFAC, the USA PATRIOT ACT and the FCPA are subject to and limited by any Requirement of Law applicable to such Foreign Subsidiary in its relevant local jurisdiction.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5.09.Environmental</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2" w:lineRule="auto"/>
        <w:tabs>
          <w:tab w:leader="none" w:pos="1019" w:val="left"/>
        </w:tabs>
        <w:numPr>
          <w:ilvl w:val="0"/>
          <w:numId w:val="1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Environmental Disclosure</w:t>
      </w:r>
      <w:r>
        <w:rPr>
          <w:rFonts w:ascii="Arial" w:cs="Arial" w:eastAsia="Arial" w:hAnsi="Arial"/>
          <w:sz w:val="18"/>
          <w:szCs w:val="18"/>
          <w:color w:val="auto"/>
        </w:rPr>
        <w:t xml:space="preserve">. The Borrower will deliver to the Administrative Agent as soon as practicable following the sending or receipt thereof by the Borrower or any of its Restricted Subsidiaries, written notice of (A) any Environmental Claim that, individually or in the aggregate, could reasonably be expected to have a Material Adverse Effect, (B) any Release required to be reported by the Borrower or any of its Restricted Subsidiaries to any federal, state or local governmental or regulatory agency or other Governmental Authority that reasonably could be expected to have a Material Adverse Effect,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is reasonably expected to have a Material Adverse Effect and (D) subject to the limitations set forth above in the proviso in </w:t>
      </w:r>
      <w:r>
        <w:rPr>
          <w:rFonts w:ascii="Arial" w:cs="Arial" w:eastAsia="Arial" w:hAnsi="Arial"/>
          <w:sz w:val="18"/>
          <w:szCs w:val="18"/>
          <w:u w:val="single" w:color="auto"/>
          <w:color w:val="auto"/>
        </w:rPr>
        <w:t>Section 5.01(l)</w:t>
      </w:r>
      <w:r>
        <w:rPr>
          <w:rFonts w:ascii="Arial" w:cs="Arial" w:eastAsia="Arial" w:hAnsi="Arial"/>
          <w:sz w:val="18"/>
          <w:szCs w:val="18"/>
          <w:color w:val="auto"/>
        </w:rPr>
        <w:t xml:space="preserve">, such other documents and information as from time to time may be reasonably requested by the Administrative Agent in relation to any matters disclosed pursuant to this </w:t>
      </w:r>
      <w:r>
        <w:rPr>
          <w:rFonts w:ascii="Arial" w:cs="Arial" w:eastAsia="Arial" w:hAnsi="Arial"/>
          <w:sz w:val="18"/>
          <w:szCs w:val="18"/>
          <w:u w:val="single" w:color="auto"/>
          <w:color w:val="auto"/>
        </w:rPr>
        <w:t>Section 5.09(a)</w:t>
      </w:r>
      <w:r>
        <w:rPr>
          <w:rFonts w:ascii="Arial" w:cs="Arial" w:eastAsia="Arial" w:hAnsi="Arial"/>
          <w:sz w:val="18"/>
          <w:szCs w:val="18"/>
          <w:color w:val="auto"/>
        </w:rPr>
        <w:t>.</w:t>
      </w:r>
    </w:p>
    <w:p>
      <w:pPr>
        <w:spacing w:after="0" w:line="193" w:lineRule="exact"/>
        <w:rPr>
          <w:rFonts w:ascii="Arial" w:cs="Arial" w:eastAsia="Arial" w:hAnsi="Arial"/>
          <w:sz w:val="18"/>
          <w:szCs w:val="18"/>
          <w:u w:val="single" w:color="auto"/>
          <w:color w:val="auto"/>
        </w:rPr>
      </w:pPr>
    </w:p>
    <w:p>
      <w:pPr>
        <w:jc w:val="both"/>
        <w:ind w:firstLine="756"/>
        <w:spacing w:after="0" w:line="272" w:lineRule="auto"/>
        <w:tabs>
          <w:tab w:leader="none" w:pos="1019" w:val="left"/>
        </w:tabs>
        <w:numPr>
          <w:ilvl w:val="0"/>
          <w:numId w:val="19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Hazardous Materials Activities, Etc</w:t>
      </w:r>
      <w:r>
        <w:rPr>
          <w:rFonts w:ascii="Arial" w:cs="Arial" w:eastAsia="Arial" w:hAnsi="Arial"/>
          <w:sz w:val="17"/>
          <w:szCs w:val="17"/>
          <w:color w:val="auto"/>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could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could reasonably be expected to have, individually or in the aggregate, a Material Adverse Effect.</w:t>
      </w:r>
    </w:p>
    <w:p>
      <w:pPr>
        <w:spacing w:after="0" w:line="17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u w:val="single" w:color="auto"/>
          <w:color w:val="auto"/>
        </w:rPr>
        <w:t>Section 5.10.Designation of Subsidiaries</w:t>
      </w:r>
      <w:r>
        <w:rPr>
          <w:rFonts w:ascii="Arial" w:cs="Arial" w:eastAsia="Arial" w:hAnsi="Arial"/>
          <w:sz w:val="16"/>
          <w:szCs w:val="16"/>
          <w:color w:val="auto"/>
        </w:rPr>
        <w:t xml:space="preserve">. The Borrower may at any time after the Closing Date designate (or redesignate) any subsidiary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other than for purposes of designating a Restricted Subsidiary as an Unrestricted Subsidiary that is a Securitization Subsidiary in connection with the establishment of a Qualified Securitization Financing, immediately before and after such designation, no Event of Default exists (including after giving effect to the reclassification of Investments in, Indebtedness of and Liens on the assets of, the applicable Restricted Subsidiary or Unrestricted Subsidiary)and (ii) as of the date of the designation thereof, no Unrestricted Subsidiary shall own any Capital Stock in any Restricted Subsidiary of the Borrower (unless such Restricted Subsidiary is also designated as an Unrestricted Subsidiary) or hold any Indebtedness of or any Lien on any property of the Borrower or its Restricted Subsidiaries (unless the Borrower or such Restricted Subsidiary is permitted to incur such Indebtedness or Liens in favor of such Unrestricted Subsidiary pursuant to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6.02</w:t>
      </w:r>
      <w:r>
        <w:rPr>
          <w:rFonts w:ascii="Arial" w:cs="Arial" w:eastAsia="Arial" w:hAnsi="Arial"/>
          <w:sz w:val="16"/>
          <w:szCs w:val="16"/>
          <w:color w:val="auto"/>
        </w:rPr>
        <w:t>).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9" w:name="page170"/>
    <w:bookmarkEnd w:id="169"/>
    <w:p>
      <w:pPr>
        <w:jc w:val="both"/>
        <w:spacing w:after="0" w:line="258" w:lineRule="auto"/>
        <w:rPr>
          <w:sz w:val="20"/>
          <w:szCs w:val="20"/>
          <w:color w:val="auto"/>
        </w:rPr>
      </w:pPr>
      <w:r>
        <w:rPr>
          <w:rFonts w:ascii="Arial" w:cs="Arial" w:eastAsia="Arial" w:hAnsi="Arial"/>
          <w:sz w:val="18"/>
          <w:szCs w:val="18"/>
          <w:color w:val="auto"/>
        </w:rPr>
        <w:t xml:space="preserve">to the Borrower’s (or its applicable Restricted Subsidiary’s) equity interest therein as reasonably estimated by the Borrower (and such designation shall only be permitted to the extent such Investment is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The designation of any Unrestricted Subsidiary as a Restricted Subsidiary shall constitute the making, incurrence or granting, as applicable, at the time of designation of any then-existing Investment, Indebtedness or Lien of such Subsidiary, as applicable.</w:t>
      </w:r>
    </w:p>
    <w:p>
      <w:pPr>
        <w:spacing w:after="0" w:line="18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u w:val="single" w:color="auto"/>
          <w:color w:val="auto"/>
        </w:rPr>
        <w:t>Section 5.11.Use of Proceeds</w:t>
      </w:r>
      <w:r>
        <w:rPr>
          <w:rFonts w:ascii="Arial" w:cs="Arial" w:eastAsia="Arial" w:hAnsi="Arial"/>
          <w:sz w:val="17"/>
          <w:szCs w:val="17"/>
          <w:color w:val="auto"/>
        </w:rPr>
        <w:t>. The Borrower shall use the proceeds of the Revolving Loans to finance a portion of the Transactions (including the payment of Transaction Costs) and other general corporate purposes of the Borrower and its subsidiaries (including for capital expenditures, acquisitions, Investments, working capital and/or purchase price adjustments (including in connection with the Acquisition), Restricted Payments, Restricted Debt Payments and related fees and expenses) and any other purpose not prohibited by the terms of the Loan Documents. The Borrower shall use the proceeds of the Swingline Loans made after the Closing Date to finance working capital needs and other general corporate purposes of the Borrower and any other purpose not prohibited by the terms of the Loan Documents. The Borrower shall use the proceeds of the Initial Term Loans solely to finance a portion of the Transactions (including the payment of Transaction Costs). Letters of Credit may be issued (i) on the Closing Date to backstop or replace letters of credit, guarantees and performance or similar bonds outstanding on the Closing Date (including deemed issuances of Letters of Credit under this Agreement resulting from existing issuers of letters of credit outstanding on the Closing Date agreeing to become an Issuing Bank under this Agreement) and (ii) after the Closing Date, for general corporate purposes of the Borrower and its subsidiaries and any other purpose not prohibited by the terms of the Loan Documents.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5.12.Covenant to Guarantee Obligations and Give Security</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5" w:lineRule="auto"/>
        <w:tabs>
          <w:tab w:leader="none" w:pos="101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Upon (i) the formation or acquisition after the Closing Date of any Restricted Subsidiary that is a Domestic Subsidiary, (ii) the designation of any Unrestricted Subsidiary that is a Domestic Subsidiary as a Restricted Subsidiary, (iii) any Restricted Subsidiary that is a Domestic Subsidiary ceasing to be an Immaterial Subsidiary or (iv) any Restricted Subsidiary that was an Excluded Subsidiary ceasing to be an Excluded Subsidiary (including pursuant to the last sentence of the definition of “Subsidiary Guarantor”), (x) if the event giving rise to the obligation under this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occurs during the first three Fiscal Quarters of any Fiscal Year, on or before the date on which financial statements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for the Fiscal Quarter in which the relevant formation, acquisition, designation or cessation occurred or (y) if the event giving rise to the obligation under this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occurs during the fourth Fiscal Quarter of any Fiscal Year, on or before the date that is 60 days after the end of such Fiscal Quarter (or, in the cases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such longer period as the Administrative Agent may reasonably agree), the Borrower shall (A) cause such Restricted Subsidiary (other than any Excluded Subsidiary) to comply with the requirements set forth the definition of “Collateral and Guarantee Requirement” and (B) upon the reasonable request of the Administrative Agent with respect to a subsidiary that is a material Subsidiary, cause the relevant Restricted Subsidiary (other than any Excluded Subsidiary) to deliver to the Administrative Agent a signed copy of a customary opinion of counsel for such Restricted Subsidiary, addressed to the Administrative Agent and the other relevant Secured Parties.</w:t>
      </w:r>
    </w:p>
    <w:p>
      <w:pPr>
        <w:spacing w:after="0" w:line="173" w:lineRule="exact"/>
        <w:rPr>
          <w:rFonts w:ascii="Arial" w:cs="Arial" w:eastAsia="Arial" w:hAnsi="Arial"/>
          <w:sz w:val="16"/>
          <w:szCs w:val="16"/>
          <w:color w:val="auto"/>
        </w:rPr>
      </w:pPr>
    </w:p>
    <w:p>
      <w:pPr>
        <w:ind w:left="1020" w:hanging="264"/>
        <w:spacing w:after="0"/>
        <w:tabs>
          <w:tab w:leader="none" w:pos="10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ind w:left="1020" w:hanging="264"/>
        <w:spacing w:after="0"/>
        <w:tabs>
          <w:tab w:leader="none" w:pos="10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it is understood and agreed that:</w:t>
      </w:r>
    </w:p>
    <w:p>
      <w:pPr>
        <w:spacing w:after="0" w:line="223" w:lineRule="exact"/>
        <w:rPr>
          <w:sz w:val="20"/>
          <w:szCs w:val="20"/>
          <w:color w:val="auto"/>
        </w:rPr>
      </w:pPr>
    </w:p>
    <w:p>
      <w:pPr>
        <w:jc w:val="both"/>
        <w:ind w:left="760" w:firstLine="1045"/>
        <w:spacing w:after="0" w:line="300" w:lineRule="auto"/>
        <w:tabs>
          <w:tab w:leader="none" w:pos="204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Administrative Agent may grant extensions of time (at any time, including after the expiration of any relevant period, which will be retroactive) for the creation and perfection of security interests in, or obtaining of insurance, legal opinions or other deliverables with respect to, particular assets or the provision of any Loan Guaranty by any Restricted Subsidiary (in connection with assets acquired, or Restricted Subsidiaries formed or acquired, after the Closing Date), and each Lender hereby consents to any such extension of time,</w:t>
      </w:r>
    </w:p>
    <w:p>
      <w:pPr>
        <w:spacing w:after="0" w:line="155" w:lineRule="exact"/>
        <w:rPr>
          <w:sz w:val="20"/>
          <w:szCs w:val="20"/>
          <w:color w:val="auto"/>
        </w:rPr>
      </w:pPr>
    </w:p>
    <w:p>
      <w:pPr>
        <w:ind w:left="760" w:firstLine="1048"/>
        <w:spacing w:after="0" w:line="275" w:lineRule="auto"/>
        <w:rPr>
          <w:sz w:val="20"/>
          <w:szCs w:val="20"/>
          <w:color w:val="auto"/>
        </w:rPr>
      </w:pPr>
      <w:r>
        <w:rPr>
          <w:rFonts w:ascii="Arial" w:cs="Arial" w:eastAsia="Arial" w:hAnsi="Arial"/>
          <w:sz w:val="18"/>
          <w:szCs w:val="18"/>
          <w:color w:val="auto"/>
        </w:rPr>
        <w:t>(ii)any Lien required to be granted from time to time pursuant to the definition of “Collateral and Guarantee Requirement” shall be subject to the exceptions and limitations set forth in the Collateral Documents,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70" w:name="page171"/>
    <w:bookmarkEnd w:id="170"/>
    <w:p>
      <w:pPr>
        <w:jc w:val="both"/>
        <w:ind w:left="760" w:firstLine="1048"/>
        <w:spacing w:after="0" w:line="262" w:lineRule="auto"/>
        <w:rPr>
          <w:sz w:val="20"/>
          <w:szCs w:val="20"/>
          <w:color w:val="auto"/>
        </w:rPr>
      </w:pPr>
      <w:r>
        <w:rPr>
          <w:rFonts w:ascii="Arial" w:cs="Arial" w:eastAsia="Arial" w:hAnsi="Arial"/>
          <w:sz w:val="18"/>
          <w:szCs w:val="18"/>
          <w:color w:val="auto"/>
        </w:rPr>
        <w:t>(iii)perfection by control shall not be required with respect to assets requiring perfection through control agreements or other control arrangements (other than control of pledged Capital Stock and/or Material Debt Instruments, in each case to the extent otherwise constituting Collateral),</w:t>
      </w:r>
    </w:p>
    <w:p>
      <w:pPr>
        <w:spacing w:after="0" w:line="182" w:lineRule="exact"/>
        <w:rPr>
          <w:sz w:val="20"/>
          <w:szCs w:val="20"/>
          <w:color w:val="auto"/>
        </w:rPr>
      </w:pPr>
    </w:p>
    <w:p>
      <w:pPr>
        <w:jc w:val="both"/>
        <w:ind w:left="760" w:firstLine="1048"/>
        <w:spacing w:after="0" w:line="275" w:lineRule="auto"/>
        <w:rPr>
          <w:sz w:val="20"/>
          <w:szCs w:val="20"/>
          <w:color w:val="auto"/>
        </w:rPr>
      </w:pPr>
      <w:r>
        <w:rPr>
          <w:rFonts w:ascii="Arial" w:cs="Arial" w:eastAsia="Arial" w:hAnsi="Arial"/>
          <w:sz w:val="18"/>
          <w:szCs w:val="18"/>
          <w:color w:val="auto"/>
        </w:rPr>
        <w:t>(iv)no Loan Party shall be required to seek any landlord lien waiver, bailee letter, estoppel, warehouseman waiver or other collateral access or similar letter or agreement;</w:t>
      </w:r>
    </w:p>
    <w:p>
      <w:pPr>
        <w:spacing w:after="0" w:line="171" w:lineRule="exact"/>
        <w:rPr>
          <w:sz w:val="20"/>
          <w:szCs w:val="20"/>
          <w:color w:val="auto"/>
        </w:rPr>
      </w:pPr>
    </w:p>
    <w:p>
      <w:pPr>
        <w:jc w:val="both"/>
        <w:ind w:left="760" w:firstLine="1045"/>
        <w:spacing w:after="0" w:line="310" w:lineRule="auto"/>
        <w:tabs>
          <w:tab w:leader="none" w:pos="204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 Loan Party will be required to (A) take any action outside of the U.S. in order to create or perfect any security interest in any asset located outside of the U.S., (B) execute any foreign law security agreement, pledge agreement, mortgage, deed or charge or (C) make any foreign intellectual property filing, conduct any foreign intellectual property search or prepare any foreign intellectual property schedule;</w:t>
      </w:r>
    </w:p>
    <w:p>
      <w:pPr>
        <w:spacing w:after="0" w:line="14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(vi)in no event will the Collateral include any Excluded Asset,</w:t>
      </w:r>
    </w:p>
    <w:p>
      <w:pPr>
        <w:spacing w:after="0" w:line="223" w:lineRule="exact"/>
        <w:rPr>
          <w:sz w:val="20"/>
          <w:szCs w:val="20"/>
          <w:color w:val="auto"/>
        </w:rPr>
      </w:pPr>
    </w:p>
    <w:p>
      <w:pPr>
        <w:jc w:val="both"/>
        <w:ind w:left="760" w:firstLine="1048"/>
        <w:spacing w:after="0" w:line="258" w:lineRule="auto"/>
        <w:rPr>
          <w:sz w:val="20"/>
          <w:szCs w:val="20"/>
          <w:color w:val="auto"/>
        </w:rPr>
      </w:pPr>
      <w:r>
        <w:rPr>
          <w:rFonts w:ascii="Arial" w:cs="Arial" w:eastAsia="Arial" w:hAnsi="Arial"/>
          <w:sz w:val="18"/>
          <w:szCs w:val="18"/>
          <w:color w:val="auto"/>
        </w:rPr>
        <w:t>(vii)no action shall be required to perfect any Lien with respect to (1) any vehicle or other asset subject to a certificate of title, (2) Letter-of-Credit Rights, (3) the Capital Stock of any Immaterial Subsidiary and/or (4) the Capital Stock of any Person that is not a Subsidiary, which Person, if a Subsidiary, would constitute an Immaterial Subsidiary, in each case except to the extent that a security interest therein can be perfected by filing a Form UCC-1 (or similar) financing statement under the UCC, and</w:t>
      </w:r>
    </w:p>
    <w:p>
      <w:pPr>
        <w:spacing w:after="0" w:line="185" w:lineRule="exact"/>
        <w:rPr>
          <w:sz w:val="20"/>
          <w:szCs w:val="20"/>
          <w:color w:val="auto"/>
        </w:rPr>
      </w:pPr>
    </w:p>
    <w:p>
      <w:pPr>
        <w:jc w:val="both"/>
        <w:ind w:left="760" w:firstLine="1048"/>
        <w:spacing w:after="0" w:line="300" w:lineRule="auto"/>
        <w:rPr>
          <w:sz w:val="20"/>
          <w:szCs w:val="20"/>
          <w:color w:val="auto"/>
        </w:rPr>
      </w:pPr>
      <w:r>
        <w:rPr>
          <w:rFonts w:ascii="Arial" w:cs="Arial" w:eastAsia="Arial" w:hAnsi="Arial"/>
          <w:sz w:val="16"/>
          <w:szCs w:val="16"/>
          <w:color w:val="auto"/>
        </w:rPr>
        <w:t xml:space="preserve">(viii)any joinder or supplement to any Loan Guaranty, any Collateral Document and/or any other Loan Document executed by any Restricted Subsidiary that is required to become a Loan Party pursuant to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above may, with the consent of the Administrative Agent (not to be unreasonably withheld or delayed), include such schedules (or updates to schedules) as may be necessary to ensure that any representation or warranty is true and correct to the extent required thereby or by the terms of any other Loan Document;</w:t>
      </w:r>
    </w:p>
    <w:p>
      <w:pPr>
        <w:spacing w:after="0" w:line="15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provided that 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shall not apply to the Capital Stock or assets of a Foreign Subsidiary that becomes a Guarantor pursuant to the last sentence of the definition of “Subsidiary Guarantor.”</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auto"/>
        </w:rPr>
        <w:t>Section 5.13.Maintenance of Ratings</w:t>
      </w:r>
      <w:r>
        <w:rPr>
          <w:rFonts w:ascii="Arial" w:cs="Arial" w:eastAsia="Arial" w:hAnsi="Arial"/>
          <w:sz w:val="18"/>
          <w:szCs w:val="18"/>
          <w:color w:val="auto"/>
        </w:rPr>
        <w:t xml:space="preserve">. The Borrower shall use commercially reasonable efforts to maintain public corporate credit facility and public corporate family ratings from each of S&amp;P and Moody’s;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Borrower be required to maintain any specific rating with any such agency.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Section 5.14.Further Assurances</w:t>
      </w:r>
      <w:r>
        <w:rPr>
          <w:rFonts w:ascii="Arial" w:cs="Arial" w:eastAsia="Arial" w:hAnsi="Arial"/>
          <w:sz w:val="16"/>
          <w:szCs w:val="16"/>
          <w:color w:val="auto"/>
        </w:rPr>
        <w:t xml:space="preserve">. Promptly upon request of the Administrative Agent and subject to the limitations described in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246" w:lineRule="exact"/>
        <w:rPr>
          <w:sz w:val="20"/>
          <w:szCs w:val="20"/>
          <w:color w:val="auto"/>
        </w:rPr>
      </w:pPr>
    </w:p>
    <w:p>
      <w:pPr>
        <w:jc w:val="both"/>
        <w:ind w:left="760" w:firstLine="745"/>
        <w:spacing w:after="0" w:line="274" w:lineRule="auto"/>
        <w:tabs>
          <w:tab w:leader="none" w:pos="186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Holdings and the Borrower will, and will cause each other Loan Party to, execute any and all further documents, financing statements, agreements, instruments, certificates, notices and acknowledgments and take all such further actions (including the filing and recordation of financing statements and/or amendments thereto and other documents), that may be required under any applicable Requirements of Law and which the Administrative Agent may reasonably request to ensure the creation, perfection and priority of the Liens created or intended to be created under the Collateral Documents, all at the expense of the relevant Loan Parties.</w:t>
      </w:r>
    </w:p>
    <w:p>
      <w:pPr>
        <w:spacing w:after="0" w:line="174" w:lineRule="exact"/>
        <w:rPr>
          <w:rFonts w:ascii="Arial" w:cs="Arial" w:eastAsia="Arial" w:hAnsi="Arial"/>
          <w:sz w:val="17"/>
          <w:szCs w:val="17"/>
          <w:color w:val="auto"/>
        </w:rPr>
      </w:pPr>
    </w:p>
    <w:p>
      <w:pPr>
        <w:jc w:val="both"/>
        <w:ind w:left="760" w:firstLine="745"/>
        <w:spacing w:after="0" w:line="295" w:lineRule="auto"/>
        <w:tabs>
          <w:tab w:leader="none" w:pos="185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Holdings and the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Administrative Agent may reasonably request from time to time in order to ensure the creation, perfection and priority of the Liens created or intended to be created under the Collateral Documents.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71" w:name="page172"/>
    <w:bookmarkEnd w:id="171"/>
    <w:p>
      <w:pPr>
        <w:jc w:val="both"/>
        <w:ind w:firstLine="749"/>
        <w:spacing w:after="0" w:line="262" w:lineRule="auto"/>
        <w:rPr>
          <w:sz w:val="20"/>
          <w:szCs w:val="20"/>
          <w:color w:val="auto"/>
        </w:rPr>
      </w:pPr>
      <w:r>
        <w:rPr>
          <w:rFonts w:ascii="Arial" w:cs="Arial" w:eastAsia="Arial" w:hAnsi="Arial"/>
          <w:sz w:val="18"/>
          <w:szCs w:val="18"/>
          <w:u w:val="single" w:color="auto"/>
          <w:color w:val="auto"/>
        </w:rPr>
        <w:t>Section 5.15.Post-Closing Covenant</w:t>
      </w:r>
      <w:r>
        <w:rPr>
          <w:rFonts w:ascii="Arial" w:cs="Arial" w:eastAsia="Arial" w:hAnsi="Arial"/>
          <w:sz w:val="18"/>
          <w:szCs w:val="18"/>
          <w:color w:val="auto"/>
        </w:rPr>
        <w:t xml:space="preserve">. The Loan Parties shall comply with their obligations described in </w:t>
      </w:r>
      <w:r>
        <w:rPr>
          <w:rFonts w:ascii="Arial" w:cs="Arial" w:eastAsia="Arial" w:hAnsi="Arial"/>
          <w:sz w:val="18"/>
          <w:szCs w:val="18"/>
          <w:u w:val="single" w:color="auto"/>
          <w:color w:val="auto"/>
        </w:rPr>
        <w:t>Schedule 5.15</w:t>
      </w:r>
      <w:r>
        <w:rPr>
          <w:rFonts w:ascii="Arial" w:cs="Arial" w:eastAsia="Arial" w:hAnsi="Arial"/>
          <w:sz w:val="18"/>
          <w:szCs w:val="18"/>
          <w:color w:val="auto"/>
        </w:rPr>
        <w:t>, in each case, within the applicable periods of time specified in such Schedule with respect to the relevant item (or such longer periods as the Administrative Agent may agree in its reasonable discretion)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From the Closing Date and until the Termination Date, Holdings (solely with respect to </w:t>
      </w:r>
      <w:r>
        <w:rPr>
          <w:rFonts w:ascii="Arial" w:cs="Arial" w:eastAsia="Arial" w:hAnsi="Arial"/>
          <w:sz w:val="18"/>
          <w:szCs w:val="18"/>
          <w:u w:val="single" w:color="auto"/>
          <w:color w:val="auto"/>
        </w:rPr>
        <w:t>Section 6.13</w:t>
      </w:r>
      <w:r>
        <w:rPr>
          <w:rFonts w:ascii="Arial" w:cs="Arial" w:eastAsia="Arial" w:hAnsi="Arial"/>
          <w:sz w:val="18"/>
          <w:szCs w:val="18"/>
          <w:color w:val="auto"/>
        </w:rPr>
        <w:t>) and the Borrower covenant and agree with the Lenders that:</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6.01.Indebtedness</w:t>
      </w:r>
      <w:r>
        <w:rPr>
          <w:rFonts w:ascii="Arial" w:cs="Arial" w:eastAsia="Arial" w:hAnsi="Arial"/>
          <w:sz w:val="18"/>
          <w:szCs w:val="18"/>
          <w:color w:val="auto"/>
        </w:rPr>
        <w:t>. The Borrower shall not, nor shall it permit any of its Restricted Subsidiaries to, directly or indirectly, create, incur, assume or otherwise become or remain liable with respect to any Indebtedness, except:</w:t>
      </w:r>
    </w:p>
    <w:p>
      <w:pPr>
        <w:spacing w:after="0" w:line="171" w:lineRule="exact"/>
        <w:rPr>
          <w:sz w:val="20"/>
          <w:szCs w:val="20"/>
          <w:color w:val="auto"/>
        </w:rPr>
      </w:pPr>
    </w:p>
    <w:p>
      <w:pPr>
        <w:ind w:left="1840" w:hanging="335"/>
        <w:spacing w:after="0"/>
        <w:tabs>
          <w:tab w:leader="none" w:pos="18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Secured Obligations (including any Additional Term Loans and any Additional Revolving Loans);</w:t>
      </w:r>
    </w:p>
    <w:p>
      <w:pPr>
        <w:spacing w:after="0" w:line="222" w:lineRule="exact"/>
        <w:rPr>
          <w:rFonts w:ascii="Arial" w:cs="Arial" w:eastAsia="Arial" w:hAnsi="Arial"/>
          <w:sz w:val="18"/>
          <w:szCs w:val="18"/>
          <w:color w:val="auto"/>
        </w:rPr>
      </w:pPr>
    </w:p>
    <w:p>
      <w:pPr>
        <w:jc w:val="both"/>
        <w:ind w:left="760" w:firstLine="745"/>
        <w:spacing w:after="0" w:line="258" w:lineRule="auto"/>
        <w:tabs>
          <w:tab w:leader="none" w:pos="184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Indebtedness of the Borrower to Holdings and/or any Restricted Subsidiary and/or of any Restricted Subsidiary to Holdings, the Borrower and/or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Indebtedness of any Loan Party to any Restricted Subsidiary that is not a Loan Party must be unsecured and expressly subordinated to the Obligations of such Loan Party on terms that are reasonably acceptable to the Administrative Agent;</w:t>
      </w:r>
    </w:p>
    <w:p>
      <w:pPr>
        <w:spacing w:after="0" w:line="184" w:lineRule="exact"/>
        <w:rPr>
          <w:rFonts w:ascii="Arial" w:cs="Arial" w:eastAsia="Arial" w:hAnsi="Arial"/>
          <w:sz w:val="18"/>
          <w:szCs w:val="18"/>
          <w:color w:val="auto"/>
        </w:rPr>
      </w:pPr>
    </w:p>
    <w:p>
      <w:pPr>
        <w:ind w:left="1840" w:hanging="335"/>
        <w:spacing w:after="0"/>
        <w:tabs>
          <w:tab w:leader="none" w:pos="18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jc w:val="both"/>
        <w:ind w:left="760" w:firstLine="745"/>
        <w:spacing w:after="0" w:line="255" w:lineRule="auto"/>
        <w:tabs>
          <w:tab w:leader="none" w:pos="187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Indebtedness arising from any agreement providing for indemnification, adjustment of purchase price or similar obligations (including contingent earn-out obligations) incurred in connection with any Disposition permitted hereunder, any acquisition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such Restricted Subsidiary pursuant to any such agreement;</w:t>
      </w:r>
    </w:p>
    <w:p>
      <w:pPr>
        <w:spacing w:after="0" w:line="190" w:lineRule="exact"/>
        <w:rPr>
          <w:rFonts w:ascii="Arial" w:cs="Arial" w:eastAsia="Arial" w:hAnsi="Arial"/>
          <w:sz w:val="18"/>
          <w:szCs w:val="18"/>
          <w:color w:val="auto"/>
        </w:rPr>
      </w:pPr>
    </w:p>
    <w:p>
      <w:pPr>
        <w:jc w:val="both"/>
        <w:ind w:left="760" w:firstLine="745"/>
        <w:spacing w:after="0" w:line="258" w:lineRule="auto"/>
        <w:tabs>
          <w:tab w:leader="none" w:pos="188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(i)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w:t>
      </w:r>
    </w:p>
    <w:p>
      <w:pPr>
        <w:spacing w:after="0" w:line="184" w:lineRule="exact"/>
        <w:rPr>
          <w:rFonts w:ascii="Arial" w:cs="Arial" w:eastAsia="Arial" w:hAnsi="Arial"/>
          <w:sz w:val="18"/>
          <w:szCs w:val="18"/>
          <w:color w:val="auto"/>
        </w:rPr>
      </w:pPr>
    </w:p>
    <w:p>
      <w:pPr>
        <w:jc w:val="both"/>
        <w:ind w:left="760" w:firstLine="745"/>
        <w:spacing w:after="0" w:line="295" w:lineRule="auto"/>
        <w:tabs>
          <w:tab w:leader="none" w:pos="1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Indebtedness of the Borrower and/or any Restricted Subsidiary in respect of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 including Banking Services Obligations and incentive, supplier finance or similar programs;</w:t>
      </w:r>
    </w:p>
    <w:p>
      <w:pPr>
        <w:spacing w:after="0" w:line="159" w:lineRule="exact"/>
        <w:rPr>
          <w:rFonts w:ascii="Arial" w:cs="Arial" w:eastAsia="Arial" w:hAnsi="Arial"/>
          <w:sz w:val="16"/>
          <w:szCs w:val="16"/>
          <w:color w:val="auto"/>
        </w:rPr>
      </w:pPr>
    </w:p>
    <w:p>
      <w:pPr>
        <w:jc w:val="both"/>
        <w:ind w:left="760" w:firstLine="745"/>
        <w:spacing w:after="0" w:line="274" w:lineRule="auto"/>
        <w:tabs>
          <w:tab w:leader="none" w:pos="185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 guaranties by the Borrower and/or any Restricted Subsidiary of the obligations of suppliers, customers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72" w:name="page173"/>
    <w:bookmarkEnd w:id="172"/>
    <w:p>
      <w:pPr>
        <w:jc w:val="both"/>
        <w:ind w:firstLine="745"/>
        <w:spacing w:after="0" w:line="258" w:lineRule="auto"/>
        <w:tabs>
          <w:tab w:leader="none" w:pos="107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other obligations not prohibited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Guarantee by any Loan Party of the obligations of any non-Loan Party, the related Investment is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745"/>
        <w:spacing w:after="0" w:line="305" w:lineRule="auto"/>
        <w:tabs>
          <w:tab w:leader="none" w:pos="107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Indebtedness of the Borrower and/or any Restricted Subsidiary existing, or pursuant to commitments existing, on the Closing Date and, in respect of any Indebtedness with an outstanding principal amount in excess of $10,000,000, described on </w:t>
      </w:r>
      <w:r>
        <w:rPr>
          <w:rFonts w:ascii="Arial" w:cs="Arial" w:eastAsia="Arial" w:hAnsi="Arial"/>
          <w:sz w:val="17"/>
          <w:szCs w:val="17"/>
          <w:u w:val="single" w:color="auto"/>
          <w:color w:val="auto"/>
        </w:rPr>
        <w:t>Schedule 6.01</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jc w:val="both"/>
        <w:ind w:firstLine="745"/>
        <w:spacing w:after="0" w:line="262" w:lineRule="auto"/>
        <w:tabs>
          <w:tab w:leader="none" w:pos="107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Indebtedness of Restricted Subsidiaries that are not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such Indebtedness shall not exceed the greater of $82,250,000 and 35% of Consolidated Adjusted EBITDA as of the last day of the most recently ended Test Period;</w:t>
      </w:r>
    </w:p>
    <w:p>
      <w:pPr>
        <w:spacing w:after="0" w:line="182" w:lineRule="exact"/>
        <w:rPr>
          <w:rFonts w:ascii="Arial" w:cs="Arial" w:eastAsia="Arial" w:hAnsi="Arial"/>
          <w:sz w:val="18"/>
          <w:szCs w:val="18"/>
          <w:color w:val="auto"/>
        </w:rPr>
      </w:pPr>
    </w:p>
    <w:p>
      <w:pPr>
        <w:ind w:firstLine="745"/>
        <w:spacing w:after="0" w:line="275" w:lineRule="auto"/>
        <w:tabs>
          <w:tab w:leader="none" w:pos="108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consisting of obligations owing under incentive, supply, license or similar agreements entered into in the ordinary course of business;</w:t>
      </w:r>
    </w:p>
    <w:p>
      <w:pPr>
        <w:spacing w:after="0" w:line="170" w:lineRule="exact"/>
        <w:rPr>
          <w:rFonts w:ascii="Arial" w:cs="Arial" w:eastAsia="Arial" w:hAnsi="Arial"/>
          <w:sz w:val="18"/>
          <w:szCs w:val="18"/>
          <w:color w:val="auto"/>
        </w:rPr>
      </w:pPr>
    </w:p>
    <w:p>
      <w:pPr>
        <w:jc w:val="both"/>
        <w:ind w:firstLine="745"/>
        <w:spacing w:after="0" w:line="262" w:lineRule="auto"/>
        <w:tabs>
          <w:tab w:leader="none" w:pos="108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spacing w:after="0" w:line="182" w:lineRule="exact"/>
        <w:rPr>
          <w:rFonts w:ascii="Arial" w:cs="Arial" w:eastAsia="Arial" w:hAnsi="Arial"/>
          <w:sz w:val="18"/>
          <w:szCs w:val="18"/>
          <w:color w:val="auto"/>
        </w:rPr>
      </w:pPr>
    </w:p>
    <w:p>
      <w:pPr>
        <w:jc w:val="both"/>
        <w:ind w:firstLine="745"/>
        <w:spacing w:after="0" w:line="262" w:lineRule="auto"/>
        <w:tabs>
          <w:tab w:leader="none" w:pos="107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with respect to Capital Leases and purchase money Indebtedness in an aggregate outstanding principal amount not to exceed the greater of $82,250,000 and 35% of Consolidated Adjusted EBITDA as of the last day of the most recently ended Test Period;</w:t>
      </w:r>
    </w:p>
    <w:p>
      <w:pPr>
        <w:spacing w:after="0" w:line="182" w:lineRule="exact"/>
        <w:rPr>
          <w:rFonts w:ascii="Arial" w:cs="Arial" w:eastAsia="Arial" w:hAnsi="Arial"/>
          <w:sz w:val="18"/>
          <w:szCs w:val="18"/>
          <w:color w:val="auto"/>
        </w:rPr>
      </w:pPr>
    </w:p>
    <w:p>
      <w:pPr>
        <w:jc w:val="both"/>
        <w:ind w:firstLine="745"/>
        <w:spacing w:after="0" w:line="272" w:lineRule="auto"/>
        <w:tabs>
          <w:tab w:leader="none" w:pos="110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Restricted Subsidiary or Indebtedness assumed in connection with an acquisition permitted hereunder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(A) existed at the time such Person became a Restricted Subsidiary or the assets subject to such Indebtedness were acquired and (B) was not created or incurred in anticipation thereof, (ii) no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exists and (iii) at the Borrower’s election, either (A) at least $1.00 of additional Indebtedness can be incurred at such time under </w:t>
      </w:r>
      <w:r>
        <w:rPr>
          <w:rFonts w:ascii="Arial" w:cs="Arial" w:eastAsia="Arial" w:hAnsi="Arial"/>
          <w:sz w:val="17"/>
          <w:szCs w:val="17"/>
          <w:u w:val="single" w:color="auto"/>
          <w:color w:val="auto"/>
        </w:rPr>
        <w:t>Section 6.01(w)(i)(A)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as applicable, or (B) such Indebtedness is in an aggregate principal amount outstanding not to exceed the greater of $58,750,000 and 25% of Consolidated Adjusted EBITDA;</w:t>
      </w:r>
    </w:p>
    <w:p>
      <w:pPr>
        <w:spacing w:after="0" w:line="175" w:lineRule="exact"/>
        <w:rPr>
          <w:rFonts w:ascii="Arial" w:cs="Arial" w:eastAsia="Arial" w:hAnsi="Arial"/>
          <w:sz w:val="17"/>
          <w:szCs w:val="17"/>
          <w:color w:val="auto"/>
        </w:rPr>
      </w:pPr>
    </w:p>
    <w:p>
      <w:pPr>
        <w:jc w:val="both"/>
        <w:ind w:firstLine="745"/>
        <w:spacing w:after="0" w:line="258" w:lineRule="auto"/>
        <w:tabs>
          <w:tab w:leader="none" w:pos="107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080" w:hanging="335"/>
        <w:spacing w:after="0"/>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Indebtedness refinancing, refunding or replacing any Indebtedness permitted under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(q)</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(x)</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(in any case, including any refinancing Indebtedness incurred in respect thereof, “</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and any subsequent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5" w:lineRule="exact"/>
        <w:rPr>
          <w:rFonts w:ascii="Arial" w:cs="Arial" w:eastAsia="Arial" w:hAnsi="Arial"/>
          <w:sz w:val="16"/>
          <w:szCs w:val="16"/>
          <w:color w:val="auto"/>
        </w:rPr>
      </w:pPr>
    </w:p>
    <w:p>
      <w:pPr>
        <w:jc w:val="both"/>
        <w:ind w:left="740" w:firstLine="754"/>
        <w:spacing w:after="0" w:line="292" w:lineRule="auto"/>
        <w:tabs>
          <w:tab w:leader="none" w:pos="2253"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principal amount of such Indebtedness does not exceed the principal amount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additional Indebtedness referenced in</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73" w:name="page174"/>
    <w:bookmarkEnd w:id="173"/>
    <w:p>
      <w:pPr>
        <w:ind w:left="38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satisfies the other applicable requirements of this definition (with additional amounts incurred in reliance on this </w:t>
      </w:r>
      <w:r>
        <w:rPr>
          <w:rFonts w:ascii="Arial" w:cs="Arial" w:eastAsia="Arial" w:hAnsi="Arial"/>
          <w:sz w:val="16"/>
          <w:szCs w:val="16"/>
          <w:u w:val="single" w:color="auto"/>
          <w:color w:val="auto"/>
        </w:rPr>
        <w:t>clause</w:t>
      </w:r>
    </w:p>
    <w:p>
      <w:pPr>
        <w:spacing w:after="0" w:line="46" w:lineRule="exact"/>
        <w:rPr>
          <w:sz w:val="20"/>
          <w:szCs w:val="20"/>
          <w:color w:val="auto"/>
        </w:rPr>
      </w:pPr>
    </w:p>
    <w:p>
      <w:pPr>
        <w:ind w:left="380" w:firstLine="5"/>
        <w:spacing w:after="0" w:line="320" w:lineRule="auto"/>
        <w:tabs>
          <w:tab w:leader="none" w:pos="669" w:val="left"/>
        </w:tabs>
        <w:numPr>
          <w:ilvl w:val="0"/>
          <w:numId w:val="197"/>
        </w:numPr>
        <w:rPr>
          <w:rFonts w:ascii="Arial" w:cs="Arial" w:eastAsia="Arial" w:hAnsi="Arial"/>
          <w:sz w:val="16"/>
          <w:szCs w:val="16"/>
          <w:u w:val="single" w:color="auto"/>
          <w:color w:val="auto"/>
        </w:rPr>
      </w:pPr>
      <w:r>
        <w:rPr>
          <w:rFonts w:ascii="Arial" w:cs="Arial" w:eastAsia="Arial" w:hAnsi="Arial"/>
          <w:sz w:val="16"/>
          <w:szCs w:val="16"/>
          <w:color w:val="auto"/>
        </w:rPr>
        <w:t xml:space="preserve">constituting a utilization of the relevant basket or exception pursuant to which such additional amount is permitted) and (y) if such additional Indebtedness is secured, the Lien securing such Indebtedness satisfies the applicable requirements of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39" w:lineRule="exact"/>
        <w:rPr>
          <w:rFonts w:ascii="Arial" w:cs="Arial" w:eastAsia="Arial" w:hAnsi="Arial"/>
          <w:sz w:val="16"/>
          <w:szCs w:val="16"/>
          <w:u w:val="single" w:color="auto"/>
          <w:color w:val="auto"/>
        </w:rPr>
      </w:pPr>
    </w:p>
    <w:p>
      <w:pPr>
        <w:jc w:val="both"/>
        <w:ind w:left="380" w:firstLine="754"/>
        <w:spacing w:after="0" w:line="287" w:lineRule="auto"/>
        <w:tabs>
          <w:tab w:leader="none" w:pos="184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other than in the case of Refinancing Indebtedness with respect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(other than customary bridge loans with a maturity date of not longer than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6"/>
          <w:szCs w:val="16"/>
          <w:u w:val="single" w:color="auto"/>
          <w:color w:val="auto"/>
        </w:rPr>
        <w:t>clause (ii)</w:t>
      </w:r>
      <w:r>
        <w:rPr>
          <w:rFonts w:ascii="Arial" w:cs="Arial" w:eastAsia="Arial" w:hAnsi="Arial"/>
          <w:sz w:val="16"/>
          <w:szCs w:val="16"/>
          <w:color w:val="auto"/>
        </w:rPr>
        <w:t>), such Indebtedness has (A) subject to the Permitted Earlier Maturity Indebtedness Exception, a final maturity equal to or later than (and, in the case of revolving Indebtedness, does not require mandatory commitment reductions, if any, prior to) the earlier of (x) the Latest Term Loan Maturity Date and (y) the final maturity of the Indebtedness being refinanced, refunded or replaced and (B) subject to the Permitted Earlier Maturity Indebtedness Exception and other than with respect to revolving Indebtedness, such Indebtedness (x) has a Weighted Average Life to Maturity equal to or greater than the Weighted Average Life to Maturity of the Indebtedness being refinanced, refunded or replaced (without giving effect to any prepayments thereof) or (y) a Weighted Average Life to Maturity equal to or greater than the Weighted Average Life to Maturity of the outstanding Term Loans at such time,</w:t>
      </w:r>
    </w:p>
    <w:p>
      <w:pPr>
        <w:spacing w:after="0" w:line="164" w:lineRule="exact"/>
        <w:rPr>
          <w:rFonts w:ascii="Arial" w:cs="Arial" w:eastAsia="Arial" w:hAnsi="Arial"/>
          <w:sz w:val="16"/>
          <w:szCs w:val="16"/>
          <w:color w:val="auto"/>
        </w:rPr>
      </w:pPr>
    </w:p>
    <w:p>
      <w:pPr>
        <w:jc w:val="both"/>
        <w:ind w:left="380" w:firstLine="754"/>
        <w:spacing w:after="0" w:line="269" w:lineRule="auto"/>
        <w:tabs>
          <w:tab w:leader="none" w:pos="1491"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the terms of any Refinancing Indebtedness with an original principal amount in excess of the Threshold Amount (excluding, to the extent applicable, pricing, fees, premiums, rate floors, optional prepayment, redemption terms or subordination terms and, with respect to Refinancing Indebtedness incurred in respect of Indebtedness permitted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security), are not, taken as a whole (as reasonably determined by the Borrower), more favorable to the lenders providing such Indebtedness than those applicable to the Indebtedness being refinanced, refunded or replaced (other than (x) any covenants or any other provisions applicable only to periods after the applicable Maturity Date of the debt then-being refinanced as of such date or (y) any covenants or provisions which are market terms and conditions (taken as a whole) at the time of incurrence or issuance for the applicable type of Indebtedness) (as reasonably determined by the Borrower),</w:t>
      </w:r>
    </w:p>
    <w:p>
      <w:pPr>
        <w:spacing w:after="0" w:line="182" w:lineRule="exact"/>
        <w:rPr>
          <w:rFonts w:ascii="Arial" w:cs="Arial" w:eastAsia="Arial" w:hAnsi="Arial"/>
          <w:sz w:val="17"/>
          <w:szCs w:val="17"/>
          <w:color w:val="auto"/>
        </w:rPr>
      </w:pPr>
    </w:p>
    <w:p>
      <w:pPr>
        <w:ind w:left="1460" w:hanging="326"/>
        <w:spacing w:after="0"/>
        <w:tabs>
          <w:tab w:leader="none" w:pos="14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in the case of Refinancing Indebtedness with respect to Indebtedness permitted under </w:t>
      </w:r>
      <w:r>
        <w:rPr>
          <w:rFonts w:ascii="Arial" w:cs="Arial" w:eastAsia="Arial" w:hAnsi="Arial"/>
          <w:sz w:val="16"/>
          <w:szCs w:val="16"/>
          <w:u w:val="single" w:color="auto"/>
          <w:color w:val="auto"/>
        </w:rPr>
        <w:t>clauses (j)</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(n)(iii)(B)</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380"/>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(solely as it relates to the Shared Incremental Amount)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incurrence thereof shall be without duplication of any amounts outstanding in reliance on the relevant clause,</w:t>
      </w:r>
    </w:p>
    <w:p>
      <w:pPr>
        <w:spacing w:after="0" w:line="185" w:lineRule="exact"/>
        <w:rPr>
          <w:rFonts w:ascii="Arial" w:cs="Arial" w:eastAsia="Arial" w:hAnsi="Arial"/>
          <w:sz w:val="16"/>
          <w:szCs w:val="16"/>
          <w:color w:val="auto"/>
        </w:rPr>
      </w:pPr>
    </w:p>
    <w:p>
      <w:pPr>
        <w:jc w:val="both"/>
        <w:ind w:left="380" w:firstLine="754"/>
        <w:spacing w:after="0" w:line="285" w:lineRule="auto"/>
        <w:tabs>
          <w:tab w:leader="none" w:pos="147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except in the case of Refinancing Indebtedness incurred in respect of Indebtedness permitted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incurred as Replacement Term Loans or as a Replacement Revolving Facility, (A) such Indebtedness, if secured, is secured only by Permitted Liens at the time of such refinancing, refunding or replacement (it being understood that secured Indebtedness may be refinanced with unsecured Indebtedness), and if the Liens securing such Indebtedness were originally contractually subordinated to the Liens on the Collateral securing the Initial Term Loans, the Liens securing such Indebtedness are subordinated to the Liens on the Collateral securing the Initial Term Loans on terms not materially less favorable (as reasonably determined by the Borrower), taken as a whole, to the Lenders than those applicable to the Liens securing the Indebtedness being refinanced, refunded or replaced, taken as a whole, (B) such Indebtedness is incurred by the obligor or obligors in respect of the Indebtedness being refinanced, refunded or replaced, except to the extent otherwise permitted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(it being understood that Holdings may not be the primary obligor in respect of the applicable Refinancing Indebtedness if Holdings was not the primary obligor in respect of the relevant refinanced Indebtedness),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74" w:name="page175"/>
    <w:bookmarkEnd w:id="174"/>
    <w:p>
      <w:pPr>
        <w:ind w:left="744"/>
        <w:spacing w:after="0" w:line="275" w:lineRule="auto"/>
        <w:rPr>
          <w:sz w:val="20"/>
          <w:szCs w:val="20"/>
          <w:color w:val="auto"/>
        </w:rPr>
      </w:pPr>
      <w:r>
        <w:rPr>
          <w:rFonts w:ascii="Arial" w:cs="Arial" w:eastAsia="Arial" w:hAnsi="Arial"/>
          <w:sz w:val="18"/>
          <w:szCs w:val="18"/>
          <w:color w:val="auto"/>
        </w:rPr>
        <w:t xml:space="preserve">permitted under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6.04(b)(i)</w:t>
      </w:r>
      <w:r>
        <w:rPr>
          <w:rFonts w:ascii="Arial" w:cs="Arial" w:eastAsia="Arial" w:hAnsi="Arial"/>
          <w:sz w:val="18"/>
          <w:szCs w:val="18"/>
          <w:color w:val="auto"/>
        </w:rPr>
        <w:t xml:space="preserve">), and (D) as of the date of the incurrence of such Indebtedness and after giving effect thereto, 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and</w:t>
      </w:r>
    </w:p>
    <w:p>
      <w:pPr>
        <w:spacing w:after="0" w:line="171" w:lineRule="exact"/>
        <w:rPr>
          <w:sz w:val="20"/>
          <w:szCs w:val="20"/>
          <w:color w:val="auto"/>
        </w:rPr>
      </w:pPr>
    </w:p>
    <w:p>
      <w:pPr>
        <w:jc w:val="both"/>
        <w:ind w:left="744" w:firstLine="754"/>
        <w:spacing w:after="0" w:line="268" w:lineRule="auto"/>
        <w:tabs>
          <w:tab w:leader="none" w:pos="1825" w:val="left"/>
        </w:tabs>
        <w:numPr>
          <w:ilvl w:val="2"/>
          <w:numId w:val="198"/>
        </w:numPr>
        <w:rPr>
          <w:rFonts w:ascii="Arial" w:cs="Arial" w:eastAsia="Arial" w:hAnsi="Arial"/>
          <w:sz w:val="17"/>
          <w:szCs w:val="17"/>
          <w:color w:val="auto"/>
        </w:rPr>
      </w:pPr>
      <w:r>
        <w:rPr>
          <w:rFonts w:ascii="Arial" w:cs="Arial" w:eastAsia="Arial" w:hAnsi="Arial"/>
          <w:sz w:val="17"/>
          <w:szCs w:val="17"/>
          <w:color w:val="auto"/>
        </w:rPr>
        <w:t xml:space="preserve">in the case of Replacement Notes, (A) such Indebtedness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in right of payment and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basis with respect to the remaining Obligations hereunder, or is unsecured;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Indebtedness that is secured shall be subject to an Acceptable Intercreditor Agreement, (B) if the Indebtedness being refinanced, refunded or replaced is secured, it is not secured by any assets other than the Collateral, (C) if the Indebtedness being refinanced, refunded or replaced is Guaranteed, it shall not be Guaranteed by any Person other than one or more Loan Parties and (D) such Indebtedness is incurred under (and pursuant to) documentation other than this Agreement; it being understood and agreed that any such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Term Loans hereunder in right of payment and secured by the Collateral on a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basis with respect to the Secured Obligations hereunder that are secured on a first lien basis may participate (x) in any voluntary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prepayments of Term Loans as set forth in </w:t>
      </w:r>
      <w:r>
        <w:rPr>
          <w:rFonts w:ascii="Arial" w:cs="Arial" w:eastAsia="Arial" w:hAnsi="Arial"/>
          <w:sz w:val="17"/>
          <w:szCs w:val="17"/>
          <w:u w:val="single" w:color="auto"/>
          <w:color w:val="auto"/>
        </w:rPr>
        <w:t>Section 2.11(a)(i)</w:t>
      </w:r>
      <w:r>
        <w:rPr>
          <w:rFonts w:ascii="Arial" w:cs="Arial" w:eastAsia="Arial" w:hAnsi="Arial"/>
          <w:sz w:val="17"/>
          <w:szCs w:val="17"/>
          <w:color w:val="auto"/>
        </w:rPr>
        <w:t xml:space="preserve"> and (y) in any mandatory prepayments of Term Loans as set forth in </w:t>
      </w:r>
      <w:r>
        <w:rPr>
          <w:rFonts w:ascii="Arial" w:cs="Arial" w:eastAsia="Arial" w:hAnsi="Arial"/>
          <w:sz w:val="17"/>
          <w:szCs w:val="17"/>
          <w:u w:val="single" w:color="auto"/>
          <w:color w:val="auto"/>
        </w:rPr>
        <w:t>Section 2.11(b)(vi)</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4" w:firstLine="745"/>
        <w:spacing w:after="0" w:line="284" w:lineRule="auto"/>
        <w:tabs>
          <w:tab w:leader="none" w:pos="11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Indebtedness incurred to finance any acquisition permitted hereunder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before and after giving effect to such acquisition on a Pro Forma Basis,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exists, (ii) after giving effect to such acquisition on a Pro Forma Basis (in each case, without “netting” the cash proceeds of the applicable Indebtedness being incurred or any other concurrent incurrence of Indebtedness in connection therewith) (A) if such Indebtedness is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 on the Collateral securing the Secured Obligations, the First Lien Leverage Ratio does not exceed the greater of (1) 3.65:1.00 and</w:t>
      </w:r>
    </w:p>
    <w:p>
      <w:pPr>
        <w:jc w:val="both"/>
        <w:ind w:left="4" w:hanging="4"/>
        <w:spacing w:after="0" w:line="283" w:lineRule="auto"/>
        <w:tabs>
          <w:tab w:leader="none" w:pos="26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First Lien Leverage Ratio as of the last day of the then-most recently completed Fiscal Quarter, (B) if such Indebtedness is secured by a Lien on the Collateral that is junior to the Lien on the Collateral securing the Secured Obligations, at the election of the Borrower, either (x) the Secured Leverage Ratio does not exceed the greater of (1) 4.65:1.00 and (2) the Secured Leverage Ratio as of the last day of the then-most recently completed Fiscal Quarter or (y) the Interest Coverage Ratio is not less than the lesser of (I) 2.00:1.00 and (II) the Interest Coverage Ratio as of the last day of the most recently ended Test Period or (C) if such Indebtedness is unsecured, at the election of the Borrower, either (x) the Total Leverage Ratio does not exceed the greater of (I) 5.15:1.00 and (II) the Total Leverage Ratio as of the last day of the most recently ended Test Period or (y) the Interest Coverage Ratio is not less than the lesser of (I) 2.00:1.00 and (II) the Interest Coverage Ratio as of the last day of the most recently ended Test Period, (iii) the Liens securing any such Indebtedness that is subordinated (or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the case of </w:t>
      </w:r>
      <w:r>
        <w:rPr>
          <w:rFonts w:ascii="Arial" w:cs="Arial" w:eastAsia="Arial" w:hAnsi="Arial"/>
          <w:sz w:val="16"/>
          <w:szCs w:val="16"/>
          <w:u w:val="single" w:color="auto"/>
          <w:color w:val="auto"/>
        </w:rPr>
        <w:t>clause (ii)(A)</w:t>
      </w:r>
      <w:r>
        <w:rPr>
          <w:rFonts w:ascii="Arial" w:cs="Arial" w:eastAsia="Arial" w:hAnsi="Arial"/>
          <w:sz w:val="16"/>
          <w:szCs w:val="16"/>
          <w:color w:val="auto"/>
        </w:rPr>
        <w:t xml:space="preserve">) to the Liens securing the Secured Obligations shall be subject to an Acceptable Intercreditor Agreement) and (iv) such Indebtedness shall be subject to the conditions provided in </w:t>
      </w:r>
      <w:r>
        <w:rPr>
          <w:rFonts w:ascii="Arial" w:cs="Arial" w:eastAsia="Arial" w:hAnsi="Arial"/>
          <w:sz w:val="16"/>
          <w:szCs w:val="16"/>
          <w:u w:val="single" w:color="auto"/>
          <w:color w:val="auto"/>
        </w:rPr>
        <w:t>Sections 2.22(a)(vi)(A)</w:t>
      </w:r>
      <w:r>
        <w:rPr>
          <w:rFonts w:ascii="Arial" w:cs="Arial" w:eastAsia="Arial" w:hAnsi="Arial"/>
          <w:sz w:val="16"/>
          <w:szCs w:val="16"/>
          <w:color w:val="auto"/>
        </w:rPr>
        <w:t xml:space="preserve"> (but solely in the case of Indebtedness incurred pursuant to </w:t>
      </w:r>
      <w:r>
        <w:rPr>
          <w:rFonts w:ascii="Arial" w:cs="Arial" w:eastAsia="Arial" w:hAnsi="Arial"/>
          <w:sz w:val="16"/>
          <w:szCs w:val="16"/>
          <w:u w:val="single" w:color="auto"/>
          <w:color w:val="auto"/>
        </w:rPr>
        <w:t>clause (ii)(A)</w:t>
      </w:r>
      <w:r>
        <w:rPr>
          <w:rFonts w:ascii="Arial" w:cs="Arial" w:eastAsia="Arial" w:hAnsi="Arial"/>
          <w:sz w:val="16"/>
          <w:szCs w:val="16"/>
          <w:color w:val="auto"/>
        </w:rPr>
        <w:t xml:space="preserve"> above, subject to the Permitted Earlier Maturity Indebtedness Exception), </w:t>
      </w:r>
      <w:r>
        <w:rPr>
          <w:rFonts w:ascii="Arial" w:cs="Arial" w:eastAsia="Arial" w:hAnsi="Arial"/>
          <w:sz w:val="16"/>
          <w:szCs w:val="16"/>
          <w:u w:val="single" w:color="auto"/>
          <w:color w:val="auto"/>
        </w:rPr>
        <w:t>(a)(vii)</w:t>
      </w:r>
      <w:r>
        <w:rPr>
          <w:rFonts w:ascii="Arial" w:cs="Arial" w:eastAsia="Arial" w:hAnsi="Arial"/>
          <w:sz w:val="16"/>
          <w:szCs w:val="16"/>
          <w:color w:val="auto"/>
        </w:rPr>
        <w:t xml:space="preserve"> (but solely in the case of Indebtedness incurred pursuant to </w:t>
      </w:r>
      <w:r>
        <w:rPr>
          <w:rFonts w:ascii="Arial" w:cs="Arial" w:eastAsia="Arial" w:hAnsi="Arial"/>
          <w:sz w:val="16"/>
          <w:szCs w:val="16"/>
          <w:u w:val="single" w:color="auto"/>
          <w:color w:val="auto"/>
        </w:rPr>
        <w:t>clause (ii)(A)</w:t>
      </w:r>
      <w:r>
        <w:rPr>
          <w:rFonts w:ascii="Arial" w:cs="Arial" w:eastAsia="Arial" w:hAnsi="Arial"/>
          <w:sz w:val="16"/>
          <w:szCs w:val="16"/>
          <w:color w:val="auto"/>
        </w:rPr>
        <w:t xml:space="preserve"> above, subject to the Permitted Earlier Maturity Indebtedness Exception), </w:t>
      </w:r>
      <w:r>
        <w:rPr>
          <w:rFonts w:ascii="Arial" w:cs="Arial" w:eastAsia="Arial" w:hAnsi="Arial"/>
          <w:sz w:val="16"/>
          <w:szCs w:val="16"/>
          <w:u w:val="single" w:color="auto"/>
          <w:color w:val="auto"/>
        </w:rPr>
        <w:t>(a)(x)(B)(x)</w:t>
      </w:r>
      <w:r>
        <w:rPr>
          <w:rFonts w:ascii="Arial" w:cs="Arial" w:eastAsia="Arial" w:hAnsi="Arial"/>
          <w:sz w:val="16"/>
          <w:szCs w:val="16"/>
          <w:color w:val="auto"/>
        </w:rPr>
        <w:t xml:space="preserve">, </w:t>
      </w:r>
      <w:r>
        <w:rPr>
          <w:rFonts w:ascii="Arial" w:cs="Arial" w:eastAsia="Arial" w:hAnsi="Arial"/>
          <w:sz w:val="16"/>
          <w:szCs w:val="16"/>
          <w:u w:val="single" w:color="auto"/>
          <w:color w:val="auto"/>
        </w:rPr>
        <w:t>(a)(x)(B)(y)</w:t>
      </w:r>
      <w:r>
        <w:rPr>
          <w:rFonts w:ascii="Arial" w:cs="Arial" w:eastAsia="Arial" w:hAnsi="Arial"/>
          <w:sz w:val="16"/>
          <w:szCs w:val="16"/>
          <w:color w:val="auto"/>
        </w:rPr>
        <w:t xml:space="preserve"> (solely in the case of Indebtedness incurred pursuant to </w:t>
      </w:r>
      <w:r>
        <w:rPr>
          <w:rFonts w:ascii="Arial" w:cs="Arial" w:eastAsia="Arial" w:hAnsi="Arial"/>
          <w:sz w:val="16"/>
          <w:szCs w:val="16"/>
          <w:u w:val="single" w:color="auto"/>
          <w:color w:val="auto"/>
        </w:rPr>
        <w:t>clause (ii)(A)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w:t>
      </w:r>
      <w:r>
        <w:rPr>
          <w:rFonts w:ascii="Arial" w:cs="Arial" w:eastAsia="Arial" w:hAnsi="Arial"/>
          <w:sz w:val="16"/>
          <w:szCs w:val="16"/>
          <w:u w:val="single" w:color="auto"/>
          <w:color w:val="auto"/>
        </w:rPr>
        <w:t>(a)(xi)(B)</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jc w:val="both"/>
        <w:ind w:left="4" w:firstLine="745"/>
        <w:spacing w:after="0" w:line="269" w:lineRule="auto"/>
        <w:tabs>
          <w:tab w:leader="none" w:pos="1087"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Indebtedness of the Borrower and/or any Restricted Subsidiary in an aggregate outstanding principal amount not to exceed 100% of the amount of Net Proceeds received by the Borrower or any Parent Company from (i) the issuance or sale of Qualified Capital Stock or (ii) any cash contribution (made in Cash or converted into Cash) to the common equity of the Borrower with the Net Proceeds from the issuance and sale by any Parent Company of its Qualified Capital Stock or a contribution to the common equity of any Parent Company, in each case, (A) other than any Net Proceeds received from the sale of Capital Stock to, or contributions from, the Borrower or any of its Restricted Subsidiaries, (B) to the extent the relevant Net Proceeds have not otherwise been applied to make Investments, Restricted Payments or Restricted Debt Payments hereunder and (C) other than Cure Amounts (the amount of any Net Proceeds or contribution utilized to incur Indebtedness in reliance on this </w:t>
      </w:r>
      <w:r>
        <w:rPr>
          <w:rFonts w:ascii="Arial" w:cs="Arial" w:eastAsia="Arial" w:hAnsi="Arial"/>
          <w:sz w:val="17"/>
          <w:szCs w:val="17"/>
          <w:u w:val="single" w:color="auto"/>
          <w:color w:val="auto"/>
        </w:rPr>
        <w:t>clause (r)</w:t>
      </w:r>
      <w:r>
        <w:rPr>
          <w:rFonts w:ascii="Arial" w:cs="Arial" w:eastAsia="Arial" w:hAnsi="Arial"/>
          <w:sz w:val="17"/>
          <w:szCs w:val="17"/>
          <w:color w:val="auto"/>
        </w:rPr>
        <w:t>, a “</w:t>
      </w:r>
      <w:r>
        <w:rPr>
          <w:rFonts w:ascii="Arial" w:cs="Arial" w:eastAsia="Arial" w:hAnsi="Arial"/>
          <w:sz w:val="17"/>
          <w:szCs w:val="17"/>
          <w:u w:val="single" w:color="auto"/>
          <w:color w:val="auto"/>
        </w:rPr>
        <w:t>Contribution Indebtedness Amount</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1084" w:hanging="335"/>
        <w:spacing w:after="0"/>
        <w:tabs>
          <w:tab w:leader="none" w:pos="108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Indebtedness of the Borrower and/or any Restricted Subsidiary under any Derivative Transaction not entered into for speculative</w:t>
      </w:r>
    </w:p>
    <w:p>
      <w:pPr>
        <w:spacing w:after="0" w:line="4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08" w:lineRule="exact"/>
        <w:rPr>
          <w:sz w:val="20"/>
          <w:szCs w:val="20"/>
          <w:color w:val="auto"/>
        </w:rPr>
      </w:pPr>
    </w:p>
    <w:p>
      <w:pPr>
        <w:ind w:left="4744"/>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175" w:name="page176"/>
    <w:bookmarkEnd w:id="175"/>
    <w:p>
      <w:pPr>
        <w:jc w:val="both"/>
        <w:ind w:left="4" w:firstLine="745"/>
        <w:spacing w:after="0" w:line="258" w:lineRule="auto"/>
        <w:tabs>
          <w:tab w:leader="none" w:pos="111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spacing w:after="0" w:line="184" w:lineRule="exact"/>
        <w:rPr>
          <w:rFonts w:ascii="Arial" w:cs="Arial" w:eastAsia="Arial" w:hAnsi="Arial"/>
          <w:sz w:val="18"/>
          <w:szCs w:val="18"/>
          <w:color w:val="auto"/>
        </w:rPr>
      </w:pPr>
    </w:p>
    <w:p>
      <w:pPr>
        <w:ind w:left="4" w:firstLine="745"/>
        <w:spacing w:after="0" w:line="305" w:lineRule="auto"/>
        <w:tabs>
          <w:tab w:leader="none" w:pos="109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Indebtedness of the Borrower and/or any Restricted Subsidiary in an aggregate outstanding principal amount not to exceed the greater of $118,000,000 and 50% of Consolidated Adjusted EBITDA as of the last day of the most recently ended Test Period;</w:t>
      </w:r>
    </w:p>
    <w:p>
      <w:pPr>
        <w:spacing w:after="0" w:line="148" w:lineRule="exact"/>
        <w:rPr>
          <w:rFonts w:ascii="Arial" w:cs="Arial" w:eastAsia="Arial" w:hAnsi="Arial"/>
          <w:sz w:val="17"/>
          <w:szCs w:val="17"/>
          <w:color w:val="auto"/>
        </w:rPr>
      </w:pPr>
    </w:p>
    <w:p>
      <w:pPr>
        <w:ind w:left="1084" w:hanging="335"/>
        <w:spacing w:after="0"/>
        <w:tabs>
          <w:tab w:leader="none" w:pos="108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jc w:val="both"/>
        <w:ind w:left="4" w:firstLine="745"/>
        <w:spacing w:after="0" w:line="282" w:lineRule="auto"/>
        <w:tabs>
          <w:tab w:leader="none" w:pos="110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Indebtedness of the Borrower and/or any Restricted Subsidiary so long as, after giving effect thereto on a Pro Forma Basis, including the application of the proceeds thereof (in each case, without “netting” the cash proceeds of the applicable Indebtedness being incurred or any other concurrent incurrence of Indebtedness in connection therewith), (i) (A) if such Indebtedness is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 on the Collateral securing the Secured Obligations, the First Lien Leverage Ratio does not exceed 3.65:1.00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Indebtedness is in the form of secured term loans (other than customary bridge loans with a maturity date not longer than one year that are exchangeable or convertible into, or are intended to be refinanced, with other debt instruments)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Initial Term Loans in right of payment and with respect to security, the MFN Protection (but subject to exceptions and qualifications thereto) shall apply to such Indebtedness), (B) if such Indebtedness is secured by a Lien on the Collateral that is junior to the Lien on the Collateral securing the Secured Obligations, at the election of the Borrower, either (x) the Secured Leverage Ratio does not exceed 4.65:1.00 or</w:t>
      </w:r>
    </w:p>
    <w:p>
      <w:pPr>
        <w:spacing w:after="0" w:line="3" w:lineRule="exact"/>
        <w:rPr>
          <w:rFonts w:ascii="Arial" w:cs="Arial" w:eastAsia="Arial" w:hAnsi="Arial"/>
          <w:sz w:val="16"/>
          <w:szCs w:val="16"/>
          <w:color w:val="auto"/>
        </w:rPr>
      </w:pPr>
    </w:p>
    <w:p>
      <w:pPr>
        <w:jc w:val="both"/>
        <w:ind w:left="4" w:hanging="4"/>
        <w:spacing w:after="0" w:line="280" w:lineRule="auto"/>
        <w:tabs>
          <w:tab w:leader="none" w:pos="27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Interest Coverage Ratio is not less than 2.00:1.00 and (C) if such Indebtedness is unsecured or is not secured by all or a portion of the Collateral, at the election of the Borrower, either (x) the Total Leverage Ratio does not exceed5.15:1.00 or (y) the Interest Coverage Ratio is not less than 2.00:1.00, (ii) the Liens securing any such Indebtedness that is subordinated (or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the case of </w:t>
      </w:r>
      <w:r>
        <w:rPr>
          <w:rFonts w:ascii="Arial" w:cs="Arial" w:eastAsia="Arial" w:hAnsi="Arial"/>
          <w:sz w:val="16"/>
          <w:szCs w:val="16"/>
          <w:u w:val="single" w:color="auto"/>
          <w:color w:val="auto"/>
        </w:rPr>
        <w:t>clause (i)</w:t>
      </w:r>
    </w:p>
    <w:p>
      <w:pPr>
        <w:spacing w:after="0" w:line="1" w:lineRule="exact"/>
        <w:rPr>
          <w:rFonts w:ascii="Arial" w:cs="Arial" w:eastAsia="Arial" w:hAnsi="Arial"/>
          <w:sz w:val="16"/>
          <w:szCs w:val="16"/>
          <w:color w:val="auto"/>
        </w:rPr>
      </w:pPr>
    </w:p>
    <w:p>
      <w:pPr>
        <w:jc w:val="both"/>
        <w:ind w:left="4"/>
        <w:spacing w:after="0" w:line="280" w:lineRule="auto"/>
        <w:rPr>
          <w:rFonts w:ascii="Arial" w:cs="Arial" w:eastAsia="Arial" w:hAnsi="Arial"/>
          <w:sz w:val="16"/>
          <w:szCs w:val="16"/>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 xml:space="preserve">) to the Liens securing the Secured Obligations shall be subject to an Acceptable Intercreditor Agreement), (iii) such Indebtedness shall be subject to the conditions provided in </w:t>
      </w:r>
      <w:r>
        <w:rPr>
          <w:rFonts w:ascii="Arial" w:cs="Arial" w:eastAsia="Arial" w:hAnsi="Arial"/>
          <w:sz w:val="16"/>
          <w:szCs w:val="16"/>
          <w:u w:val="single" w:color="auto"/>
          <w:color w:val="auto"/>
        </w:rPr>
        <w:t>Sections 2.22(a)(vi)(A)</w:t>
      </w:r>
      <w:r>
        <w:rPr>
          <w:rFonts w:ascii="Arial" w:cs="Arial" w:eastAsia="Arial" w:hAnsi="Arial"/>
          <w:sz w:val="16"/>
          <w:szCs w:val="16"/>
          <w:color w:val="auto"/>
        </w:rPr>
        <w:t xml:space="preserve"> (but solely in the case of Indebtedness incurred pursuant to </w:t>
      </w:r>
      <w:r>
        <w:rPr>
          <w:rFonts w:ascii="Arial" w:cs="Arial" w:eastAsia="Arial" w:hAnsi="Arial"/>
          <w:sz w:val="16"/>
          <w:szCs w:val="16"/>
          <w:u w:val="single" w:color="auto"/>
          <w:color w:val="auto"/>
        </w:rPr>
        <w:t>clause (i)(A)</w:t>
      </w:r>
      <w:r>
        <w:rPr>
          <w:rFonts w:ascii="Arial" w:cs="Arial" w:eastAsia="Arial" w:hAnsi="Arial"/>
          <w:sz w:val="16"/>
          <w:szCs w:val="16"/>
          <w:color w:val="auto"/>
        </w:rPr>
        <w:t xml:space="preserve"> above, subject to the Permitted Earlier Maturity Indebtedness Exception)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(but solely in the case of Indebtedness incurred pursuant to </w:t>
      </w:r>
      <w:r>
        <w:rPr>
          <w:rFonts w:ascii="Arial" w:cs="Arial" w:eastAsia="Arial" w:hAnsi="Arial"/>
          <w:sz w:val="16"/>
          <w:szCs w:val="16"/>
          <w:u w:val="single" w:color="auto"/>
          <w:color w:val="auto"/>
        </w:rPr>
        <w:t>clause (i)</w:t>
      </w:r>
    </w:p>
    <w:p>
      <w:pPr>
        <w:spacing w:after="0" w:line="1" w:lineRule="exact"/>
        <w:rPr>
          <w:rFonts w:ascii="Arial" w:cs="Arial" w:eastAsia="Arial" w:hAnsi="Arial"/>
          <w:sz w:val="16"/>
          <w:szCs w:val="16"/>
          <w:color w:val="auto"/>
        </w:rPr>
      </w:pPr>
    </w:p>
    <w:p>
      <w:pPr>
        <w:ind w:left="4"/>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above, subject to the Permitted Earlier Maturity Indebtedness Exception), </w:t>
      </w:r>
      <w:r>
        <w:rPr>
          <w:rFonts w:ascii="Arial" w:cs="Arial" w:eastAsia="Arial" w:hAnsi="Arial"/>
          <w:sz w:val="18"/>
          <w:szCs w:val="18"/>
          <w:u w:val="single" w:color="auto"/>
          <w:color w:val="auto"/>
        </w:rPr>
        <w:t>(a)(x)(B)(x)</w:t>
      </w:r>
      <w:r>
        <w:rPr>
          <w:rFonts w:ascii="Arial" w:cs="Arial" w:eastAsia="Arial" w:hAnsi="Arial"/>
          <w:sz w:val="18"/>
          <w:szCs w:val="18"/>
          <w:color w:val="auto"/>
        </w:rPr>
        <w:t xml:space="preserve">, </w:t>
      </w:r>
      <w:r>
        <w:rPr>
          <w:rFonts w:ascii="Arial" w:cs="Arial" w:eastAsia="Arial" w:hAnsi="Arial"/>
          <w:sz w:val="18"/>
          <w:szCs w:val="18"/>
          <w:u w:val="single" w:color="auto"/>
          <w:color w:val="auto"/>
        </w:rPr>
        <w:t>(a)(x)(B)(y)</w:t>
      </w:r>
      <w:r>
        <w:rPr>
          <w:rFonts w:ascii="Arial" w:cs="Arial" w:eastAsia="Arial" w:hAnsi="Arial"/>
          <w:sz w:val="18"/>
          <w:szCs w:val="18"/>
          <w:color w:val="auto"/>
        </w:rPr>
        <w:t xml:space="preserve"> (solely in the case of Indebtedness incurred pursuant to </w:t>
      </w:r>
      <w:r>
        <w:rPr>
          <w:rFonts w:ascii="Arial" w:cs="Arial" w:eastAsia="Arial" w:hAnsi="Arial"/>
          <w:sz w:val="18"/>
          <w:szCs w:val="18"/>
          <w:u w:val="single" w:color="auto"/>
          <w:color w:val="auto"/>
        </w:rPr>
        <w:t>clause (i)(A)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w:t>
      </w:r>
      <w:r>
        <w:rPr>
          <w:rFonts w:ascii="Arial" w:cs="Arial" w:eastAsia="Arial" w:hAnsi="Arial"/>
          <w:sz w:val="18"/>
          <w:szCs w:val="18"/>
          <w:u w:val="single" w:color="auto"/>
          <w:color w:val="auto"/>
        </w:rPr>
        <w:t>(a)(xi)(B)</w:t>
      </w:r>
      <w:r>
        <w:rPr>
          <w:rFonts w:ascii="Arial" w:cs="Arial" w:eastAsia="Arial" w:hAnsi="Arial"/>
          <w:sz w:val="18"/>
          <w:szCs w:val="18"/>
          <w:color w:val="auto"/>
        </w:rPr>
        <w:t>.</w:t>
      </w:r>
    </w:p>
    <w:p>
      <w:pPr>
        <w:spacing w:after="0" w:line="185" w:lineRule="exact"/>
        <w:rPr>
          <w:rFonts w:ascii="Arial" w:cs="Arial" w:eastAsia="Arial" w:hAnsi="Arial"/>
          <w:sz w:val="16"/>
          <w:szCs w:val="16"/>
          <w:color w:val="auto"/>
        </w:rPr>
      </w:pPr>
    </w:p>
    <w:p>
      <w:pPr>
        <w:ind w:left="1084" w:hanging="335"/>
        <w:spacing w:after="0"/>
        <w:tabs>
          <w:tab w:leader="none" w:pos="108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jc w:val="both"/>
        <w:ind w:left="4" w:firstLine="745"/>
        <w:spacing w:after="0" w:line="262" w:lineRule="auto"/>
        <w:tabs>
          <w:tab w:leader="none" w:pos="109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incurred in connection with Sale and Lease-Back Transactions in an aggregate outstanding principal amount not to exceed the greater of $70,500,000 and 30% of Consolidated Adjusted EBITDA as of the last day of the most recently ended Test Period;</w:t>
      </w:r>
    </w:p>
    <w:p>
      <w:pPr>
        <w:spacing w:after="0" w:line="182" w:lineRule="exact"/>
        <w:rPr>
          <w:rFonts w:ascii="Arial" w:cs="Arial" w:eastAsia="Arial" w:hAnsi="Arial"/>
          <w:sz w:val="18"/>
          <w:szCs w:val="18"/>
          <w:color w:val="auto"/>
        </w:rPr>
      </w:pPr>
    </w:p>
    <w:p>
      <w:pPr>
        <w:ind w:left="1084" w:hanging="335"/>
        <w:spacing w:after="0"/>
        <w:tabs>
          <w:tab w:leader="none" w:pos="108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Incremental Equivalent Debt;</w:t>
      </w:r>
    </w:p>
    <w:p>
      <w:pPr>
        <w:spacing w:after="0" w:line="223" w:lineRule="exact"/>
        <w:rPr>
          <w:sz w:val="20"/>
          <w:szCs w:val="20"/>
          <w:color w:val="auto"/>
        </w:rPr>
      </w:pPr>
    </w:p>
    <w:p>
      <w:pPr>
        <w:jc w:val="both"/>
        <w:ind w:left="4" w:firstLine="745"/>
        <w:spacing w:after="0" w:line="255" w:lineRule="auto"/>
        <w:tabs>
          <w:tab w:leader="none" w:pos="11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Indebtedness (including obligations in respect of letters of credit, bank guaranties, surety bonds, performance bonds or similar instruments with respect to such Indebtedness) incurred by the Borrower and/or any Restricted Subsidiary in respect of workers compensation claims, unemployment insurance (including premiums related thereto), other types of social security, pension obligations, vacation pay, health, disability or other employee benefits or property, casualty or liability insurance or self-insurance or other Indebtedness with respect to reimbursement-type obligations regarding workers compensation claims;</w:t>
      </w:r>
    </w:p>
    <w:p>
      <w:pPr>
        <w:spacing w:after="0" w:line="190" w:lineRule="exact"/>
        <w:rPr>
          <w:rFonts w:ascii="Arial" w:cs="Arial" w:eastAsia="Arial" w:hAnsi="Arial"/>
          <w:sz w:val="18"/>
          <w:szCs w:val="18"/>
          <w:color w:val="auto"/>
        </w:rPr>
      </w:pPr>
    </w:p>
    <w:p>
      <w:pPr>
        <w:ind w:left="1084" w:hanging="335"/>
        <w:spacing w:after="0"/>
        <w:tabs>
          <w:tab w:leader="none" w:pos="108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Indebtedness in an aggregate amount not to exceed the Available RP Capacity Amount;</w:t>
      </w:r>
    </w:p>
    <w:p>
      <w:pPr>
        <w:spacing w:after="0" w:line="223" w:lineRule="exact"/>
        <w:rPr>
          <w:sz w:val="20"/>
          <w:szCs w:val="20"/>
          <w:color w:val="auto"/>
        </w:rPr>
      </w:pPr>
    </w:p>
    <w:p>
      <w:pPr>
        <w:ind w:left="4744"/>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176" w:name="page177"/>
    <w:bookmarkEnd w:id="176"/>
    <w:p>
      <w:pPr>
        <w:jc w:val="both"/>
        <w:ind w:left="760" w:firstLine="745"/>
        <w:spacing w:after="0" w:line="262" w:lineRule="auto"/>
        <w:tabs>
          <w:tab w:leader="none" w:pos="184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in respect of any letter of credit or bank guarantee issued in favor of any Issuing Bank or the Swingline Lender to support any Defaulting Lender’s participation in Letters of Credit issued, or Swingline Loans made, hereunder;</w:t>
      </w:r>
    </w:p>
    <w:p>
      <w:pPr>
        <w:spacing w:after="0" w:line="182" w:lineRule="exact"/>
        <w:rPr>
          <w:rFonts w:ascii="Arial" w:cs="Arial" w:eastAsia="Arial" w:hAnsi="Arial"/>
          <w:sz w:val="18"/>
          <w:szCs w:val="18"/>
          <w:color w:val="auto"/>
        </w:rPr>
      </w:pPr>
    </w:p>
    <w:p>
      <w:pPr>
        <w:ind w:left="1840" w:hanging="335"/>
        <w:spacing w:after="0"/>
        <w:tabs>
          <w:tab w:leader="none" w:pos="18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supported by any Letter of Credit;</w:t>
      </w:r>
    </w:p>
    <w:p>
      <w:pPr>
        <w:spacing w:after="0" w:line="222" w:lineRule="exact"/>
        <w:rPr>
          <w:rFonts w:ascii="Arial" w:cs="Arial" w:eastAsia="Arial" w:hAnsi="Arial"/>
          <w:sz w:val="18"/>
          <w:szCs w:val="18"/>
          <w:color w:val="auto"/>
        </w:rPr>
      </w:pPr>
    </w:p>
    <w:p>
      <w:pPr>
        <w:jc w:val="both"/>
        <w:ind w:left="760" w:firstLine="745"/>
        <w:spacing w:after="0" w:line="262" w:lineRule="auto"/>
        <w:tabs>
          <w:tab w:leader="none" w:pos="184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760" w:firstLine="745"/>
        <w:spacing w:after="0" w:line="275" w:lineRule="auto"/>
        <w:tabs>
          <w:tab w:leader="none" w:pos="186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w:t>
      </w:r>
    </w:p>
    <w:p>
      <w:pPr>
        <w:spacing w:after="0" w:line="170" w:lineRule="exact"/>
        <w:rPr>
          <w:rFonts w:ascii="Arial" w:cs="Arial" w:eastAsia="Arial" w:hAnsi="Arial"/>
          <w:sz w:val="18"/>
          <w:szCs w:val="18"/>
          <w:color w:val="auto"/>
        </w:rPr>
      </w:pPr>
    </w:p>
    <w:p>
      <w:pPr>
        <w:ind w:left="760" w:firstLine="745"/>
        <w:spacing w:after="0" w:line="275" w:lineRule="auto"/>
        <w:tabs>
          <w:tab w:leader="none" w:pos="186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Indebtedness incurred by a Securitization Subsidiary in a Qualified Securitization Financing that is not recourse (except for Standard Securitization Undertakings) to the Borrower or any of the Restricted Subsidiaries; and</w:t>
      </w:r>
    </w:p>
    <w:p>
      <w:pPr>
        <w:spacing w:after="0" w:line="170" w:lineRule="exact"/>
        <w:rPr>
          <w:rFonts w:ascii="Arial" w:cs="Arial" w:eastAsia="Arial" w:hAnsi="Arial"/>
          <w:sz w:val="18"/>
          <w:szCs w:val="18"/>
          <w:color w:val="auto"/>
        </w:rPr>
      </w:pPr>
    </w:p>
    <w:p>
      <w:pPr>
        <w:jc w:val="both"/>
        <w:ind w:left="760" w:firstLine="745"/>
        <w:spacing w:after="0" w:line="262" w:lineRule="auto"/>
        <w:tabs>
          <w:tab w:leader="none" w:pos="183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spacing w:after="0" w:line="18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auto"/>
        </w:rPr>
        <w:t>Section 6.02.Liens</w:t>
      </w:r>
      <w:r>
        <w:rPr>
          <w:rFonts w:ascii="Arial" w:cs="Arial" w:eastAsia="Arial" w:hAnsi="Arial"/>
          <w:sz w:val="18"/>
          <w:szCs w:val="18"/>
          <w:color w:val="auto"/>
        </w:rPr>
        <w:t>.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spacing w:after="0" w:line="182" w:lineRule="exact"/>
        <w:rPr>
          <w:sz w:val="20"/>
          <w:szCs w:val="20"/>
          <w:color w:val="auto"/>
        </w:rPr>
      </w:pPr>
    </w:p>
    <w:p>
      <w:pPr>
        <w:ind w:left="1840" w:hanging="335"/>
        <w:spacing w:after="0"/>
        <w:tabs>
          <w:tab w:leader="none" w:pos="18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Liens securing the Secured Obligations created pursuant to the Loan Documents;</w:t>
      </w:r>
    </w:p>
    <w:p>
      <w:pPr>
        <w:spacing w:after="0" w:line="222" w:lineRule="exact"/>
        <w:rPr>
          <w:rFonts w:ascii="Arial" w:cs="Arial" w:eastAsia="Arial" w:hAnsi="Arial"/>
          <w:sz w:val="18"/>
          <w:szCs w:val="18"/>
          <w:color w:val="auto"/>
        </w:rPr>
      </w:pPr>
    </w:p>
    <w:p>
      <w:pPr>
        <w:ind w:left="760" w:firstLine="745"/>
        <w:spacing w:after="0" w:line="275" w:lineRule="auto"/>
        <w:tabs>
          <w:tab w:leader="none" w:pos="183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Liens for Taxes which (i) are not then due and payable, or (ii) are being contested in accordance with, or are otherwise not required to be paid under,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760" w:firstLine="745"/>
        <w:spacing w:after="0" w:line="289" w:lineRule="auto"/>
        <w:tabs>
          <w:tab w:leader="none" w:pos="187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statutory or common law Liens (and rights of set-off) of landlords, banks, carriers, warehousemen, mechanics, repairmen, workmen and materialmen, and other Liens imposed by applicable Requirements of Law, in each case incurred in the ordinary course of business</w:t>
      </w:r>
    </w:p>
    <w:p>
      <w:pPr>
        <w:spacing w:after="0" w:line="1" w:lineRule="exact"/>
        <w:rPr>
          <w:rFonts w:ascii="Arial" w:cs="Arial" w:eastAsia="Arial" w:hAnsi="Arial"/>
          <w:sz w:val="16"/>
          <w:szCs w:val="16"/>
          <w:color w:val="auto"/>
        </w:rPr>
      </w:pPr>
    </w:p>
    <w:p>
      <w:pPr>
        <w:jc w:val="both"/>
        <w:ind w:left="760" w:hanging="4"/>
        <w:spacing w:after="0" w:line="300" w:lineRule="auto"/>
        <w:tabs>
          <w:tab w:leader="none" w:pos="97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amounts not yet overdue by more than 60 days, (ii) for amounts that are overdue by more than 60 days and that are being contested in good faith by appropriate proceedings, so long as any reserves or other appropriate provisions required by GAAP have been made for any such contested amounts or (iii) with respect to which the failure to make payment could not reasonably be expected to have a Material Adverse Effect;</w:t>
      </w:r>
    </w:p>
    <w:p>
      <w:pPr>
        <w:spacing w:after="0" w:line="155" w:lineRule="exact"/>
        <w:rPr>
          <w:rFonts w:ascii="Arial" w:cs="Arial" w:eastAsia="Arial" w:hAnsi="Arial"/>
          <w:sz w:val="16"/>
          <w:szCs w:val="16"/>
          <w:color w:val="auto"/>
        </w:rPr>
      </w:pPr>
    </w:p>
    <w:p>
      <w:pPr>
        <w:jc w:val="both"/>
        <w:ind w:left="760" w:firstLine="745"/>
        <w:spacing w:after="0" w:line="269" w:lineRule="auto"/>
        <w:tabs>
          <w:tab w:leader="none" w:pos="1835" w:val="left"/>
        </w:tabs>
        <w:numPr>
          <w:ilvl w:val="1"/>
          <w:numId w:val="206"/>
        </w:numPr>
        <w:rPr>
          <w:rFonts w:ascii="Arial" w:cs="Arial" w:eastAsia="Arial" w:hAnsi="Arial"/>
          <w:sz w:val="17"/>
          <w:szCs w:val="17"/>
          <w:color w:val="auto"/>
        </w:rPr>
      </w:pPr>
      <w:r>
        <w:rPr>
          <w:rFonts w:ascii="Arial" w:cs="Arial" w:eastAsia="Arial" w:hAnsi="Arial"/>
          <w:sz w:val="17"/>
          <w:szCs w:val="17"/>
          <w:color w:val="auto"/>
        </w:rPr>
        <w:t xml:space="preserve">Liens incurred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(x) any liability for reimbursement or indemnification obligations of insurance carriers providing property, casualty, liability or other insurance to Holdings, the Borrower and its Subsidiaries or (y) leases or licenses of property otherwise permitted by this Agreement and (iv) to secure Obligations in respect of letters of credit, bank guaranties, surety bonds, performance bonds or similar instruments posted with respect to the items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w:t>
      </w:r>
    </w:p>
    <w:p>
      <w:pPr>
        <w:spacing w:after="0" w:line="182" w:lineRule="exact"/>
        <w:rPr>
          <w:rFonts w:ascii="Arial" w:cs="Arial" w:eastAsia="Arial" w:hAnsi="Arial"/>
          <w:sz w:val="17"/>
          <w:szCs w:val="17"/>
          <w:color w:val="auto"/>
        </w:rPr>
      </w:pPr>
    </w:p>
    <w:p>
      <w:pPr>
        <w:jc w:val="both"/>
        <w:ind w:left="760" w:firstLine="745"/>
        <w:spacing w:after="0" w:line="262" w:lineRule="auto"/>
        <w:tabs>
          <w:tab w:leader="none" w:pos="1861" w:val="left"/>
        </w:tabs>
        <w:numPr>
          <w:ilvl w:val="1"/>
          <w:numId w:val="206"/>
        </w:numPr>
        <w:rPr>
          <w:rFonts w:ascii="Arial" w:cs="Arial" w:eastAsia="Arial" w:hAnsi="Arial"/>
          <w:sz w:val="18"/>
          <w:szCs w:val="18"/>
          <w:color w:val="auto"/>
        </w:rPr>
      </w:pPr>
      <w:r>
        <w:rPr>
          <w:rFonts w:ascii="Arial" w:cs="Arial" w:eastAsia="Arial" w:hAnsi="Arial"/>
          <w:sz w:val="18"/>
          <w:szCs w:val="18"/>
          <w:color w:val="auto"/>
        </w:rPr>
        <w:t>Liens consisting of easements, rights-of-way, restrictions (including zoning restrictions), encroachments, protrusions and other similar encumbrances and minor defects or irregularities in title, in each case which do not, in the aggregate, materially interfere with the ordinary conduct of the business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77" w:name="page178"/>
    <w:bookmarkEnd w:id="177"/>
    <w:p>
      <w:pPr>
        <w:ind w:left="4"/>
        <w:spacing w:after="0"/>
        <w:rPr>
          <w:sz w:val="20"/>
          <w:szCs w:val="20"/>
          <w:color w:val="auto"/>
        </w:rPr>
      </w:pPr>
      <w:r>
        <w:rPr>
          <w:rFonts w:ascii="Arial" w:cs="Arial" w:eastAsia="Arial" w:hAnsi="Arial"/>
          <w:sz w:val="18"/>
          <w:szCs w:val="18"/>
          <w:color w:val="auto"/>
        </w:rPr>
        <w:t>Borrower and/or its Restricted Subsidiaries, taken as a whole, or the use of the affected property for its intended purpose;</w:t>
      </w:r>
    </w:p>
    <w:p>
      <w:pPr>
        <w:spacing w:after="0" w:line="223" w:lineRule="exact"/>
        <w:rPr>
          <w:sz w:val="20"/>
          <w:szCs w:val="20"/>
          <w:color w:val="auto"/>
        </w:rPr>
      </w:pPr>
    </w:p>
    <w:p>
      <w:pPr>
        <w:jc w:val="both"/>
        <w:ind w:left="4" w:firstLine="745"/>
        <w:spacing w:after="0" w:line="289" w:lineRule="auto"/>
        <w:tabs>
          <w:tab w:leader="none" w:pos="108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subordination of the interest of the lessee or sub-lessee under such lease to any restriction or encumbrance referred to in the preceding </w:t>
      </w:r>
      <w:r>
        <w:rPr>
          <w:rFonts w:ascii="Arial" w:cs="Arial" w:eastAsia="Arial" w:hAnsi="Arial"/>
          <w:sz w:val="16"/>
          <w:szCs w:val="16"/>
          <w:u w:val="single" w:color="auto"/>
          <w:color w:val="auto"/>
        </w:rPr>
        <w:t>clause</w:t>
      </w:r>
    </w:p>
    <w:p>
      <w:pPr>
        <w:spacing w:after="0" w:line="30" w:lineRule="exact"/>
        <w:rPr>
          <w:rFonts w:ascii="Arial" w:cs="Arial" w:eastAsia="Arial" w:hAnsi="Arial"/>
          <w:sz w:val="16"/>
          <w:szCs w:val="16"/>
          <w:color w:val="auto"/>
        </w:rPr>
      </w:pPr>
    </w:p>
    <w:p>
      <w:pPr>
        <w:ind w:left="264" w:hanging="264"/>
        <w:spacing w:after="0"/>
        <w:tabs>
          <w:tab w:leader="none" w:pos="264" w:val="left"/>
        </w:tabs>
        <w:numPr>
          <w:ilvl w:val="0"/>
          <w:numId w:val="209"/>
        </w:numPr>
        <w:rPr>
          <w:rFonts w:ascii="Arial" w:cs="Arial" w:eastAsia="Arial" w:hAnsi="Arial"/>
          <w:sz w:val="18"/>
          <w:szCs w:val="18"/>
          <w:u w:val="single" w:color="auto"/>
          <w:color w:val="auto"/>
        </w:rPr>
      </w:pPr>
      <w:r>
        <w:rPr>
          <w:rFonts w:ascii="Arial" w:cs="Arial" w:eastAsia="Arial" w:hAnsi="Arial"/>
          <w:sz w:val="18"/>
          <w:szCs w:val="18"/>
          <w:color w:val="auto"/>
        </w:rPr>
        <w:t>;</w:t>
      </w:r>
    </w:p>
    <w:p>
      <w:pPr>
        <w:spacing w:after="0" w:line="208" w:lineRule="exact"/>
        <w:rPr>
          <w:rFonts w:ascii="Arial" w:cs="Arial" w:eastAsia="Arial" w:hAnsi="Arial"/>
          <w:sz w:val="18"/>
          <w:szCs w:val="18"/>
          <w:u w:val="single" w:color="auto"/>
          <w:color w:val="auto"/>
        </w:rPr>
      </w:pPr>
    </w:p>
    <w:p>
      <w:pPr>
        <w:jc w:val="both"/>
        <w:ind w:left="4" w:firstLine="745"/>
        <w:spacing w:after="0" w:line="262" w:lineRule="auto"/>
        <w:tabs>
          <w:tab w:leader="none" w:pos="108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Liens (i) solely on any Cash earnest money deposits made by the Borrower and/or any of its Restricted Subsidiaries in connection with any letter of intent or purchase agreement with respect to any Investment permitted hereunder and (ii) consisting of an agreement to Dispose of any property in a Disposition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4" w:firstLine="745"/>
        <w:spacing w:after="0" w:line="339" w:lineRule="auto"/>
        <w:tabs>
          <w:tab w:leader="none" w:pos="108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purported Liens evidenced by the filing of UCC financing statements relating solely to operating leases or consignment or bailee arrangements entered into in the ordinary course of business, and Liens arising from precautionary UCC financing statements or similar filings;</w:t>
      </w:r>
    </w:p>
    <w:p>
      <w:pPr>
        <w:spacing w:after="0" w:line="125" w:lineRule="exact"/>
        <w:rPr>
          <w:rFonts w:ascii="Arial" w:cs="Arial" w:eastAsia="Arial" w:hAnsi="Arial"/>
          <w:sz w:val="16"/>
          <w:szCs w:val="16"/>
          <w:color w:val="auto"/>
        </w:rPr>
      </w:pPr>
    </w:p>
    <w:p>
      <w:pPr>
        <w:ind w:left="4" w:firstLine="745"/>
        <w:spacing w:after="0" w:line="275" w:lineRule="auto"/>
        <w:tabs>
          <w:tab w:leader="none" w:pos="109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jc w:val="both"/>
        <w:ind w:left="4" w:firstLine="745"/>
        <w:spacing w:after="0" w:line="262" w:lineRule="auto"/>
        <w:tabs>
          <w:tab w:leader="none" w:pos="108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Liens in connection with any zoning, building or similar Requirement of Law or right reserved to or vested in any Governmental Authority to control or regulate the use of any or dimensions of real property or the structure thereon, including Liens in connection with any condemnation or eminent domain proceeding or compulsory purchase order;</w:t>
      </w:r>
    </w:p>
    <w:p>
      <w:pPr>
        <w:spacing w:after="0" w:line="182" w:lineRule="exact"/>
        <w:rPr>
          <w:rFonts w:ascii="Arial" w:cs="Arial" w:eastAsia="Arial" w:hAnsi="Arial"/>
          <w:sz w:val="18"/>
          <w:szCs w:val="18"/>
          <w:color w:val="auto"/>
        </w:rPr>
      </w:pPr>
    </w:p>
    <w:p>
      <w:pPr>
        <w:jc w:val="both"/>
        <w:ind w:left="4" w:firstLine="745"/>
        <w:spacing w:after="0" w:line="269" w:lineRule="auto"/>
        <w:tabs>
          <w:tab w:leader="none" w:pos="112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6.01(p)</w:t>
      </w:r>
      <w:r>
        <w:rPr>
          <w:rFonts w:ascii="Arial" w:cs="Arial" w:eastAsia="Arial" w:hAnsi="Arial"/>
          <w:sz w:val="17"/>
          <w:szCs w:val="17"/>
          <w:color w:val="auto"/>
        </w:rPr>
        <w:t xml:space="preserve"> (solely with respect to the permitted refinancing of (x) Indebtedness permitted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(q)(ii)(A), (q)(ii)(B)</w:t>
      </w:r>
      <w:r>
        <w:rPr>
          <w:rFonts w:ascii="Arial" w:cs="Arial" w:eastAsia="Arial" w:hAnsi="Arial"/>
          <w:sz w:val="17"/>
          <w:szCs w:val="17"/>
          <w:color w:val="auto"/>
        </w:rPr>
        <w:t xml:space="preserve">, </w:t>
      </w:r>
      <w:r>
        <w:rPr>
          <w:rFonts w:ascii="Arial" w:cs="Arial" w:eastAsia="Arial" w:hAnsi="Arial"/>
          <w:sz w:val="17"/>
          <w:szCs w:val="17"/>
          <w:u w:val="single" w:color="auto"/>
          <w:color w:val="auto"/>
        </w:rPr>
        <w:t>(w)(i)(A), (w)(i)(B)</w:t>
      </w:r>
      <w:r>
        <w:rPr>
          <w:rFonts w:ascii="Arial" w:cs="Arial" w:eastAsia="Arial" w:hAnsi="Arial"/>
          <w:sz w:val="17"/>
          <w:szCs w:val="17"/>
          <w:color w:val="auto"/>
        </w:rPr>
        <w:t xml:space="preserve">,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(z)</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Indebtedness incurred pursuant to </w:t>
      </w:r>
      <w:r>
        <w:rPr>
          <w:rFonts w:ascii="Arial" w:cs="Arial" w:eastAsia="Arial" w:hAnsi="Arial"/>
          <w:sz w:val="17"/>
          <w:szCs w:val="17"/>
          <w:u w:val="single" w:color="auto"/>
          <w:color w:val="auto"/>
        </w:rPr>
        <w:t>Section 6.01(z)</w:t>
      </w:r>
      <w:r>
        <w:rPr>
          <w:rFonts w:ascii="Arial" w:cs="Arial" w:eastAsia="Arial" w:hAnsi="Arial"/>
          <w:sz w:val="17"/>
          <w:szCs w:val="17"/>
          <w:color w:val="auto"/>
        </w:rPr>
        <w:t xml:space="preserve">, such Liens are secured by Collateral) and (y) Indebtedness that is secured in reliance on </w:t>
      </w:r>
      <w:r>
        <w:rPr>
          <w:rFonts w:ascii="Arial" w:cs="Arial" w:eastAsia="Arial" w:hAnsi="Arial"/>
          <w:sz w:val="17"/>
          <w:szCs w:val="17"/>
          <w:u w:val="single" w:color="auto"/>
          <w:color w:val="auto"/>
        </w:rPr>
        <w:t>Section 6.02(m)</w:t>
      </w:r>
      <w:r>
        <w:rPr>
          <w:rFonts w:ascii="Arial" w:cs="Arial" w:eastAsia="Arial" w:hAnsi="Arial"/>
          <w:sz w:val="17"/>
          <w:szCs w:val="17"/>
          <w:color w:val="auto"/>
        </w:rPr>
        <w:t xml:space="preserve"> or (u) (without duplication of any amount outstanding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such Lien extends to any asset not covered by the Lien securing the Indebtedness that is being refinanced and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Acceptable Intercreditor Agreement, i;</w:t>
      </w:r>
    </w:p>
    <w:p>
      <w:pPr>
        <w:spacing w:after="0" w:line="178" w:lineRule="exact"/>
        <w:rPr>
          <w:rFonts w:ascii="Arial" w:cs="Arial" w:eastAsia="Arial" w:hAnsi="Arial"/>
          <w:sz w:val="17"/>
          <w:szCs w:val="17"/>
          <w:color w:val="auto"/>
        </w:rPr>
      </w:pPr>
    </w:p>
    <w:p>
      <w:pPr>
        <w:jc w:val="both"/>
        <w:ind w:left="4" w:firstLine="745"/>
        <w:spacing w:after="0" w:line="253" w:lineRule="auto"/>
        <w:tabs>
          <w:tab w:leader="none" w:pos="110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to the extent securing Indebtedness with an outstanding principal amount in excess of $10,000,000, described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and any modification, replacement, refinancing,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such Lien extends to any additional property other than (A) after-acquired property that is affixed or incorporated into the property covered by such Lien or financed by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proceeds and products thereof, replacements, accessions or additions thereto and improvements thereon (it being understood that individual financings of the type permitted under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firstLine="745"/>
        <w:spacing w:after="0" w:line="275" w:lineRule="auto"/>
        <w:tabs>
          <w:tab w:leader="none" w:pos="109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in an aggregate outstanding principal amount not to exceed the greater of $70,500,000 and 30% of Consolidated Adjusted EBITDA as of the last day of the most recently ended Test Period;</w:t>
      </w:r>
    </w:p>
    <w:p>
      <w:pPr>
        <w:spacing w:after="0" w:line="171" w:lineRule="exact"/>
        <w:rPr>
          <w:sz w:val="20"/>
          <w:szCs w:val="20"/>
          <w:color w:val="auto"/>
        </w:rPr>
      </w:pPr>
    </w:p>
    <w:p>
      <w:pPr>
        <w:ind w:left="4744"/>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178" w:name="page179"/>
    <w:bookmarkEnd w:id="178"/>
    <w:p>
      <w:pPr>
        <w:jc w:val="both"/>
        <w:ind w:left="-360" w:firstLine="745"/>
        <w:spacing w:after="0" w:line="277" w:lineRule="auto"/>
        <w:tabs>
          <w:tab w:leader="none" w:pos="73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provided by any lender may be cross-collateralized to other financings of such type provided by such lender or its affiliates);</w:t>
      </w:r>
    </w:p>
    <w:p>
      <w:pPr>
        <w:spacing w:after="0" w:line="172" w:lineRule="exact"/>
        <w:rPr>
          <w:rFonts w:ascii="Arial" w:cs="Arial" w:eastAsia="Arial" w:hAnsi="Arial"/>
          <w:sz w:val="17"/>
          <w:szCs w:val="17"/>
          <w:color w:val="auto"/>
        </w:rPr>
      </w:pPr>
    </w:p>
    <w:p>
      <w:pPr>
        <w:jc w:val="both"/>
        <w:ind w:left="-360" w:firstLine="745"/>
        <w:spacing w:after="0" w:line="254" w:lineRule="auto"/>
        <w:tabs>
          <w:tab w:leader="none" w:pos="72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(i) Liens securing Indebtedness permitted pursuant to </w:t>
      </w:r>
      <w:r>
        <w:rPr>
          <w:rFonts w:ascii="Arial" w:cs="Arial" w:eastAsia="Arial" w:hAnsi="Arial"/>
          <w:sz w:val="18"/>
          <w:szCs w:val="18"/>
          <w:u w:val="single" w:color="auto"/>
          <w:color w:val="auto"/>
        </w:rPr>
        <w:t>Section 6.01(n)</w:t>
      </w:r>
      <w:r>
        <w:rPr>
          <w:rFonts w:ascii="Arial" w:cs="Arial" w:eastAsia="Arial" w:hAnsi="Arial"/>
          <w:sz w:val="18"/>
          <w:szCs w:val="18"/>
          <w:color w:val="auto"/>
        </w:rPr>
        <w:t xml:space="preserve"> on the relevant acquired assets or on the Capital Stock and assets of the relevant newly acquired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(x) extends to or covers any other assets (other than the proceeds or products thereof, replacements, accessions or additions thereto and improvements thereon) or (y) was created in contemplation of the applicable acquisition of assets or Capital Stock, and (ii) Liens on Collateral securing Indebtedness incurred pursuant to, and subject to the provisions set forth in, </w:t>
      </w:r>
      <w:r>
        <w:rPr>
          <w:rFonts w:ascii="Arial" w:cs="Arial" w:eastAsia="Arial" w:hAnsi="Arial"/>
          <w:sz w:val="18"/>
          <w:szCs w:val="18"/>
          <w:u w:val="single" w:color="auto"/>
          <w:color w:val="auto"/>
        </w:rPr>
        <w:t>Section 6.01(q)</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on the Collateral that is granted in reliance on this </w:t>
      </w:r>
      <w:r>
        <w:rPr>
          <w:rFonts w:ascii="Arial" w:cs="Arial" w:eastAsia="Arial" w:hAnsi="Arial"/>
          <w:sz w:val="18"/>
          <w:szCs w:val="18"/>
          <w:u w:val="single" w:color="auto"/>
          <w:color w:val="auto"/>
        </w:rPr>
        <w:t>clause (o)(ii)</w:t>
      </w:r>
      <w:r>
        <w:rPr>
          <w:rFonts w:ascii="Arial" w:cs="Arial" w:eastAsia="Arial" w:hAnsi="Arial"/>
          <w:sz w:val="18"/>
          <w:szCs w:val="18"/>
          <w:color w:val="auto"/>
        </w:rPr>
        <w:t xml:space="preserve"> shall be subject to an Acceptable Intercreditor Agreement;</w:t>
      </w:r>
    </w:p>
    <w:p>
      <w:pPr>
        <w:spacing w:after="0" w:line="190" w:lineRule="exact"/>
        <w:rPr>
          <w:rFonts w:ascii="Arial" w:cs="Arial" w:eastAsia="Arial" w:hAnsi="Arial"/>
          <w:sz w:val="18"/>
          <w:szCs w:val="18"/>
          <w:color w:val="auto"/>
        </w:rPr>
      </w:pPr>
    </w:p>
    <w:p>
      <w:pPr>
        <w:jc w:val="both"/>
        <w:ind w:left="-360" w:firstLine="745"/>
        <w:spacing w:after="0" w:line="267" w:lineRule="auto"/>
        <w:tabs>
          <w:tab w:leader="none" w:pos="73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or 4-210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 (vii) Liens of the type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 securing obligations under </w:t>
      </w:r>
      <w:r>
        <w:rPr>
          <w:rFonts w:ascii="Arial" w:cs="Arial" w:eastAsia="Arial" w:hAnsi="Arial"/>
          <w:sz w:val="17"/>
          <w:szCs w:val="17"/>
          <w:u w:val="single" w:color="auto"/>
          <w:color w:val="auto"/>
        </w:rPr>
        <w:t>Sections 6.01(f)</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6.01(s)</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360" w:firstLine="745"/>
        <w:spacing w:after="0" w:line="339" w:lineRule="auto"/>
        <w:tabs>
          <w:tab w:leader="none" w:pos="73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Liens on assets and Capital Stock of Restricted Subsidiaries that are not Loan Parties (including Capital Stock owned by such Persons) securing Indebtedness or other obligations of Restricted Subsidiaries that are not Loan Parties permitted under this Agreement;</w:t>
      </w:r>
    </w:p>
    <w:p>
      <w:pPr>
        <w:spacing w:after="0" w:line="125" w:lineRule="exact"/>
        <w:rPr>
          <w:rFonts w:ascii="Arial" w:cs="Arial" w:eastAsia="Arial" w:hAnsi="Arial"/>
          <w:sz w:val="16"/>
          <w:szCs w:val="16"/>
          <w:color w:val="auto"/>
        </w:rPr>
      </w:pPr>
    </w:p>
    <w:p>
      <w:pPr>
        <w:ind w:left="-360" w:firstLine="745"/>
        <w:spacing w:after="0" w:line="339" w:lineRule="auto"/>
        <w:tabs>
          <w:tab w:leader="none" w:pos="74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Liens securing obligations (other than obligations representing Indebtedness for borrowed money) under operating, reciprocal easement or similar agreements entered into in the ordinary course of business of the Borrower and/or its Restricted Subsidiaries;</w:t>
      </w:r>
    </w:p>
    <w:p>
      <w:pPr>
        <w:spacing w:after="0" w:line="125" w:lineRule="exact"/>
        <w:rPr>
          <w:rFonts w:ascii="Arial" w:cs="Arial" w:eastAsia="Arial" w:hAnsi="Arial"/>
          <w:sz w:val="16"/>
          <w:szCs w:val="16"/>
          <w:color w:val="auto"/>
        </w:rPr>
      </w:pPr>
    </w:p>
    <w:p>
      <w:pPr>
        <w:ind w:left="-360" w:firstLine="745"/>
        <w:spacing w:after="0" w:line="339" w:lineRule="auto"/>
        <w:tabs>
          <w:tab w:leader="none" w:pos="73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Liens securing Indebtedness incurred in reliance on, and subject to the provisions set forth in,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(z)</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that is granted in reliance on this </w:t>
      </w:r>
      <w:r>
        <w:rPr>
          <w:rFonts w:ascii="Arial" w:cs="Arial" w:eastAsia="Arial" w:hAnsi="Arial"/>
          <w:sz w:val="16"/>
          <w:szCs w:val="16"/>
          <w:u w:val="single" w:color="auto"/>
          <w:color w:val="auto"/>
        </w:rPr>
        <w:t>clause (s)</w:t>
      </w:r>
      <w:r>
        <w:rPr>
          <w:rFonts w:ascii="Arial" w:cs="Arial" w:eastAsia="Arial" w:hAnsi="Arial"/>
          <w:sz w:val="16"/>
          <w:szCs w:val="16"/>
          <w:color w:val="auto"/>
        </w:rPr>
        <w:t xml:space="preserve"> on the Collateral shall be subject to an Acceptable Intercreditor Agreement;</w:t>
      </w:r>
    </w:p>
    <w:p>
      <w:pPr>
        <w:spacing w:after="0" w:line="125" w:lineRule="exact"/>
        <w:rPr>
          <w:rFonts w:ascii="Arial" w:cs="Arial" w:eastAsia="Arial" w:hAnsi="Arial"/>
          <w:sz w:val="16"/>
          <w:szCs w:val="16"/>
          <w:color w:val="auto"/>
        </w:rPr>
      </w:pPr>
    </w:p>
    <w:p>
      <w:pPr>
        <w:ind w:left="720" w:hanging="335"/>
        <w:spacing w:after="0"/>
        <w:tabs>
          <w:tab w:leader="none" w:pos="7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2" w:lineRule="exact"/>
        <w:rPr>
          <w:rFonts w:ascii="Arial" w:cs="Arial" w:eastAsia="Arial" w:hAnsi="Arial"/>
          <w:sz w:val="18"/>
          <w:szCs w:val="18"/>
          <w:color w:val="auto"/>
        </w:rPr>
      </w:pPr>
    </w:p>
    <w:p>
      <w:pPr>
        <w:ind w:left="-360" w:firstLine="745"/>
        <w:spacing w:after="0" w:line="305" w:lineRule="auto"/>
        <w:tabs>
          <w:tab w:leader="none" w:pos="72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Liens on assets securing Indebtedness or other obligations in an aggregate principal amount at any time outstanding not to exceed the greater of $118,000,000 and 50% of Consolidated Adjusted EBITDA as of the last day of the most recently ended Test Period;</w:t>
      </w:r>
    </w:p>
    <w:p>
      <w:pPr>
        <w:spacing w:after="0" w:line="148" w:lineRule="exact"/>
        <w:rPr>
          <w:rFonts w:ascii="Arial" w:cs="Arial" w:eastAsia="Arial" w:hAnsi="Arial"/>
          <w:sz w:val="17"/>
          <w:szCs w:val="17"/>
          <w:color w:val="auto"/>
        </w:rPr>
      </w:pPr>
    </w:p>
    <w:p>
      <w:pPr>
        <w:jc w:val="both"/>
        <w:ind w:left="-360" w:firstLine="745"/>
        <w:spacing w:after="0" w:line="262" w:lineRule="auto"/>
        <w:tabs>
          <w:tab w:leader="none" w:pos="7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(i) Liens on assets securing judgments, awards, attachments and/or decrees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relating to litigation being contested in good faith not constituting an Event of Default under </w:t>
      </w:r>
      <w:r>
        <w:rPr>
          <w:rFonts w:ascii="Arial" w:cs="Arial" w:eastAsia="Arial" w:hAnsi="Arial"/>
          <w:sz w:val="18"/>
          <w:szCs w:val="18"/>
          <w:u w:val="single" w:color="auto"/>
          <w:color w:val="auto"/>
        </w:rPr>
        <w:t>Section 7.01(h)</w:t>
      </w:r>
      <w:r>
        <w:rPr>
          <w:rFonts w:ascii="Arial" w:cs="Arial" w:eastAsia="Arial" w:hAnsi="Arial"/>
          <w:sz w:val="18"/>
          <w:szCs w:val="18"/>
          <w:color w:val="auto"/>
        </w:rPr>
        <w:t xml:space="preserve"> and (ii) any pledge and/or deposit securing any settlement of litigation;</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79" w:name="page180"/>
    <w:bookmarkEnd w:id="179"/>
    <w:p>
      <w:pPr>
        <w:ind w:left="1080" w:hanging="335"/>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leases or subleases granted to others in the ordinary course of business which do not secure any Indebtedness;</w:t>
      </w:r>
    </w:p>
    <w:p>
      <w:pPr>
        <w:spacing w:after="0" w:line="222" w:lineRule="exact"/>
        <w:rPr>
          <w:rFonts w:ascii="Arial" w:cs="Arial" w:eastAsia="Arial" w:hAnsi="Arial"/>
          <w:sz w:val="18"/>
          <w:szCs w:val="18"/>
          <w:color w:val="auto"/>
        </w:rPr>
      </w:pPr>
    </w:p>
    <w:p>
      <w:pPr>
        <w:ind w:firstLine="745"/>
        <w:spacing w:after="0" w:line="275" w:lineRule="auto"/>
        <w:tabs>
          <w:tab w:leader="none" w:pos="107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Liens on Securities that are the subject of repurchase agreements constituting Investments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arising out of such repurchase transaction;</w:t>
      </w:r>
    </w:p>
    <w:p>
      <w:pPr>
        <w:spacing w:after="0" w:line="170" w:lineRule="exact"/>
        <w:rPr>
          <w:rFonts w:ascii="Arial" w:cs="Arial" w:eastAsia="Arial" w:hAnsi="Arial"/>
          <w:sz w:val="18"/>
          <w:szCs w:val="18"/>
          <w:color w:val="auto"/>
        </w:rPr>
      </w:pPr>
    </w:p>
    <w:p>
      <w:pPr>
        <w:ind w:firstLine="745"/>
        <w:spacing w:after="0" w:line="275" w:lineRule="auto"/>
        <w:tabs>
          <w:tab w:leader="none" w:pos="10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letters of credit, bank guaranties, surety bonds, performance bonds or similar instruments permitted under </w:t>
      </w:r>
      <w:r>
        <w:rPr>
          <w:rFonts w:ascii="Arial" w:cs="Arial" w:eastAsia="Arial" w:hAnsi="Arial"/>
          <w:sz w:val="18"/>
          <w:szCs w:val="18"/>
          <w:u w:val="single" w:color="auto"/>
          <w:color w:val="auto"/>
        </w:rPr>
        <w:t>Sections 6.01(d)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745"/>
        <w:spacing w:after="0" w:line="262" w:lineRule="auto"/>
        <w:tabs>
          <w:tab w:leader="none" w:pos="11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spacing w:after="0" w:line="182" w:lineRule="exact"/>
        <w:rPr>
          <w:sz w:val="20"/>
          <w:szCs w:val="20"/>
          <w:color w:val="auto"/>
        </w:rPr>
      </w:pPr>
    </w:p>
    <w:p>
      <w:pPr>
        <w:ind w:firstLine="745"/>
        <w:spacing w:after="0" w:line="305" w:lineRule="auto"/>
        <w:tabs>
          <w:tab w:leader="none" w:pos="108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Liens (i) in favor of any Loan Party and/or (ii) granted by any non-Loan Party in favor of any Restricted Subsidiary that is not a Loan Party,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securing intercompany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6.09</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ind w:left="1080" w:hanging="335"/>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2" w:lineRule="exact"/>
        <w:rPr>
          <w:rFonts w:ascii="Arial" w:cs="Arial" w:eastAsia="Arial" w:hAnsi="Arial"/>
          <w:sz w:val="18"/>
          <w:szCs w:val="18"/>
          <w:color w:val="auto"/>
        </w:rPr>
      </w:pPr>
    </w:p>
    <w:p>
      <w:pPr>
        <w:jc w:val="both"/>
        <w:ind w:firstLine="745"/>
        <w:spacing w:after="0" w:line="262" w:lineRule="auto"/>
        <w:tabs>
          <w:tab w:leader="none" w:pos="108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82" w:lineRule="exact"/>
        <w:rPr>
          <w:rFonts w:ascii="Arial" w:cs="Arial" w:eastAsia="Arial" w:hAnsi="Arial"/>
          <w:sz w:val="18"/>
          <w:szCs w:val="18"/>
          <w:color w:val="auto"/>
        </w:rPr>
      </w:pPr>
    </w:p>
    <w:p>
      <w:pPr>
        <w:ind w:left="1080" w:hanging="335"/>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licenses, sublicenses and cross-licenses involving any IP Rights in the ordinary course of business;</w:t>
      </w:r>
    </w:p>
    <w:p>
      <w:pPr>
        <w:spacing w:after="0" w:line="222" w:lineRule="exact"/>
        <w:rPr>
          <w:rFonts w:ascii="Arial" w:cs="Arial" w:eastAsia="Arial" w:hAnsi="Arial"/>
          <w:sz w:val="18"/>
          <w:szCs w:val="18"/>
          <w:color w:val="auto"/>
        </w:rPr>
      </w:pPr>
    </w:p>
    <w:p>
      <w:pPr>
        <w:jc w:val="both"/>
        <w:ind w:firstLine="745"/>
        <w:spacing w:after="0" w:line="262" w:lineRule="auto"/>
        <w:tabs>
          <w:tab w:leader="none" w:pos="10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w:t>
      </w:r>
    </w:p>
    <w:p>
      <w:pPr>
        <w:spacing w:after="0" w:line="182" w:lineRule="exact"/>
        <w:rPr>
          <w:rFonts w:ascii="Arial" w:cs="Arial" w:eastAsia="Arial" w:hAnsi="Arial"/>
          <w:sz w:val="18"/>
          <w:szCs w:val="18"/>
          <w:color w:val="auto"/>
        </w:rPr>
      </w:pPr>
    </w:p>
    <w:p>
      <w:pPr>
        <w:ind w:left="1080" w:hanging="335"/>
        <w:spacing w:after="0"/>
        <w:tabs>
          <w:tab w:leader="none" w:pos="10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Liens on cash or Cash Equivalents arising in connection with the defeasance, discharge or redemption of Indebtedness;</w:t>
      </w:r>
    </w:p>
    <w:p>
      <w:pPr>
        <w:spacing w:after="0" w:line="234" w:lineRule="exact"/>
        <w:rPr>
          <w:rFonts w:ascii="Arial" w:cs="Arial" w:eastAsia="Arial" w:hAnsi="Arial"/>
          <w:sz w:val="17"/>
          <w:szCs w:val="17"/>
          <w:color w:val="auto"/>
        </w:rPr>
      </w:pPr>
    </w:p>
    <w:p>
      <w:pPr>
        <w:ind w:firstLine="745"/>
        <w:spacing w:after="0" w:line="275" w:lineRule="auto"/>
        <w:tabs>
          <w:tab w:leader="none" w:pos="10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consisting of the prior rights of consignees and their lenders under consignment arrangements entered into in the ordinary course of business;</w:t>
      </w:r>
    </w:p>
    <w:p>
      <w:pPr>
        <w:spacing w:after="0" w:line="170" w:lineRule="exact"/>
        <w:rPr>
          <w:rFonts w:ascii="Arial" w:cs="Arial" w:eastAsia="Arial" w:hAnsi="Arial"/>
          <w:sz w:val="18"/>
          <w:szCs w:val="18"/>
          <w:color w:val="auto"/>
        </w:rPr>
      </w:pPr>
    </w:p>
    <w:p>
      <w:pPr>
        <w:jc w:val="both"/>
        <w:ind w:firstLine="745"/>
        <w:spacing w:after="0" w:line="258" w:lineRule="auto"/>
        <w:tabs>
          <w:tab w:leader="none" w:pos="108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Liens with respect to property or assets of the Borrower or any of its Restricted Subsidiaries securing obligations in an aggregate principal amount at the time of incurrence of such Liens not to exceed the Available RP Capacity Amount; provided that if such Liens secure Indebtedness incurred pursuant to </w:t>
      </w:r>
      <w:r>
        <w:rPr>
          <w:rFonts w:ascii="Arial" w:cs="Arial" w:eastAsia="Arial" w:hAnsi="Arial"/>
          <w:sz w:val="18"/>
          <w:szCs w:val="18"/>
          <w:u w:val="single" w:color="auto"/>
          <w:color w:val="auto"/>
        </w:rPr>
        <w:t>Section 6.01(bb)</w:t>
      </w:r>
      <w:r>
        <w:rPr>
          <w:rFonts w:ascii="Arial" w:cs="Arial" w:eastAsia="Arial" w:hAnsi="Arial"/>
          <w:sz w:val="18"/>
          <w:szCs w:val="18"/>
          <w:color w:val="auto"/>
        </w:rPr>
        <w:t xml:space="preserve"> in reliance on the Available RP Capacity Amount, such Liens shall not reduce the Available RP Capacity Amount in duplication of any reduction pursuant to </w:t>
      </w:r>
      <w:r>
        <w:rPr>
          <w:rFonts w:ascii="Arial" w:cs="Arial" w:eastAsia="Arial" w:hAnsi="Arial"/>
          <w:sz w:val="18"/>
          <w:szCs w:val="18"/>
          <w:u w:val="single" w:color="auto"/>
          <w:color w:val="auto"/>
        </w:rPr>
        <w:t>Section 6.01(bb)</w:t>
      </w:r>
      <w:r>
        <w:rPr>
          <w:rFonts w:ascii="Arial" w:cs="Arial" w:eastAsia="Arial" w:hAnsi="Arial"/>
          <w:sz w:val="18"/>
          <w:szCs w:val="18"/>
          <w:color w:val="auto"/>
        </w:rPr>
        <w:t>; and</w:t>
      </w:r>
    </w:p>
    <w:p>
      <w:pPr>
        <w:spacing w:after="0" w:line="184" w:lineRule="exact"/>
        <w:rPr>
          <w:rFonts w:ascii="Arial" w:cs="Arial" w:eastAsia="Arial" w:hAnsi="Arial"/>
          <w:sz w:val="18"/>
          <w:szCs w:val="18"/>
          <w:color w:val="auto"/>
        </w:rPr>
      </w:pPr>
    </w:p>
    <w:p>
      <w:pPr>
        <w:ind w:left="1080" w:hanging="335"/>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on the Securitization Assets arising in connection with a Qualified Securitization Financing.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6.03.[Reserved]</w:t>
      </w:r>
      <w:r>
        <w:rPr>
          <w:rFonts w:ascii="Arial" w:cs="Arial" w:eastAsia="Arial" w:hAnsi="Arial"/>
          <w:sz w:val="18"/>
          <w:szCs w:val="18"/>
          <w:color w:val="auto"/>
        </w:rPr>
        <w:t>.</w:t>
      </w:r>
    </w:p>
    <w:p>
      <w:pPr>
        <w:spacing w:after="0" w:line="2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80" w:name="page181"/>
    <w:bookmarkEnd w:id="180"/>
    <w:p>
      <w:pPr>
        <w:ind w:left="4"/>
        <w:spacing w:after="0"/>
        <w:rPr>
          <w:sz w:val="20"/>
          <w:szCs w:val="20"/>
          <w:color w:val="auto"/>
        </w:rPr>
      </w:pPr>
      <w:r>
        <w:rPr>
          <w:rFonts w:ascii="Arial" w:cs="Arial" w:eastAsia="Arial" w:hAnsi="Arial"/>
          <w:sz w:val="18"/>
          <w:szCs w:val="18"/>
          <w:u w:val="single" w:color="auto"/>
          <w:color w:val="auto"/>
        </w:rPr>
        <w:t>Section 6.04.Restricted Payments; Restricted Debt Payments</w:t>
      </w:r>
      <w:r>
        <w:rPr>
          <w:rFonts w:ascii="Arial" w:cs="Arial" w:eastAsia="Arial" w:hAnsi="Arial"/>
          <w:sz w:val="18"/>
          <w:szCs w:val="18"/>
          <w:color w:val="auto"/>
        </w:rPr>
        <w:t>.</w:t>
      </w:r>
    </w:p>
    <w:p>
      <w:pPr>
        <w:spacing w:after="0" w:line="223" w:lineRule="exact"/>
        <w:rPr>
          <w:sz w:val="20"/>
          <w:szCs w:val="20"/>
          <w:color w:val="auto"/>
        </w:rPr>
      </w:pPr>
    </w:p>
    <w:p>
      <w:pPr>
        <w:ind w:left="264" w:hanging="264"/>
        <w:spacing w:after="0"/>
        <w:tabs>
          <w:tab w:leader="none" w:pos="26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Borrower shall not pay or make, directly or indirectly, any Restricted Payment, except that:</w:t>
      </w:r>
    </w:p>
    <w:p>
      <w:pPr>
        <w:spacing w:after="0" w:line="222" w:lineRule="exact"/>
        <w:rPr>
          <w:rFonts w:ascii="Arial" w:cs="Arial" w:eastAsia="Arial" w:hAnsi="Arial"/>
          <w:sz w:val="18"/>
          <w:szCs w:val="18"/>
          <w:color w:val="auto"/>
        </w:rPr>
      </w:pPr>
    </w:p>
    <w:p>
      <w:pPr>
        <w:ind w:left="1284" w:hanging="235"/>
        <w:spacing w:after="0"/>
        <w:tabs>
          <w:tab w:leader="none" w:pos="128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Borrower may make Restricted Payments to the extent necessary to permit any Parent Company:</w:t>
      </w:r>
    </w:p>
    <w:p>
      <w:pPr>
        <w:spacing w:after="0" w:line="222" w:lineRule="exact"/>
        <w:rPr>
          <w:rFonts w:ascii="Arial" w:cs="Arial" w:eastAsia="Arial" w:hAnsi="Arial"/>
          <w:sz w:val="18"/>
          <w:szCs w:val="18"/>
          <w:color w:val="auto"/>
        </w:rPr>
      </w:pPr>
    </w:p>
    <w:p>
      <w:pPr>
        <w:jc w:val="both"/>
        <w:ind w:left="744" w:firstLine="754"/>
        <w:spacing w:after="0" w:line="288" w:lineRule="auto"/>
        <w:tabs>
          <w:tab w:leader="none" w:pos="1819" w:val="left"/>
        </w:tabs>
        <w:numPr>
          <w:ilvl w:val="2"/>
          <w:numId w:val="213"/>
        </w:numPr>
        <w:rPr>
          <w:rFonts w:ascii="Arial" w:cs="Arial" w:eastAsia="Arial" w:hAnsi="Arial"/>
          <w:sz w:val="16"/>
          <w:szCs w:val="16"/>
          <w:color w:val="auto"/>
        </w:rPr>
      </w:pPr>
      <w:r>
        <w:rPr>
          <w:rFonts w:ascii="Arial" w:cs="Arial" w:eastAsia="Arial" w:hAnsi="Arial"/>
          <w:sz w:val="16"/>
          <w:szCs w:val="16"/>
          <w:color w:val="auto"/>
        </w:rPr>
        <w:t xml:space="preserve">to pay general administrative costs and expenses (including corporate overhead, legal or similar expenses and customary salary, bonus and other benefits payable to directors, officers, employees, members of management, managers and/or consultants of any Parent Company) and franchise Taxes, and similar fees and expenses, required to maintain the organizational existence of such Parent Company, in each case, which are reasonable and customary and incurred in the ordinary course of business,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reasonable and customary indemnification claims made by directors, officers, members of management, managers, employees or consultants of any Parent Company, in each case, to the extent attributable to the ownership or operations of any Parent Company (but excluding, for the avoidance of doubt, the portion of any such amount, if any, that is attributable to the ownership or operations of any Subsidiary of any Parent Company other than the Borrower and/or its Subsidiaries), and/or its Subsidiaries;</w:t>
      </w:r>
    </w:p>
    <w:p>
      <w:pPr>
        <w:spacing w:after="0" w:line="168" w:lineRule="exact"/>
        <w:rPr>
          <w:rFonts w:ascii="Arial" w:cs="Arial" w:eastAsia="Arial" w:hAnsi="Arial"/>
          <w:sz w:val="16"/>
          <w:szCs w:val="16"/>
          <w:color w:val="auto"/>
        </w:rPr>
      </w:pPr>
    </w:p>
    <w:p>
      <w:pPr>
        <w:jc w:val="both"/>
        <w:ind w:left="744" w:firstLine="754"/>
        <w:spacing w:after="0" w:line="269" w:lineRule="auto"/>
        <w:tabs>
          <w:tab w:leader="none" w:pos="1821" w:val="left"/>
        </w:tabs>
        <w:numPr>
          <w:ilvl w:val="2"/>
          <w:numId w:val="213"/>
        </w:numPr>
        <w:rPr>
          <w:rFonts w:ascii="Arial" w:cs="Arial" w:eastAsia="Arial" w:hAnsi="Arial"/>
          <w:sz w:val="17"/>
          <w:szCs w:val="17"/>
          <w:color w:val="auto"/>
        </w:rPr>
      </w:pPr>
      <w:r>
        <w:rPr>
          <w:rFonts w:ascii="Arial" w:cs="Arial" w:eastAsia="Arial" w:hAnsi="Arial"/>
          <w:sz w:val="17"/>
          <w:szCs w:val="17"/>
          <w:color w:val="auto"/>
        </w:rPr>
        <w:t xml:space="preserve">for any taxable period for which the Borrower is a member of a consolidated, combined, unitary or similar tax group for U.S. federal and/or applicable state or local tax purposes of which such Parent Company is the common parent, to discharge the consolidated, combined, unitary or similar Tax liabilities of such Parent Company and its Subsidiaries when and as due, to the extent such liabilities are attributable to the income of the Borrower and/or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payments in respect of any taxable year do not exceed the amount of such Taxes that the Borrower and/or its applicable Subsidiaries would have paid had such Taxes been paid as stand-alone companies or as a stand-alone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payment in respect of an Unrestricted Subsidiary shall be permitted only to the extent that cash distributions are made by such Unrestricted Subsidiary to the Borrower or any of its Restricted Subsidiaries for such purpose;</w:t>
      </w:r>
    </w:p>
    <w:p>
      <w:pPr>
        <w:spacing w:after="0" w:line="182" w:lineRule="exact"/>
        <w:rPr>
          <w:rFonts w:ascii="Arial" w:cs="Arial" w:eastAsia="Arial" w:hAnsi="Arial"/>
          <w:sz w:val="17"/>
          <w:szCs w:val="17"/>
          <w:color w:val="auto"/>
        </w:rPr>
      </w:pPr>
    </w:p>
    <w:p>
      <w:pPr>
        <w:jc w:val="both"/>
        <w:ind w:left="744" w:firstLine="754"/>
        <w:spacing w:after="0" w:line="258" w:lineRule="auto"/>
        <w:tabs>
          <w:tab w:leader="none" w:pos="1844" w:val="left"/>
        </w:tabs>
        <w:numPr>
          <w:ilvl w:val="2"/>
          <w:numId w:val="213"/>
        </w:numPr>
        <w:rPr>
          <w:rFonts w:ascii="Arial" w:cs="Arial" w:eastAsia="Arial" w:hAnsi="Arial"/>
          <w:sz w:val="18"/>
          <w:szCs w:val="18"/>
          <w:color w:val="auto"/>
        </w:rPr>
      </w:pPr>
      <w:r>
        <w:rPr>
          <w:rFonts w:ascii="Arial" w:cs="Arial" w:eastAsia="Arial" w:hAnsi="Arial"/>
          <w:sz w:val="18"/>
          <w:szCs w:val="18"/>
          <w:color w:val="auto"/>
        </w:rPr>
        <w:t>to pay audit and other accounting and reporting expenses of such Parent Company to the extent attributable to any Parent Company (but excluding, for the avoidance of doubt, the portion of any such expenses, if any, attributable to the ownership or operations of any Subsidiary of any Parent Company other than the Borrower and/or its Subsidiaries), the Borrower and its Subsidiaries;</w:t>
      </w:r>
    </w:p>
    <w:p>
      <w:pPr>
        <w:spacing w:after="0" w:line="184" w:lineRule="exact"/>
        <w:rPr>
          <w:rFonts w:ascii="Arial" w:cs="Arial" w:eastAsia="Arial" w:hAnsi="Arial"/>
          <w:sz w:val="18"/>
          <w:szCs w:val="18"/>
          <w:color w:val="auto"/>
        </w:rPr>
      </w:pPr>
    </w:p>
    <w:p>
      <w:pPr>
        <w:jc w:val="both"/>
        <w:ind w:left="744" w:firstLine="754"/>
        <w:spacing w:after="0" w:line="262" w:lineRule="auto"/>
        <w:tabs>
          <w:tab w:leader="none" w:pos="1856" w:val="left"/>
        </w:tabs>
        <w:numPr>
          <w:ilvl w:val="2"/>
          <w:numId w:val="213"/>
        </w:numPr>
        <w:rPr>
          <w:rFonts w:ascii="Arial" w:cs="Arial" w:eastAsia="Arial" w:hAnsi="Arial"/>
          <w:sz w:val="18"/>
          <w:szCs w:val="18"/>
          <w:color w:val="auto"/>
        </w:rPr>
      </w:pPr>
      <w:r>
        <w:rPr>
          <w:rFonts w:ascii="Arial" w:cs="Arial" w:eastAsia="Arial" w:hAnsi="Arial"/>
          <w:sz w:val="18"/>
          <w:szCs w:val="18"/>
          <w:color w:val="auto"/>
        </w:rPr>
        <w:t>for the payment of insurance premiums to the extent attributable to any Parent Company (but excluding, for the avoidance of doubt, the portion of any such premiums, if any, attributable to the ownership or operations of any Subsidiary of any Parent Company other than the Borrower and/or its Subsidiaries), the Borrower and its Subsidiaries;</w:t>
      </w:r>
    </w:p>
    <w:p>
      <w:pPr>
        <w:spacing w:after="0" w:line="182" w:lineRule="exact"/>
        <w:rPr>
          <w:rFonts w:ascii="Arial" w:cs="Arial" w:eastAsia="Arial" w:hAnsi="Arial"/>
          <w:sz w:val="18"/>
          <w:szCs w:val="18"/>
          <w:color w:val="auto"/>
        </w:rPr>
      </w:pPr>
    </w:p>
    <w:p>
      <w:pPr>
        <w:jc w:val="both"/>
        <w:ind w:left="744" w:firstLine="754"/>
        <w:spacing w:after="0" w:line="262" w:lineRule="auto"/>
        <w:tabs>
          <w:tab w:leader="none" w:pos="1823" w:val="left"/>
        </w:tabs>
        <w:numPr>
          <w:ilvl w:val="2"/>
          <w:numId w:val="213"/>
        </w:numPr>
        <w:rPr>
          <w:rFonts w:ascii="Arial" w:cs="Arial" w:eastAsia="Arial" w:hAnsi="Arial"/>
          <w:sz w:val="18"/>
          <w:szCs w:val="18"/>
          <w:color w:val="auto"/>
        </w:rPr>
      </w:pPr>
      <w:r>
        <w:rPr>
          <w:rFonts w:ascii="Arial" w:cs="Arial" w:eastAsia="Arial" w:hAnsi="Arial"/>
          <w:sz w:val="18"/>
          <w:szCs w:val="18"/>
          <w:color w:val="auto"/>
        </w:rPr>
        <w:t>to pay (x) fees and expenses related to debt or equity offerings, investments or acquisitions (including the IPO) (in each case whether or not consummated) and expenses and indemnities of any trustee, agent, arranger, underwriter or similar role, and (y) Public Company Costs;</w:t>
      </w:r>
    </w:p>
    <w:p>
      <w:pPr>
        <w:spacing w:after="0" w:line="182" w:lineRule="exact"/>
        <w:rPr>
          <w:rFonts w:ascii="Arial" w:cs="Arial" w:eastAsia="Arial" w:hAnsi="Arial"/>
          <w:sz w:val="18"/>
          <w:szCs w:val="18"/>
          <w:color w:val="auto"/>
        </w:rPr>
      </w:pPr>
    </w:p>
    <w:p>
      <w:pPr>
        <w:jc w:val="both"/>
        <w:ind w:left="744" w:firstLine="754"/>
        <w:spacing w:after="0" w:line="292" w:lineRule="auto"/>
        <w:tabs>
          <w:tab w:leader="none" w:pos="1826" w:val="left"/>
        </w:tabs>
        <w:numPr>
          <w:ilvl w:val="2"/>
          <w:numId w:val="213"/>
        </w:numPr>
        <w:rPr>
          <w:rFonts w:ascii="Arial" w:cs="Arial" w:eastAsia="Arial" w:hAnsi="Arial"/>
          <w:sz w:val="16"/>
          <w:szCs w:val="16"/>
          <w:color w:val="auto"/>
        </w:rPr>
      </w:pPr>
      <w:r>
        <w:rPr>
          <w:rFonts w:ascii="Arial" w:cs="Arial" w:eastAsia="Arial" w:hAnsi="Arial"/>
          <w:sz w:val="16"/>
          <w:szCs w:val="16"/>
          <w:color w:val="auto"/>
        </w:rPr>
        <w:t xml:space="preserve">to finance any Investment permitted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Restricted Payment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shall be made substantially concurrently with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such Investment in compliance with the applicable requirements of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as if undertaken as a direct Investment by the Borrower or the relevant Restricted Subsidiary); and</w:t>
      </w:r>
    </w:p>
    <w:p>
      <w:pPr>
        <w:spacing w:after="0" w:line="162"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181" w:name="page182"/>
    <w:bookmarkEnd w:id="181"/>
    <w:p>
      <w:pPr>
        <w:jc w:val="both"/>
        <w:ind w:left="740" w:firstLine="754"/>
        <w:spacing w:after="0" w:line="300" w:lineRule="auto"/>
        <w:tabs>
          <w:tab w:leader="none" w:pos="181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to pay customary salary, bonus, severance and other benefits payable to current or former directors, officers, members of management, managers, employees or consultants of any Parent Company (or any Immediate Family Member of any of the foregoing) to the extent such salary, bonuses and other benefits are attributable and reasonably allocated to the operations of the Borrower and/or its Subsidiaries, in each case, so long as such Parent Company applies the amount of any such Restricted Payment for such purpose;</w:t>
      </w:r>
    </w:p>
    <w:p>
      <w:pPr>
        <w:spacing w:after="0" w:line="155" w:lineRule="exact"/>
        <w:rPr>
          <w:sz w:val="20"/>
          <w:szCs w:val="20"/>
          <w:color w:val="auto"/>
        </w:rPr>
      </w:pPr>
    </w:p>
    <w:p>
      <w:pPr>
        <w:jc w:val="both"/>
        <w:ind w:firstLine="1048"/>
        <w:spacing w:after="0" w:line="258" w:lineRule="auto"/>
        <w:rPr>
          <w:sz w:val="20"/>
          <w:szCs w:val="20"/>
          <w:color w:val="auto"/>
        </w:rPr>
      </w:pPr>
      <w:r>
        <w:rPr>
          <w:rFonts w:ascii="Arial" w:cs="Arial" w:eastAsia="Arial" w:hAnsi="Arial"/>
          <w:sz w:val="18"/>
          <w:szCs w:val="18"/>
          <w:color w:val="auto"/>
        </w:rPr>
        <w:t>(ii)the Borrower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w:t>
      </w:r>
    </w:p>
    <w:p>
      <w:pPr>
        <w:spacing w:after="0" w:line="185" w:lineRule="exact"/>
        <w:rPr>
          <w:sz w:val="20"/>
          <w:szCs w:val="20"/>
          <w:color w:val="auto"/>
        </w:rPr>
      </w:pPr>
    </w:p>
    <w:p>
      <w:pPr>
        <w:jc w:val="both"/>
        <w:ind w:left="740" w:firstLine="754"/>
        <w:spacing w:after="0" w:line="253" w:lineRule="auto"/>
        <w:tabs>
          <w:tab w:leader="none" w:pos="181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 $35,250,000 and 15% of Consolidated Adjusted EBITDA as of the last day of the most recently ended Test Period, which, if not used in such Fiscal Year, shall be carried forward to succeeding Fiscal Years;</w:t>
      </w:r>
    </w:p>
    <w:p>
      <w:pPr>
        <w:spacing w:after="0" w:line="192" w:lineRule="exact"/>
        <w:rPr>
          <w:rFonts w:ascii="Arial" w:cs="Arial" w:eastAsia="Arial" w:hAnsi="Arial"/>
          <w:sz w:val="18"/>
          <w:szCs w:val="18"/>
          <w:color w:val="auto"/>
        </w:rPr>
      </w:pPr>
    </w:p>
    <w:p>
      <w:pPr>
        <w:jc w:val="both"/>
        <w:ind w:left="740" w:firstLine="754"/>
        <w:spacing w:after="0" w:line="258" w:lineRule="auto"/>
        <w:tabs>
          <w:tab w:leader="none" w:pos="1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 the proceeds of any sale or issuance of, or any capital contribution in respect of, the Capital Stock of the Borrower or any Parent Company (to the extent such proceeds are contributed in respect of Qualified Capital Stock to the Borrower or any Restricted Subsidiary (other than any such proceeds or contribution that forms part of any Available Excluded Contribution Amount or to the extent such proceeds or contribution has increased the Available Amount)); or</w:t>
      </w:r>
    </w:p>
    <w:p>
      <w:pPr>
        <w:spacing w:after="0" w:line="184" w:lineRule="exact"/>
        <w:rPr>
          <w:rFonts w:ascii="Arial" w:cs="Arial" w:eastAsia="Arial" w:hAnsi="Arial"/>
          <w:sz w:val="18"/>
          <w:szCs w:val="18"/>
          <w:color w:val="auto"/>
        </w:rPr>
      </w:pPr>
    </w:p>
    <w:p>
      <w:pPr>
        <w:ind w:left="1820" w:hanging="326"/>
        <w:spacing w:after="0"/>
        <w:tabs>
          <w:tab w:leader="none" w:pos="1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 the net proceeds of any key-man life insurance policies;</w:t>
      </w:r>
    </w:p>
    <w:p>
      <w:pPr>
        <w:spacing w:after="0" w:line="223" w:lineRule="exact"/>
        <w:rPr>
          <w:sz w:val="20"/>
          <w:szCs w:val="20"/>
          <w:color w:val="auto"/>
        </w:rPr>
      </w:pPr>
    </w:p>
    <w:p>
      <w:pPr>
        <w:jc w:val="both"/>
        <w:ind w:firstLine="1048"/>
        <w:spacing w:after="0" w:line="262" w:lineRule="auto"/>
        <w:rPr>
          <w:sz w:val="20"/>
          <w:szCs w:val="20"/>
          <w:color w:val="auto"/>
        </w:rPr>
      </w:pPr>
      <w:r>
        <w:rPr>
          <w:rFonts w:ascii="Arial" w:cs="Arial" w:eastAsia="Arial" w:hAnsi="Arial"/>
          <w:sz w:val="18"/>
          <w:szCs w:val="18"/>
          <w:color w:val="auto"/>
        </w:rPr>
        <w:t xml:space="preserve">(iii)the Borrower may make Restricted Payments in an amount not to exceed (A) the portion, if any, of the Available Amount on such date that the Borrower elects to apply to this </w:t>
      </w:r>
      <w:r>
        <w:rPr>
          <w:rFonts w:ascii="Arial" w:cs="Arial" w:eastAsia="Arial" w:hAnsi="Arial"/>
          <w:sz w:val="18"/>
          <w:szCs w:val="18"/>
          <w:u w:val="single" w:color="auto"/>
          <w:color w:val="auto"/>
        </w:rPr>
        <w:t>clause (iii)(A)</w:t>
      </w:r>
      <w:r>
        <w:rPr>
          <w:rFonts w:ascii="Arial" w:cs="Arial" w:eastAsia="Arial" w:hAnsi="Arial"/>
          <w:sz w:val="18"/>
          <w:szCs w:val="18"/>
          <w:color w:val="auto"/>
        </w:rPr>
        <w:t xml:space="preserve"> and/or (B) the portion, if any, of the Available Excluded Contribution Amount on such date that the Borrower elects to apply to this </w:t>
      </w:r>
      <w:r>
        <w:rPr>
          <w:rFonts w:ascii="Arial" w:cs="Arial" w:eastAsia="Arial" w:hAnsi="Arial"/>
          <w:sz w:val="18"/>
          <w:szCs w:val="18"/>
          <w:u w:val="single" w:color="auto"/>
          <w:color w:val="auto"/>
        </w:rPr>
        <w:t>clause (iii)(B)</w:t>
      </w:r>
      <w:r>
        <w:rPr>
          <w:rFonts w:ascii="Arial" w:cs="Arial" w:eastAsia="Arial" w:hAnsi="Arial"/>
          <w:sz w:val="18"/>
          <w:szCs w:val="18"/>
          <w:color w:val="auto"/>
        </w:rPr>
        <w:t>;</w:t>
      </w:r>
    </w:p>
    <w:p>
      <w:pPr>
        <w:spacing w:after="0" w:line="182" w:lineRule="exact"/>
        <w:rPr>
          <w:sz w:val="20"/>
          <w:szCs w:val="20"/>
          <w:color w:val="auto"/>
        </w:rPr>
      </w:pPr>
    </w:p>
    <w:p>
      <w:pPr>
        <w:jc w:val="both"/>
        <w:ind w:firstLine="1048"/>
        <w:spacing w:after="0" w:line="270" w:lineRule="auto"/>
        <w:rPr>
          <w:sz w:val="20"/>
          <w:szCs w:val="20"/>
          <w:color w:val="auto"/>
        </w:rPr>
      </w:pPr>
      <w:r>
        <w:rPr>
          <w:rFonts w:ascii="Arial" w:cs="Arial" w:eastAsia="Arial" w:hAnsi="Arial"/>
          <w:sz w:val="17"/>
          <w:szCs w:val="17"/>
          <w:color w:val="auto"/>
        </w:rPr>
        <w:t xml:space="preserve">(iv)the Borrower may make Restricted Payments (i) to any Parent Company to enable such Parent Company to make Cash payments in lieu of the issuance of fractional shares in connection with the exercise of warrants, options or other securities convertible into or exchangeable for Capital Stock of such Parent Company and (ii) consisting of (A) payments made or expected to be made in respect of withholding or similar Taxes payable by any future, present or former officers, directors, employees, members of management, managers or consultants of the Borrower, any Restricted Subsidiary or any Parent Company or any of their respective Immediate Family Members in connection with such exercise and/or (B) repurchases of Capital Stock in consideration of the payments described in </w:t>
      </w:r>
      <w:r>
        <w:rPr>
          <w:rFonts w:ascii="Arial" w:cs="Arial" w:eastAsia="Arial" w:hAnsi="Arial"/>
          <w:sz w:val="17"/>
          <w:szCs w:val="17"/>
          <w:u w:val="single" w:color="auto"/>
          <w:color w:val="auto"/>
        </w:rPr>
        <w:t>subclause (A)</w:t>
      </w:r>
      <w:r>
        <w:rPr>
          <w:rFonts w:ascii="Arial" w:cs="Arial" w:eastAsia="Arial" w:hAnsi="Arial"/>
          <w:sz w:val="17"/>
          <w:szCs w:val="17"/>
          <w:color w:val="auto"/>
        </w:rPr>
        <w:t xml:space="preserve"> above, including demand repurchases in connection with the exercise of stock options;</w:t>
      </w:r>
    </w:p>
    <w:p>
      <w:pPr>
        <w:spacing w:after="0" w:line="181" w:lineRule="exact"/>
        <w:rPr>
          <w:sz w:val="20"/>
          <w:szCs w:val="20"/>
          <w:color w:val="auto"/>
        </w:rPr>
      </w:pPr>
    </w:p>
    <w:p>
      <w:pPr>
        <w:jc w:val="both"/>
        <w:ind w:firstLine="1045"/>
        <w:spacing w:after="0" w:line="258" w:lineRule="auto"/>
        <w:tabs>
          <w:tab w:leader="none" w:pos="128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spacing w:after="0" w:line="185" w:lineRule="exact"/>
        <w:rPr>
          <w:sz w:val="20"/>
          <w:szCs w:val="20"/>
          <w:color w:val="auto"/>
        </w:rPr>
      </w:pPr>
    </w:p>
    <w:p>
      <w:pPr>
        <w:ind w:firstLine="1048"/>
        <w:spacing w:after="0" w:line="275" w:lineRule="auto"/>
        <w:rPr>
          <w:sz w:val="20"/>
          <w:szCs w:val="20"/>
          <w:color w:val="auto"/>
        </w:rPr>
      </w:pPr>
      <w:r>
        <w:rPr>
          <w:rFonts w:ascii="Arial" w:cs="Arial" w:eastAsia="Arial" w:hAnsi="Arial"/>
          <w:sz w:val="18"/>
          <w:szCs w:val="18"/>
          <w:color w:val="auto"/>
        </w:rPr>
        <w:t>(vi)the Borrower may make Restricted Payments, the proceeds of which are applied (i) on the Closing Date, solely to effect the consummation of the Transactions and (ii) on and after the Closing Date, to pay Transaction Costs;</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82" w:name="page183"/>
    <w:bookmarkEnd w:id="182"/>
    <w:p>
      <w:pPr>
        <w:jc w:val="both"/>
        <w:ind w:left="760" w:firstLine="1048"/>
        <w:spacing w:after="0" w:line="255" w:lineRule="auto"/>
        <w:rPr>
          <w:sz w:val="20"/>
          <w:szCs w:val="20"/>
          <w:color w:val="auto"/>
        </w:rPr>
      </w:pPr>
      <w:r>
        <w:rPr>
          <w:rFonts w:ascii="Arial" w:cs="Arial" w:eastAsia="Arial" w:hAnsi="Arial"/>
          <w:sz w:val="18"/>
          <w:szCs w:val="18"/>
          <w:color w:val="auto"/>
        </w:rPr>
        <w:t xml:space="preserve">(vii)so long as no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 xml:space="preserve"> exists at the time of declaration of such Restricted Payment, the Borrower may (or may make Restricted Payments to any Parent Company to enable it to) make Restricted Payments with respect to any Capital Stock in an amount not to exceed the sum of (i) 7.00% per annum of the net Cash proceeds received by or contributed to the Borrower from the IPO and (ii) 7.00% of the Market Capitalization of Holdings or its applicable Parent Company whose Capital Stock is publicly traded;</w:t>
      </w:r>
    </w:p>
    <w:p>
      <w:pPr>
        <w:spacing w:after="0" w:line="190" w:lineRule="exact"/>
        <w:rPr>
          <w:sz w:val="20"/>
          <w:szCs w:val="20"/>
          <w:color w:val="auto"/>
        </w:rPr>
      </w:pPr>
    </w:p>
    <w:p>
      <w:pPr>
        <w:jc w:val="both"/>
        <w:ind w:left="760" w:firstLine="1048"/>
        <w:spacing w:after="0" w:line="269" w:lineRule="auto"/>
        <w:rPr>
          <w:sz w:val="20"/>
          <w:szCs w:val="20"/>
          <w:color w:val="auto"/>
        </w:rPr>
      </w:pPr>
      <w:r>
        <w:rPr>
          <w:rFonts w:ascii="Arial" w:cs="Arial" w:eastAsia="Arial" w:hAnsi="Arial"/>
          <w:sz w:val="17"/>
          <w:szCs w:val="17"/>
          <w:color w:val="auto"/>
        </w:rPr>
        <w:t>(viii)the Borrower may make Restricted Payments to (i) redeem, repurchase, retire or otherwise acquire any (A) Capital Stock (“</w:t>
      </w:r>
      <w:r>
        <w:rPr>
          <w:rFonts w:ascii="Arial" w:cs="Arial" w:eastAsia="Arial" w:hAnsi="Arial"/>
          <w:sz w:val="17"/>
          <w:szCs w:val="17"/>
          <w:u w:val="single" w:color="auto"/>
          <w:color w:val="auto"/>
        </w:rPr>
        <w:t>Treasury Capital Stock</w:t>
      </w:r>
      <w:r>
        <w:rPr>
          <w:rFonts w:ascii="Arial" w:cs="Arial" w:eastAsia="Arial" w:hAnsi="Arial"/>
          <w:sz w:val="17"/>
          <w:szCs w:val="17"/>
          <w:color w:val="auto"/>
        </w:rPr>
        <w:t xml:space="preserve">”) of the Borrower and/or any Restricted Subsidiary or (B) Capital Stock of any Parent Company, in the case of each of </w:t>
      </w:r>
      <w:r>
        <w:rPr>
          <w:rFonts w:ascii="Arial" w:cs="Arial" w:eastAsia="Arial" w:hAnsi="Arial"/>
          <w:sz w:val="17"/>
          <w:szCs w:val="17"/>
          <w:u w:val="single" w:color="auto"/>
          <w:color w:val="auto"/>
        </w:rPr>
        <w:t>subclauses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in exchange for, or out of the proceeds of the substantially concurrent sale (other than 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xml:space="preserve">”) and (ii) declare and pay dividends on any Treasury Capital Stock out of the proceeds of the substantially concurrent sale (other than to the Borrower or a Restricted Subsidiary) of any Refunding Capital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 applied to make a Restricted Payment pursuant to this clause (viii) shall not be applied or used to increase the Available Amount or the Available Excluded Contribution Amount;</w:t>
      </w:r>
    </w:p>
    <w:p>
      <w:pPr>
        <w:spacing w:after="0" w:line="182" w:lineRule="exact"/>
        <w:rPr>
          <w:sz w:val="20"/>
          <w:szCs w:val="20"/>
          <w:color w:val="auto"/>
        </w:rPr>
      </w:pPr>
    </w:p>
    <w:p>
      <w:pPr>
        <w:jc w:val="both"/>
        <w:ind w:left="760" w:firstLine="1048"/>
        <w:spacing w:after="0" w:line="305" w:lineRule="auto"/>
        <w:rPr>
          <w:sz w:val="20"/>
          <w:szCs w:val="20"/>
          <w:color w:val="auto"/>
        </w:rPr>
      </w:pPr>
      <w:r>
        <w:rPr>
          <w:rFonts w:ascii="Arial" w:cs="Arial" w:eastAsia="Arial" w:hAnsi="Arial"/>
          <w:sz w:val="17"/>
          <w:szCs w:val="17"/>
          <w:color w:val="auto"/>
        </w:rPr>
        <w:t xml:space="preserve">(ix)to the extent constituting a Restricted Payment, the Borrower may consummate any transaction permitted by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6.06(j)</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6.07(g)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6.09(d)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w:t>
      </w:r>
    </w:p>
    <w:p>
      <w:pPr>
        <w:spacing w:after="0" w:line="148" w:lineRule="exact"/>
        <w:rPr>
          <w:sz w:val="20"/>
          <w:szCs w:val="20"/>
          <w:color w:val="auto"/>
        </w:rPr>
      </w:pPr>
    </w:p>
    <w:p>
      <w:pPr>
        <w:jc w:val="both"/>
        <w:ind w:left="760" w:firstLine="1045"/>
        <w:spacing w:after="0" w:line="254" w:lineRule="auto"/>
        <w:tabs>
          <w:tab w:leader="none" w:pos="204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in an aggregate amount not to exceed the greater of $94,000,000 and 40% of Consolidated Adjusted EBITDA as of the last day of the most recently ended Test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at the election of the Borrower, the amount of Restricted Debt Payments then permitted to be made by the Borrower or any Restricted Subsidiary in reliance on </w:t>
      </w:r>
      <w:r>
        <w:rPr>
          <w:rFonts w:ascii="Arial" w:cs="Arial" w:eastAsia="Arial" w:hAnsi="Arial"/>
          <w:sz w:val="18"/>
          <w:szCs w:val="18"/>
          <w:u w:val="single" w:color="auto"/>
          <w:color w:val="auto"/>
        </w:rPr>
        <w:t>Section 6.04(b)(iv)</w:t>
      </w:r>
      <w:r>
        <w:rPr>
          <w:rFonts w:ascii="Arial" w:cs="Arial" w:eastAsia="Arial" w:hAnsi="Arial"/>
          <w:sz w:val="18"/>
          <w:szCs w:val="18"/>
          <w:color w:val="auto"/>
        </w:rPr>
        <w:t xml:space="preserve"> (such increase shall result in a reduction in availability under </w:t>
      </w:r>
      <w:r>
        <w:rPr>
          <w:rFonts w:ascii="Arial" w:cs="Arial" w:eastAsia="Arial" w:hAnsi="Arial"/>
          <w:sz w:val="18"/>
          <w:szCs w:val="18"/>
          <w:u w:val="single" w:color="auto"/>
          <w:color w:val="auto"/>
        </w:rPr>
        <w:t>Section 6.04(b)(iv)) plus</w:t>
      </w:r>
      <w:r>
        <w:rPr>
          <w:rFonts w:ascii="Arial" w:cs="Arial" w:eastAsia="Arial" w:hAnsi="Arial"/>
          <w:sz w:val="18"/>
          <w:szCs w:val="18"/>
          <w:color w:val="auto"/>
        </w:rPr>
        <w:t xml:space="preserve"> at the election of the Borrower, the amount of Investments then permitted to be made by the Borrower or any Restricted Subsidiary in reliance on </w:t>
      </w:r>
      <w:r>
        <w:rPr>
          <w:rFonts w:ascii="Arial" w:cs="Arial" w:eastAsia="Arial" w:hAnsi="Arial"/>
          <w:sz w:val="18"/>
          <w:szCs w:val="18"/>
          <w:u w:val="single" w:color="auto"/>
          <w:color w:val="auto"/>
        </w:rPr>
        <w:t>Section 6.06(q)(i)</w:t>
      </w:r>
      <w:r>
        <w:rPr>
          <w:rFonts w:ascii="Arial" w:cs="Arial" w:eastAsia="Arial" w:hAnsi="Arial"/>
          <w:sz w:val="18"/>
          <w:szCs w:val="18"/>
          <w:color w:val="auto"/>
        </w:rPr>
        <w:t xml:space="preserve"> (such increase shall result in a reduction in availability under </w:t>
      </w:r>
      <w:r>
        <w:rPr>
          <w:rFonts w:ascii="Arial" w:cs="Arial" w:eastAsia="Arial" w:hAnsi="Arial"/>
          <w:sz w:val="18"/>
          <w:szCs w:val="18"/>
          <w:u w:val="single" w:color="auto"/>
          <w:color w:val="auto"/>
        </w:rPr>
        <w:t>Section 6.06(q)(i))</w:t>
      </w:r>
      <w:r>
        <w:rPr>
          <w:rFonts w:ascii="Arial" w:cs="Arial" w:eastAsia="Arial" w:hAnsi="Arial"/>
          <w:sz w:val="18"/>
          <w:szCs w:val="18"/>
          <w:color w:val="auto"/>
        </w:rPr>
        <w:t>;</w:t>
      </w:r>
    </w:p>
    <w:p>
      <w:pPr>
        <w:spacing w:after="0" w:line="191"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(xi)the Borrower may make Restricted Payments so long as (i) no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 xml:space="preserve"> exists at the time of the declaration of such Restricted Payment and (ii) the Total Leverage Ratio, calculated on a Pro Forma Basis, would not exceed 4.50:1:00;</w:t>
      </w:r>
    </w:p>
    <w:p>
      <w:pPr>
        <w:spacing w:after="0" w:line="182" w:lineRule="exact"/>
        <w:rPr>
          <w:sz w:val="20"/>
          <w:szCs w:val="20"/>
          <w:color w:val="auto"/>
        </w:rPr>
      </w:pPr>
    </w:p>
    <w:p>
      <w:pPr>
        <w:jc w:val="both"/>
        <w:ind w:left="760" w:firstLine="1048"/>
        <w:spacing w:after="0" w:line="305" w:lineRule="auto"/>
        <w:rPr>
          <w:sz w:val="20"/>
          <w:szCs w:val="20"/>
          <w:color w:val="auto"/>
        </w:rPr>
      </w:pPr>
      <w:r>
        <w:rPr>
          <w:rFonts w:ascii="Arial" w:cs="Arial" w:eastAsia="Arial" w:hAnsi="Arial"/>
          <w:sz w:val="17"/>
          <w:szCs w:val="17"/>
          <w:color w:val="auto"/>
        </w:rPr>
        <w:t xml:space="preserve">(xii)the Borrower may make any Restricted Payment with cash tax savings attributable to the Transactions in an aggregate amount not to exceed $50,000,000;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exists at the time of the declaration of such Restricted Payment; and</w:t>
      </w:r>
    </w:p>
    <w:p>
      <w:pPr>
        <w:spacing w:after="0" w:line="148" w:lineRule="exact"/>
        <w:rPr>
          <w:sz w:val="20"/>
          <w:szCs w:val="20"/>
          <w:color w:val="auto"/>
        </w:rPr>
      </w:pPr>
    </w:p>
    <w:p>
      <w:pPr>
        <w:jc w:val="both"/>
        <w:ind w:left="760" w:firstLine="1048"/>
        <w:spacing w:after="0" w:line="275" w:lineRule="auto"/>
        <w:rPr>
          <w:sz w:val="20"/>
          <w:szCs w:val="20"/>
          <w:color w:val="auto"/>
        </w:rPr>
      </w:pPr>
      <w:r>
        <w:rPr>
          <w:rFonts w:ascii="Arial" w:cs="Arial" w:eastAsia="Arial" w:hAnsi="Arial"/>
          <w:sz w:val="18"/>
          <w:szCs w:val="18"/>
          <w:color w:val="auto"/>
        </w:rPr>
        <w:t>(xiii)the Borrower may declare and make dividend payments or other Restricted Payments payable solely in the Capital Stock of the Borrower or of any Parent Company.</w:t>
      </w:r>
    </w:p>
    <w:p>
      <w:pPr>
        <w:spacing w:after="0" w:line="171" w:lineRule="exact"/>
        <w:rPr>
          <w:sz w:val="20"/>
          <w:szCs w:val="20"/>
          <w:color w:val="auto"/>
        </w:rPr>
      </w:pPr>
    </w:p>
    <w:p>
      <w:pPr>
        <w:jc w:val="both"/>
        <w:ind w:firstLine="756"/>
        <w:spacing w:after="0" w:line="258" w:lineRule="auto"/>
        <w:tabs>
          <w:tab w:leader="none" w:pos="101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Borrower shall not, nor shall it permit any Restricted Subsidiary to, make any prepayment in Cash in respect of principal of any Junior Indebtedness (the “</w:t>
      </w:r>
      <w:r>
        <w:rPr>
          <w:rFonts w:ascii="Arial" w:cs="Arial" w:eastAsia="Arial" w:hAnsi="Arial"/>
          <w:sz w:val="18"/>
          <w:szCs w:val="18"/>
          <w:u w:val="single" w:color="auto"/>
          <w:color w:val="auto"/>
        </w:rPr>
        <w:t>Restricted Debt</w:t>
      </w:r>
      <w:r>
        <w:rPr>
          <w:rFonts w:ascii="Arial" w:cs="Arial" w:eastAsia="Arial" w:hAnsi="Arial"/>
          <w:sz w:val="18"/>
          <w:szCs w:val="18"/>
          <w:color w:val="auto"/>
        </w:rPr>
        <w:t>”), including any sinking fund or similar deposit, on account of the purchase, redemption, retirement, acquisition, cancellation or termination of any Restricted Debt more than one year prior to the scheduled maturity date thereof (collectively, “</w:t>
      </w:r>
      <w:r>
        <w:rPr>
          <w:rFonts w:ascii="Arial" w:cs="Arial" w:eastAsia="Arial" w:hAnsi="Arial"/>
          <w:sz w:val="18"/>
          <w:szCs w:val="18"/>
          <w:u w:val="single" w:color="auto"/>
          <w:color w:val="auto"/>
        </w:rPr>
        <w:t>Restricted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except:</w:t>
      </w:r>
    </w:p>
    <w:p>
      <w:pPr>
        <w:spacing w:after="0" w:line="184" w:lineRule="exact"/>
        <w:rPr>
          <w:rFonts w:ascii="Arial" w:cs="Arial" w:eastAsia="Arial" w:hAnsi="Arial"/>
          <w:sz w:val="18"/>
          <w:szCs w:val="18"/>
          <w:color w:val="auto"/>
        </w:rPr>
      </w:pPr>
    </w:p>
    <w:p>
      <w:pPr>
        <w:ind w:left="760" w:firstLine="1045"/>
        <w:spacing w:after="0" w:line="275" w:lineRule="auto"/>
        <w:tabs>
          <w:tab w:leader="none" w:pos="204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with respect to any purchase, defeasance, redemption, repurchase, repayment or other acquisition or retirement thereof made by exchange for, or out of the proceeds of, Refinancing Indebtedness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(ii)as part of an applicable high yield discount obligation catch-up payment;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83" w:name="page184"/>
    <w:bookmarkEnd w:id="183"/>
    <w:p>
      <w:pPr>
        <w:jc w:val="both"/>
        <w:ind w:left="760" w:firstLine="1048"/>
        <w:spacing w:after="0" w:line="262" w:lineRule="auto"/>
        <w:rPr>
          <w:sz w:val="20"/>
          <w:szCs w:val="20"/>
          <w:color w:val="auto"/>
        </w:rPr>
      </w:pPr>
      <w:r>
        <w:rPr>
          <w:rFonts w:ascii="Arial" w:cs="Arial" w:eastAsia="Arial" w:hAnsi="Arial"/>
          <w:sz w:val="18"/>
          <w:szCs w:val="18"/>
          <w:color w:val="auto"/>
        </w:rPr>
        <w:t>(iii)payments of regularly scheduled interest (including any penalty interest, if applicable) and payments of fees, expenses and indemnification obligations as and when due (other than payments with respect to Junior Indebtedness that are prohibited by the subordination provisions thereof);</w:t>
      </w:r>
    </w:p>
    <w:p>
      <w:pPr>
        <w:spacing w:after="0" w:line="182" w:lineRule="exact"/>
        <w:rPr>
          <w:sz w:val="20"/>
          <w:szCs w:val="20"/>
          <w:color w:val="auto"/>
        </w:rPr>
      </w:pPr>
    </w:p>
    <w:p>
      <w:pPr>
        <w:jc w:val="both"/>
        <w:ind w:left="760" w:firstLine="1048"/>
        <w:spacing w:after="0" w:line="258" w:lineRule="auto"/>
        <w:rPr>
          <w:sz w:val="20"/>
          <w:szCs w:val="20"/>
          <w:color w:val="auto"/>
        </w:rPr>
      </w:pPr>
      <w:r>
        <w:rPr>
          <w:rFonts w:ascii="Arial" w:cs="Arial" w:eastAsia="Arial" w:hAnsi="Arial"/>
          <w:sz w:val="18"/>
          <w:szCs w:val="18"/>
          <w:color w:val="auto"/>
        </w:rPr>
        <w:t>(iv)Restricted Debt Payments in an aggregate amount not to exceed the greater of $82,250,000 and 35% of Consolidated Adjusted EBITDA as of the last day of the most recently ended Test Period, p</w:t>
      </w:r>
      <w:r>
        <w:rPr>
          <w:rFonts w:ascii="Arial" w:cs="Arial" w:eastAsia="Arial" w:hAnsi="Arial"/>
          <w:sz w:val="18"/>
          <w:szCs w:val="18"/>
          <w:u w:val="single" w:color="auto"/>
          <w:color w:val="auto"/>
        </w:rPr>
        <w:t>lus</w:t>
      </w:r>
      <w:r>
        <w:rPr>
          <w:rFonts w:ascii="Arial" w:cs="Arial" w:eastAsia="Arial" w:hAnsi="Arial"/>
          <w:sz w:val="18"/>
          <w:szCs w:val="18"/>
          <w:color w:val="auto"/>
        </w:rPr>
        <w:t xml:space="preserve"> at the election of the Borrower, the amount of Investments then permitted to be made by the Borrower or any Restricted Subsidiary in reliance on </w:t>
      </w:r>
      <w:r>
        <w:rPr>
          <w:rFonts w:ascii="Arial" w:cs="Arial" w:eastAsia="Arial" w:hAnsi="Arial"/>
          <w:sz w:val="18"/>
          <w:szCs w:val="18"/>
          <w:u w:val="single" w:color="auto"/>
          <w:color w:val="auto"/>
        </w:rPr>
        <w:t>Section 6.06(q)(i)</w:t>
      </w:r>
      <w:r>
        <w:rPr>
          <w:rFonts w:ascii="Arial" w:cs="Arial" w:eastAsia="Arial" w:hAnsi="Arial"/>
          <w:sz w:val="18"/>
          <w:szCs w:val="18"/>
          <w:color w:val="auto"/>
        </w:rPr>
        <w:t xml:space="preserve"> (such increase shall result in a reduction in availability under </w:t>
      </w:r>
      <w:r>
        <w:rPr>
          <w:rFonts w:ascii="Arial" w:cs="Arial" w:eastAsia="Arial" w:hAnsi="Arial"/>
          <w:sz w:val="18"/>
          <w:szCs w:val="18"/>
          <w:u w:val="single" w:color="auto"/>
          <w:color w:val="auto"/>
        </w:rPr>
        <w:t>Section 6.06(q)(i))</w:t>
      </w:r>
      <w:r>
        <w:rPr>
          <w:rFonts w:ascii="Arial" w:cs="Arial" w:eastAsia="Arial" w:hAnsi="Arial"/>
          <w:sz w:val="18"/>
          <w:szCs w:val="18"/>
          <w:color w:val="auto"/>
        </w:rPr>
        <w:t>;</w:t>
      </w:r>
    </w:p>
    <w:p>
      <w:pPr>
        <w:spacing w:after="0" w:line="185" w:lineRule="exact"/>
        <w:rPr>
          <w:sz w:val="20"/>
          <w:szCs w:val="20"/>
          <w:color w:val="auto"/>
        </w:rPr>
      </w:pPr>
    </w:p>
    <w:p>
      <w:pPr>
        <w:jc w:val="both"/>
        <w:ind w:left="760" w:firstLine="1045"/>
        <w:spacing w:after="0" w:line="277" w:lineRule="auto"/>
        <w:tabs>
          <w:tab w:leader="none" w:pos="204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(A) Restricted Debt Payments in exchange for, or with proceeds of any issuance of, Qualified Capital Stock of the Borrower and/or any capital contribution in respect of Qualified Capital Stock of the Borrower, (B) Restricted Debt Payments as a result of the conversion of all or any portion of any Restricted Debt into Qualified Capital Stock of the Borrower and (C) to the extent constituting a Restricted Debt Payment, payment-in-kind interest with respect to any Restricted Debt that is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2"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(vi)Restricted Debt Payments in an aggregate amount not to exceed (A) the portion, if any, of the Available Amount on such date that the Borrower elects to apply to this </w:t>
      </w:r>
      <w:r>
        <w:rPr>
          <w:rFonts w:ascii="Arial" w:cs="Arial" w:eastAsia="Arial" w:hAnsi="Arial"/>
          <w:sz w:val="18"/>
          <w:szCs w:val="18"/>
          <w:u w:val="single" w:color="auto"/>
          <w:color w:val="auto"/>
        </w:rPr>
        <w:t>clause (vi)(A)</w:t>
      </w:r>
      <w:r>
        <w:rPr>
          <w:rFonts w:ascii="Arial" w:cs="Arial" w:eastAsia="Arial" w:hAnsi="Arial"/>
          <w:sz w:val="18"/>
          <w:szCs w:val="18"/>
          <w:color w:val="auto"/>
        </w:rPr>
        <w:t xml:space="preserve"> and/or (B) the portion, if any, of the Available Excluded Contribution Amount on such date that the Borrower elects to apply to this </w:t>
      </w:r>
      <w:r>
        <w:rPr>
          <w:rFonts w:ascii="Arial" w:cs="Arial" w:eastAsia="Arial" w:hAnsi="Arial"/>
          <w:sz w:val="18"/>
          <w:szCs w:val="18"/>
          <w:u w:val="single" w:color="auto"/>
          <w:color w:val="auto"/>
        </w:rPr>
        <w:t>clause (vi)(B)</w:t>
      </w:r>
      <w:r>
        <w:rPr>
          <w:rFonts w:ascii="Arial" w:cs="Arial" w:eastAsia="Arial" w:hAnsi="Arial"/>
          <w:sz w:val="18"/>
          <w:szCs w:val="18"/>
          <w:color w:val="auto"/>
        </w:rPr>
        <w:t>;</w:t>
      </w:r>
    </w:p>
    <w:p>
      <w:pPr>
        <w:spacing w:after="0" w:line="182"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(vii)Restricted Debt Payments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at the time of delivery of irrevocable notice of such Restricted Debt Payment and (B) the Total Leverage Ratio, calculated on a Pro Forma Basis, would not exceed 4.50:1:00;</w:t>
      </w:r>
    </w:p>
    <w:p>
      <w:pPr>
        <w:spacing w:after="0" w:line="18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(viii)Restricted Debt Payments in an aggregate amount not to exceed the Available RP Capacity Amount; and</w:t>
      </w:r>
    </w:p>
    <w:p>
      <w:pPr>
        <w:spacing w:after="0" w:line="223"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(ix)mandatory prepayments of Restricted Debt (and related payments of interest) made with Declined Proceeds (it being understood that any Declined Proceeds applied to make Restricted Debt Payments in reliance on this </w:t>
      </w:r>
      <w:r>
        <w:rPr>
          <w:rFonts w:ascii="Arial" w:cs="Arial" w:eastAsia="Arial" w:hAnsi="Arial"/>
          <w:sz w:val="18"/>
          <w:szCs w:val="18"/>
          <w:u w:val="single" w:color="auto"/>
          <w:color w:val="auto"/>
        </w:rPr>
        <w:t>Section 6.04(b)(ix)</w:t>
      </w:r>
      <w:r>
        <w:rPr>
          <w:rFonts w:ascii="Arial" w:cs="Arial" w:eastAsia="Arial" w:hAnsi="Arial"/>
          <w:sz w:val="18"/>
          <w:szCs w:val="18"/>
          <w:color w:val="auto"/>
        </w:rPr>
        <w:t xml:space="preserve"> shall not increase the amount available under </w:t>
      </w:r>
      <w:r>
        <w:rPr>
          <w:rFonts w:ascii="Arial" w:cs="Arial" w:eastAsia="Arial" w:hAnsi="Arial"/>
          <w:sz w:val="18"/>
          <w:szCs w:val="18"/>
          <w:u w:val="single" w:color="auto"/>
          <w:color w:val="auto"/>
        </w:rPr>
        <w:t>clause (a)(viii)</w:t>
      </w:r>
      <w:r>
        <w:rPr>
          <w:rFonts w:ascii="Arial" w:cs="Arial" w:eastAsia="Arial" w:hAnsi="Arial"/>
          <w:sz w:val="18"/>
          <w:szCs w:val="18"/>
          <w:color w:val="auto"/>
        </w:rPr>
        <w:t xml:space="preserve"> of the definition of “Available Amount” to the extent so applied).</w:t>
      </w:r>
    </w:p>
    <w:p>
      <w:pPr>
        <w:spacing w:after="0" w:line="18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u w:val="single" w:color="auto"/>
          <w:color w:val="auto"/>
        </w:rPr>
        <w:t>Section 6.05.Burdensome Agreements</w:t>
      </w:r>
      <w:r>
        <w:rPr>
          <w:rFonts w:ascii="Arial" w:cs="Arial" w:eastAsia="Arial" w:hAnsi="Arial"/>
          <w:sz w:val="18"/>
          <w:szCs w:val="18"/>
          <w:color w:val="auto"/>
        </w:rPr>
        <w:t xml:space="preserve">. Except as provided herein or in any other Loan Document and/or in agreements with respect to refinancings, renewals or replacements of such Indebtedness that are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shall not, nor shall it permit any of its Restricted Subsidiaries to, enter into or cause to exist any agreement restricting the ability of (x) any Restricted Subsidiary of the Borrower that is not a Loan Party to pay dividends or other distributions to the Borrower or any Loan Party or (y) any Restricted Subsidiary that is not a Loan Party to make cash loans or advances to the Borrower or any Loan Party, except restrictions:</w:t>
      </w:r>
    </w:p>
    <w:p>
      <w:pPr>
        <w:spacing w:after="0" w:line="190" w:lineRule="exact"/>
        <w:rPr>
          <w:sz w:val="20"/>
          <w:szCs w:val="20"/>
          <w:color w:val="auto"/>
        </w:rPr>
      </w:pPr>
    </w:p>
    <w:p>
      <w:pPr>
        <w:jc w:val="both"/>
        <w:ind w:left="760" w:firstLine="745"/>
        <w:spacing w:after="0" w:line="285" w:lineRule="auto"/>
        <w:tabs>
          <w:tab w:leader="none" w:pos="185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set forth in any agreement evidencing (i) Indebtedness of a Restricted Subsidiary that is not a Loan Party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t>
      </w:r>
      <w:r>
        <w:rPr>
          <w:rFonts w:ascii="Arial" w:cs="Arial" w:eastAsia="Arial" w:hAnsi="Arial"/>
          <w:sz w:val="16"/>
          <w:szCs w:val="16"/>
          <w:color w:val="auto"/>
        </w:rPr>
        <w:t xml:space="preserve">, (ii) Indebtedness permitted by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Arial" w:cs="Arial" w:eastAsia="Arial" w:hAnsi="Arial"/>
          <w:sz w:val="16"/>
          <w:szCs w:val="16"/>
          <w:u w:val="single" w:color="auto"/>
          <w:color w:val="auto"/>
        </w:rPr>
        <w:t>clauses (j), (m)</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(as it relates to Indebtedness in respect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(q)</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(q)</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w:t>
      </w:r>
    </w:p>
    <w:p>
      <w:pPr>
        <w:ind w:left="1060" w:hanging="304"/>
        <w:spacing w:after="0"/>
        <w:tabs>
          <w:tab w:leader="none" w:pos="1060" w:val="left"/>
        </w:tabs>
        <w:numPr>
          <w:ilvl w:val="0"/>
          <w:numId w:val="221"/>
        </w:numPr>
        <w:rPr>
          <w:rFonts w:ascii="Arial" w:cs="Arial" w:eastAsia="Arial" w:hAnsi="Arial"/>
          <w:sz w:val="18"/>
          <w:szCs w:val="18"/>
          <w:u w:val="single" w:color="auto"/>
          <w:color w:val="auto"/>
        </w:rPr>
      </w:pPr>
      <w:r>
        <w:rPr>
          <w:rFonts w:ascii="Arial" w:cs="Arial" w:eastAsia="Arial" w:hAnsi="Arial"/>
          <w:sz w:val="18"/>
          <w:szCs w:val="18"/>
          <w:color w:val="auto"/>
        </w:rPr>
        <w:t xml:space="preserve">and/or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08" w:lineRule="exact"/>
        <w:rPr>
          <w:rFonts w:ascii="Arial" w:cs="Arial" w:eastAsia="Arial" w:hAnsi="Arial"/>
          <w:sz w:val="18"/>
          <w:szCs w:val="18"/>
          <w:u w:val="single" w:color="auto"/>
          <w:color w:val="auto"/>
        </w:rPr>
      </w:pPr>
    </w:p>
    <w:p>
      <w:pPr>
        <w:jc w:val="both"/>
        <w:ind w:left="760" w:firstLine="745"/>
        <w:spacing w:after="0" w:line="262" w:lineRule="auto"/>
        <w:tabs>
          <w:tab w:leader="none" w:pos="186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arising under customary provisions restricting assignments, subletting, licensing, sublicensing or other transfers (including the granting of any Lien) contained in leases, subleases, licenses, sublicenses, joint venture agreements and other agreements entered into in the ordinary course of business;</w:t>
      </w:r>
    </w:p>
    <w:p>
      <w:pPr>
        <w:spacing w:after="0" w:line="182" w:lineRule="exact"/>
        <w:rPr>
          <w:rFonts w:ascii="Arial" w:cs="Arial" w:eastAsia="Arial" w:hAnsi="Arial"/>
          <w:sz w:val="18"/>
          <w:szCs w:val="18"/>
          <w:color w:val="auto"/>
        </w:rPr>
      </w:pPr>
    </w:p>
    <w:p>
      <w:pPr>
        <w:ind w:left="760" w:firstLine="745"/>
        <w:spacing w:after="0" w:line="275" w:lineRule="auto"/>
        <w:tabs>
          <w:tab w:leader="none" w:pos="184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that are or were created by virtue of any Lien granted upon, transfer of, agreement to transfer or grant of, any option or right with respect to any assets or Capital Stock not otherwise prohibited under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84" w:name="page185"/>
    <w:bookmarkEnd w:id="184"/>
    <w:p>
      <w:pPr>
        <w:jc w:val="both"/>
        <w:ind w:left="760" w:firstLine="745"/>
        <w:spacing w:after="0" w:line="262" w:lineRule="auto"/>
        <w:tabs>
          <w:tab w:leader="none" w:pos="186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spacing w:after="0" w:line="182" w:lineRule="exact"/>
        <w:rPr>
          <w:rFonts w:ascii="Arial" w:cs="Arial" w:eastAsia="Arial" w:hAnsi="Arial"/>
          <w:sz w:val="18"/>
          <w:szCs w:val="18"/>
          <w:color w:val="auto"/>
        </w:rPr>
      </w:pPr>
    </w:p>
    <w:p>
      <w:pPr>
        <w:jc w:val="both"/>
        <w:ind w:left="760" w:firstLine="745"/>
        <w:spacing w:after="0" w:line="262" w:lineRule="auto"/>
        <w:tabs>
          <w:tab w:leader="none" w:pos="185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82" w:lineRule="exact"/>
        <w:rPr>
          <w:rFonts w:ascii="Arial" w:cs="Arial" w:eastAsia="Arial" w:hAnsi="Arial"/>
          <w:sz w:val="18"/>
          <w:szCs w:val="18"/>
          <w:color w:val="auto"/>
        </w:rPr>
      </w:pPr>
    </w:p>
    <w:p>
      <w:pPr>
        <w:ind w:left="760" w:firstLine="745"/>
        <w:spacing w:after="0" w:line="275" w:lineRule="auto"/>
        <w:tabs>
          <w:tab w:leader="none" w:pos="18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set forth in provisions in agreements or instruments which prohibit the payment of dividends or the making of other distributions with respect to any class of Capital Stock of a Person other than on a pro rata basis;</w:t>
      </w:r>
    </w:p>
    <w:p>
      <w:pPr>
        <w:spacing w:after="0" w:line="170" w:lineRule="exact"/>
        <w:rPr>
          <w:rFonts w:ascii="Arial" w:cs="Arial" w:eastAsia="Arial" w:hAnsi="Arial"/>
          <w:sz w:val="18"/>
          <w:szCs w:val="18"/>
          <w:color w:val="auto"/>
        </w:rPr>
      </w:pPr>
    </w:p>
    <w:p>
      <w:pPr>
        <w:ind w:left="760" w:firstLine="745"/>
        <w:spacing w:after="0" w:line="275" w:lineRule="auto"/>
        <w:tabs>
          <w:tab w:leader="none" w:pos="183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imposed by customary provisions in partnership agreements, limited liability company organizational governance documents, joint venture agreements and other similar agreements;</w:t>
      </w:r>
    </w:p>
    <w:p>
      <w:pPr>
        <w:spacing w:after="0" w:line="170" w:lineRule="exact"/>
        <w:rPr>
          <w:rFonts w:ascii="Arial" w:cs="Arial" w:eastAsia="Arial" w:hAnsi="Arial"/>
          <w:sz w:val="18"/>
          <w:szCs w:val="18"/>
          <w:color w:val="auto"/>
        </w:rPr>
      </w:pPr>
    </w:p>
    <w:p>
      <w:pPr>
        <w:ind w:left="760" w:firstLine="745"/>
        <w:spacing w:after="0" w:line="275" w:lineRule="auto"/>
        <w:tabs>
          <w:tab w:leader="none" w:pos="184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70" w:lineRule="exact"/>
        <w:rPr>
          <w:rFonts w:ascii="Arial" w:cs="Arial" w:eastAsia="Arial" w:hAnsi="Arial"/>
          <w:sz w:val="18"/>
          <w:szCs w:val="18"/>
          <w:color w:val="auto"/>
        </w:rPr>
      </w:pPr>
    </w:p>
    <w:p>
      <w:pPr>
        <w:ind w:left="1840" w:hanging="335"/>
        <w:spacing w:after="0"/>
        <w:tabs>
          <w:tab w:leader="none" w:pos="18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set forth in documents which exist on the Closing Date and were not created in contemplation thereof;</w:t>
      </w:r>
    </w:p>
    <w:p>
      <w:pPr>
        <w:spacing w:after="0" w:line="222" w:lineRule="exact"/>
        <w:rPr>
          <w:rFonts w:ascii="Arial" w:cs="Arial" w:eastAsia="Arial" w:hAnsi="Arial"/>
          <w:sz w:val="18"/>
          <w:szCs w:val="18"/>
          <w:color w:val="auto"/>
        </w:rPr>
      </w:pPr>
    </w:p>
    <w:p>
      <w:pPr>
        <w:jc w:val="both"/>
        <w:ind w:left="760" w:firstLine="745"/>
        <w:spacing w:after="0" w:line="262" w:lineRule="auto"/>
        <w:tabs>
          <w:tab w:leader="none" w:pos="18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spacing w:after="0" w:line="182" w:lineRule="exact"/>
        <w:rPr>
          <w:rFonts w:ascii="Arial" w:cs="Arial" w:eastAsia="Arial" w:hAnsi="Arial"/>
          <w:sz w:val="18"/>
          <w:szCs w:val="18"/>
          <w:color w:val="auto"/>
        </w:rPr>
      </w:pPr>
    </w:p>
    <w:p>
      <w:pPr>
        <w:ind w:left="1840" w:hanging="335"/>
        <w:spacing w:after="0"/>
        <w:tabs>
          <w:tab w:leader="none" w:pos="18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arising under or as a result of applicable Requirements of Law or the terms of any license, authorization, concession or permit;</w:t>
      </w:r>
    </w:p>
    <w:p>
      <w:pPr>
        <w:spacing w:after="0" w:line="245" w:lineRule="exact"/>
        <w:rPr>
          <w:rFonts w:ascii="Arial" w:cs="Arial" w:eastAsia="Arial" w:hAnsi="Arial"/>
          <w:sz w:val="16"/>
          <w:szCs w:val="16"/>
          <w:color w:val="auto"/>
        </w:rPr>
      </w:pPr>
    </w:p>
    <w:p>
      <w:pPr>
        <w:ind w:left="1840" w:hanging="335"/>
        <w:spacing w:after="0"/>
        <w:tabs>
          <w:tab w:leader="none" w:pos="18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arising in any Hedge Agreement and/or any agreement relating to any Banking Services Obligation;</w:t>
      </w:r>
    </w:p>
    <w:p>
      <w:pPr>
        <w:spacing w:after="0" w:line="222" w:lineRule="exact"/>
        <w:rPr>
          <w:rFonts w:ascii="Arial" w:cs="Arial" w:eastAsia="Arial" w:hAnsi="Arial"/>
          <w:sz w:val="18"/>
          <w:szCs w:val="18"/>
          <w:color w:val="auto"/>
        </w:rPr>
      </w:pPr>
    </w:p>
    <w:p>
      <w:pPr>
        <w:jc w:val="both"/>
        <w:ind w:left="760" w:firstLine="745"/>
        <w:spacing w:after="0" w:line="262" w:lineRule="auto"/>
        <w:tabs>
          <w:tab w:leader="none" w:pos="18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relating to any asset (or all of the assets) of and/or the Capital Stock of the Borrower and/or any Restricted Subsidiary which is imposed pursuant to an agreement entered into in connection with any Disposition of such asset (or assets) and/or all or a portion of the Capital Stock of the relevant Person that is permitted or not restricted by this Agreement;</w:t>
      </w:r>
    </w:p>
    <w:p>
      <w:pPr>
        <w:spacing w:after="0" w:line="182" w:lineRule="exact"/>
        <w:rPr>
          <w:rFonts w:ascii="Arial" w:cs="Arial" w:eastAsia="Arial" w:hAnsi="Arial"/>
          <w:sz w:val="18"/>
          <w:szCs w:val="18"/>
          <w:color w:val="auto"/>
        </w:rPr>
      </w:pPr>
    </w:p>
    <w:p>
      <w:pPr>
        <w:ind w:left="760" w:firstLine="745"/>
        <w:spacing w:after="0" w:line="275" w:lineRule="auto"/>
        <w:tabs>
          <w:tab w:leader="none" w:pos="18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set forth in any agreement relating to any Permitted Lien that limit the right of the Borrower or any Restricted Subsidiary to Dispose of or encumber the assets subject thereto; and/or</w:t>
      </w:r>
    </w:p>
    <w:p>
      <w:pPr>
        <w:spacing w:after="0" w:line="170" w:lineRule="exact"/>
        <w:rPr>
          <w:rFonts w:ascii="Arial" w:cs="Arial" w:eastAsia="Arial" w:hAnsi="Arial"/>
          <w:sz w:val="18"/>
          <w:szCs w:val="18"/>
          <w:color w:val="auto"/>
        </w:rPr>
      </w:pPr>
    </w:p>
    <w:p>
      <w:pPr>
        <w:jc w:val="both"/>
        <w:ind w:left="760" w:firstLine="745"/>
        <w:spacing w:after="0" w:line="255" w:lineRule="auto"/>
        <w:tabs>
          <w:tab w:leader="none" w:pos="185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imposed by any amendment, modification, restatement, renewal, increase, supplement, refunding, replacement or refinancing of any contract, instrument or obligation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90" w:lineRule="exact"/>
        <w:rPr>
          <w:sz w:val="20"/>
          <w:szCs w:val="20"/>
          <w:color w:val="auto"/>
        </w:rPr>
      </w:pPr>
    </w:p>
    <w:p>
      <w:pPr>
        <w:ind w:firstLine="749"/>
        <w:spacing w:after="0" w:line="275" w:lineRule="auto"/>
        <w:rPr>
          <w:sz w:val="20"/>
          <w:szCs w:val="20"/>
          <w:color w:val="auto"/>
        </w:rPr>
      </w:pPr>
      <w:r>
        <w:rPr>
          <w:rFonts w:ascii="Arial" w:cs="Arial" w:eastAsia="Arial" w:hAnsi="Arial"/>
          <w:sz w:val="18"/>
          <w:szCs w:val="18"/>
          <w:u w:val="single" w:color="auto"/>
          <w:color w:val="auto"/>
        </w:rPr>
        <w:t>Section 6.06.Investments</w:t>
      </w:r>
      <w:r>
        <w:rPr>
          <w:rFonts w:ascii="Arial" w:cs="Arial" w:eastAsia="Arial" w:hAnsi="Arial"/>
          <w:sz w:val="18"/>
          <w:szCs w:val="18"/>
          <w:color w:val="auto"/>
        </w:rPr>
        <w:t>. The Borrower shall not, nor shall it permit any of its Restricted Subsidiaries to, make or own any Investment in any other Person except:</w:t>
      </w:r>
    </w:p>
    <w:p>
      <w:pPr>
        <w:spacing w:after="0" w:line="171" w:lineRule="exact"/>
        <w:rPr>
          <w:sz w:val="20"/>
          <w:szCs w:val="20"/>
          <w:color w:val="auto"/>
        </w:rPr>
      </w:pPr>
    </w:p>
    <w:p>
      <w:pPr>
        <w:ind w:left="1840" w:hanging="335"/>
        <w:spacing w:after="0"/>
        <w:tabs>
          <w:tab w:leader="none" w:pos="18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Cash or Investments that were Cash Equivalents at the time made;</w:t>
      </w:r>
    </w:p>
    <w:p>
      <w:pPr>
        <w:spacing w:after="0" w:line="222" w:lineRule="exact"/>
        <w:rPr>
          <w:rFonts w:ascii="Arial" w:cs="Arial" w:eastAsia="Arial" w:hAnsi="Arial"/>
          <w:sz w:val="18"/>
          <w:szCs w:val="18"/>
          <w:color w:val="auto"/>
        </w:rPr>
      </w:pPr>
    </w:p>
    <w:p>
      <w:pPr>
        <w:ind w:left="5480" w:right="3380" w:hanging="3975"/>
        <w:spacing w:after="0" w:line="524" w:lineRule="auto"/>
        <w:tabs>
          <w:tab w:leader="none" w:pos="186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Investments made among the Borrower and/or one or more Restricted Subsidiaries;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3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85" w:name="page186"/>
    <w:bookmarkEnd w:id="185"/>
    <w:p>
      <w:pPr>
        <w:jc w:val="both"/>
        <w:ind w:left="-360" w:firstLine="745"/>
        <w:spacing w:after="0" w:line="258" w:lineRule="auto"/>
        <w:tabs>
          <w:tab w:leader="none" w:pos="75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Investments (i) constituting deposits, prepayments and/or other credits to suppliers, (ii) made in connection with obtaining, maintaining or renewing client and customer contracts and/or (iii) in the form of advances made to distributors, suppliers, licensors and licensees, in each case, in the ordinary course of business or,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to the extent necessary to maintain the ordinary course of supplies to the Borrower or any Restricted Subsidiary;</w:t>
      </w:r>
    </w:p>
    <w:p>
      <w:pPr>
        <w:spacing w:after="0" w:line="184" w:lineRule="exact"/>
        <w:rPr>
          <w:rFonts w:ascii="Arial" w:cs="Arial" w:eastAsia="Arial" w:hAnsi="Arial"/>
          <w:sz w:val="18"/>
          <w:szCs w:val="18"/>
          <w:color w:val="auto"/>
        </w:rPr>
      </w:pPr>
    </w:p>
    <w:p>
      <w:pPr>
        <w:jc w:val="both"/>
        <w:ind w:left="-360" w:firstLine="745"/>
        <w:spacing w:after="0" w:line="255" w:lineRule="auto"/>
        <w:tabs>
          <w:tab w:leader="none" w:pos="71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Investments in (i) Unrestricted Subsidiaries in an aggregate outstanding amount not to exceed the greater of $82,250,000 and 35% of Consolidated Adjusted EBITDA as of the last day of the most recently ended Test Period, (ii) any Similar Business in an aggregate outstanding amount not to exceed the greater of $82,250,000 and 35% of Consolidated Adjusted EBITDA as of the last day of the most recently ended Test Period and (iii) joint ventures in an aggregate outstanding amount not to exceed the greater of $82,250,000 and 35% of Consolidated Adjusted EBITDA as of the last day of the most recently ended Test Period;</w:t>
      </w:r>
    </w:p>
    <w:p>
      <w:pPr>
        <w:spacing w:after="0" w:line="190" w:lineRule="exact"/>
        <w:rPr>
          <w:rFonts w:ascii="Arial" w:cs="Arial" w:eastAsia="Arial" w:hAnsi="Arial"/>
          <w:sz w:val="18"/>
          <w:szCs w:val="18"/>
          <w:color w:val="auto"/>
        </w:rPr>
      </w:pPr>
    </w:p>
    <w:p>
      <w:pPr>
        <w:ind w:left="720" w:hanging="335"/>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2" w:lineRule="exact"/>
        <w:rPr>
          <w:rFonts w:ascii="Arial" w:cs="Arial" w:eastAsia="Arial" w:hAnsi="Arial"/>
          <w:sz w:val="18"/>
          <w:szCs w:val="18"/>
          <w:color w:val="auto"/>
        </w:rPr>
      </w:pPr>
    </w:p>
    <w:p>
      <w:pPr>
        <w:jc w:val="both"/>
        <w:ind w:left="-360" w:firstLine="745"/>
        <w:spacing w:after="0" w:line="258" w:lineRule="auto"/>
        <w:tabs>
          <w:tab w:leader="none" w:pos="74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Investments (i) existing on the Closing Date, (ii) or contractually committed to or contemplated as of, the Closing Date and described on </w:t>
      </w:r>
      <w:r>
        <w:rPr>
          <w:rFonts w:ascii="Arial" w:cs="Arial" w:eastAsia="Arial" w:hAnsi="Arial"/>
          <w:sz w:val="18"/>
          <w:szCs w:val="18"/>
          <w:u w:val="single" w:color="auto"/>
          <w:color w:val="auto"/>
        </w:rPr>
        <w:t>Schedule 6.06</w:t>
      </w:r>
      <w:r>
        <w:rPr>
          <w:rFonts w:ascii="Arial" w:cs="Arial" w:eastAsia="Arial" w:hAnsi="Arial"/>
          <w:sz w:val="18"/>
          <w:szCs w:val="18"/>
          <w:color w:val="auto"/>
        </w:rPr>
        <w:t xml:space="preserve"> and (iii) any modification, replacement, renewal or extension of any Investment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so long as no such modification, renewal or extension increases the amount of such Investment except by the terms thereof or as otherwise permitted by this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60" w:firstLine="745"/>
        <w:spacing w:after="0" w:line="275" w:lineRule="auto"/>
        <w:tabs>
          <w:tab w:leader="none" w:pos="73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Investments received in lieu of Cash in connection with any Disposition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or any other disposition of assets not constituting a Disposition;</w:t>
      </w:r>
    </w:p>
    <w:p>
      <w:pPr>
        <w:spacing w:after="0" w:line="170" w:lineRule="exact"/>
        <w:rPr>
          <w:rFonts w:ascii="Arial" w:cs="Arial" w:eastAsia="Arial" w:hAnsi="Arial"/>
          <w:sz w:val="18"/>
          <w:szCs w:val="18"/>
          <w:color w:val="auto"/>
        </w:rPr>
      </w:pPr>
    </w:p>
    <w:p>
      <w:pPr>
        <w:jc w:val="both"/>
        <w:ind w:left="-360" w:firstLine="745"/>
        <w:spacing w:after="0" w:line="274" w:lineRule="auto"/>
        <w:tabs>
          <w:tab w:leader="none" w:pos="74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either (i) in an aggregate principal amount not to exceed $15,000,000 at any one time outstanding or (ii) so long as the proceeds of such loan or advance are substantially contemporaneously contributed to the Borrower for the purchase of such Capital Stock;</w:t>
      </w:r>
    </w:p>
    <w:p>
      <w:pPr>
        <w:spacing w:after="0" w:line="174" w:lineRule="exact"/>
        <w:rPr>
          <w:rFonts w:ascii="Arial" w:cs="Arial" w:eastAsia="Arial" w:hAnsi="Arial"/>
          <w:sz w:val="17"/>
          <w:szCs w:val="17"/>
          <w:color w:val="auto"/>
        </w:rPr>
      </w:pPr>
    </w:p>
    <w:p>
      <w:pPr>
        <w:ind w:left="-360" w:firstLine="745"/>
        <w:spacing w:after="0" w:line="275" w:lineRule="auto"/>
        <w:tabs>
          <w:tab w:leader="none" w:pos="73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w:t>
      </w:r>
    </w:p>
    <w:p>
      <w:pPr>
        <w:spacing w:after="0" w:line="170" w:lineRule="exact"/>
        <w:rPr>
          <w:rFonts w:ascii="Arial" w:cs="Arial" w:eastAsia="Arial" w:hAnsi="Arial"/>
          <w:sz w:val="18"/>
          <w:szCs w:val="18"/>
          <w:color w:val="auto"/>
        </w:rPr>
      </w:pPr>
    </w:p>
    <w:p>
      <w:pPr>
        <w:jc w:val="both"/>
        <w:ind w:left="-360" w:firstLine="745"/>
        <w:spacing w:after="0" w:line="295" w:lineRule="auto"/>
        <w:tabs>
          <w:tab w:leader="none" w:pos="72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Investments consisting of (or resulting from)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Indebtedness permitted under </w:t>
      </w:r>
      <w:r>
        <w:rPr>
          <w:rFonts w:ascii="Arial" w:cs="Arial" w:eastAsia="Arial" w:hAnsi="Arial"/>
          <w:sz w:val="16"/>
          <w:szCs w:val="16"/>
          <w:u w:val="single" w:color="auto"/>
          <w:color w:val="auto"/>
        </w:rPr>
        <w:t>Sections 6.01(b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Permitted Liens, Restricted Payments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6.04(a)(ix)</w:t>
      </w:r>
      <w:r>
        <w:rPr>
          <w:rFonts w:ascii="Arial" w:cs="Arial" w:eastAsia="Arial" w:hAnsi="Arial"/>
          <w:sz w:val="16"/>
          <w:szCs w:val="16"/>
          <w:color w:val="auto"/>
        </w:rPr>
        <w:t xml:space="preserve">), Restricted Debt Payments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mergers, consolidations, amalgamations, liquidations, windings up, dissolutions or Dispositions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6.07(a)</w:t>
      </w:r>
      <w:r>
        <w:rPr>
          <w:rFonts w:ascii="Arial" w:cs="Arial" w:eastAsia="Arial" w:hAnsi="Arial"/>
          <w:sz w:val="16"/>
          <w:szCs w:val="16"/>
          <w:color w:val="auto"/>
        </w:rPr>
        <w:t xml:space="preserve"> (if made in reliance on </w:t>
      </w:r>
      <w:r>
        <w:rPr>
          <w:rFonts w:ascii="Arial" w:cs="Arial" w:eastAsia="Arial" w:hAnsi="Arial"/>
          <w:sz w:val="16"/>
          <w:szCs w:val="16"/>
          <w:u w:val="single" w:color="auto"/>
          <w:color w:val="auto"/>
        </w:rPr>
        <w:t>subclause (ii)(y)</w:t>
      </w:r>
      <w:r>
        <w:rPr>
          <w:rFonts w:ascii="Arial" w:cs="Arial" w:eastAsia="Arial" w:hAnsi="Arial"/>
          <w:sz w:val="16"/>
          <w:szCs w:val="16"/>
          <w:color w:val="auto"/>
        </w:rPr>
        <w:t xml:space="preserve"> of the proviso thereto), </w:t>
      </w:r>
      <w:r>
        <w:rPr>
          <w:rFonts w:ascii="Arial" w:cs="Arial" w:eastAsia="Arial" w:hAnsi="Arial"/>
          <w:sz w:val="16"/>
          <w:szCs w:val="16"/>
          <w:u w:val="single" w:color="auto"/>
          <w:color w:val="auto"/>
        </w:rPr>
        <w:t>Section 6.07(b)</w:t>
      </w:r>
      <w:r>
        <w:rPr>
          <w:rFonts w:ascii="Arial" w:cs="Arial" w:eastAsia="Arial" w:hAnsi="Arial"/>
          <w:sz w:val="16"/>
          <w:szCs w:val="16"/>
          <w:color w:val="auto"/>
        </w:rPr>
        <w:t xml:space="preserve"> (if made in reliance on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therein), </w:t>
      </w:r>
      <w:r>
        <w:rPr>
          <w:rFonts w:ascii="Arial" w:cs="Arial" w:eastAsia="Arial" w:hAnsi="Arial"/>
          <w:sz w:val="16"/>
          <w:szCs w:val="16"/>
          <w:u w:val="single" w:color="auto"/>
          <w:color w:val="auto"/>
        </w:rPr>
        <w:t>Section 6.07(c)(ii)</w:t>
      </w:r>
      <w:r>
        <w:rPr>
          <w:rFonts w:ascii="Arial" w:cs="Arial" w:eastAsia="Arial" w:hAnsi="Arial"/>
          <w:sz w:val="16"/>
          <w:szCs w:val="16"/>
          <w:color w:val="auto"/>
        </w:rPr>
        <w:t xml:space="preserve"> (if made in reliance on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therein) and </w:t>
      </w:r>
      <w:r>
        <w:rPr>
          <w:rFonts w:ascii="Arial" w:cs="Arial" w:eastAsia="Arial" w:hAnsi="Arial"/>
          <w:sz w:val="16"/>
          <w:szCs w:val="16"/>
          <w:u w:val="single" w:color="auto"/>
          <w:color w:val="auto"/>
        </w:rPr>
        <w:t>Section 6.07(g)</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360" w:firstLine="745"/>
        <w:spacing w:after="0" w:line="275" w:lineRule="auto"/>
        <w:tabs>
          <w:tab w:leader="none" w:pos="76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 and customary trade arrangements with customers;</w:t>
      </w:r>
    </w:p>
    <w:p>
      <w:pPr>
        <w:spacing w:after="0" w:line="170" w:lineRule="exact"/>
        <w:rPr>
          <w:rFonts w:ascii="Arial" w:cs="Arial" w:eastAsia="Arial" w:hAnsi="Arial"/>
          <w:sz w:val="18"/>
          <w:szCs w:val="18"/>
          <w:color w:val="auto"/>
        </w:rPr>
      </w:pPr>
    </w:p>
    <w:p>
      <w:pPr>
        <w:jc w:val="both"/>
        <w:ind w:left="-360" w:firstLine="745"/>
        <w:spacing w:after="0" w:line="277" w:lineRule="auto"/>
        <w:tabs>
          <w:tab w:leader="none" w:pos="71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spacing w:after="0" w:line="172" w:lineRule="exact"/>
        <w:rPr>
          <w:rFonts w:ascii="Arial" w:cs="Arial" w:eastAsia="Arial" w:hAnsi="Arial"/>
          <w:sz w:val="17"/>
          <w:szCs w:val="17"/>
          <w:color w:val="auto"/>
        </w:rPr>
      </w:pPr>
    </w:p>
    <w:p>
      <w:pPr>
        <w:ind w:left="-360" w:firstLine="745"/>
        <w:spacing w:after="0" w:line="275" w:lineRule="auto"/>
        <w:tabs>
          <w:tab w:leader="none" w:pos="7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loans and advances of payroll payments or other compensation to present or former employees, directors, members of management, officers, managers or consultants of any Parent Company</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86" w:name="page187"/>
    <w:bookmarkEnd w:id="186"/>
    <w:p>
      <w:pPr>
        <w:jc w:val="both"/>
        <w:spacing w:after="0" w:line="284" w:lineRule="auto"/>
        <w:rPr>
          <w:sz w:val="20"/>
          <w:szCs w:val="20"/>
          <w:color w:val="auto"/>
        </w:rPr>
      </w:pPr>
      <w:r>
        <w:rPr>
          <w:rFonts w:ascii="Arial" w:cs="Arial" w:eastAsia="Arial" w:hAnsi="Arial"/>
          <w:sz w:val="17"/>
          <w:szCs w:val="17"/>
          <w:color w:val="auto"/>
        </w:rPr>
        <w:t>(to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Subsidiary in the ordinary course of business;</w:t>
      </w:r>
    </w:p>
    <w:p>
      <w:pPr>
        <w:spacing w:after="0" w:line="166" w:lineRule="exact"/>
        <w:rPr>
          <w:sz w:val="20"/>
          <w:szCs w:val="20"/>
          <w:color w:val="auto"/>
        </w:rPr>
      </w:pPr>
    </w:p>
    <w:p>
      <w:pPr>
        <w:ind w:firstLine="745"/>
        <w:spacing w:after="0" w:line="275" w:lineRule="auto"/>
        <w:tabs>
          <w:tab w:leader="none" w:pos="109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Investments to the extent that payment therefor is made solely with Capital Stock of any Parent Company or Qualified Capital Stock of the Borrower or any Restricted Subsidiary, in each case, to the extent not resulting in a Change of Control;</w:t>
      </w:r>
    </w:p>
    <w:p>
      <w:pPr>
        <w:spacing w:after="0" w:line="170" w:lineRule="exact"/>
        <w:rPr>
          <w:rFonts w:ascii="Arial" w:cs="Arial" w:eastAsia="Arial" w:hAnsi="Arial"/>
          <w:sz w:val="18"/>
          <w:szCs w:val="18"/>
          <w:color w:val="auto"/>
        </w:rPr>
      </w:pPr>
    </w:p>
    <w:p>
      <w:pPr>
        <w:jc w:val="both"/>
        <w:ind w:firstLine="745"/>
        <w:spacing w:after="0" w:line="253" w:lineRule="auto"/>
        <w:tabs>
          <w:tab w:leader="none" w:pos="109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6.06(o)</w:t>
      </w:r>
      <w:r>
        <w:rPr>
          <w:rFonts w:ascii="Arial" w:cs="Arial" w:eastAsia="Arial" w:hAnsi="Arial"/>
          <w:sz w:val="18"/>
          <w:szCs w:val="18"/>
          <w:color w:val="auto"/>
        </w:rPr>
        <w:t xml:space="preserve"> so long as no such modification, replacement, renewal or extension thereof increases the original amount of such Investment except as otherwise permitted by this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80" w:hanging="335"/>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222" w:lineRule="exact"/>
        <w:rPr>
          <w:rFonts w:ascii="Arial" w:cs="Arial" w:eastAsia="Arial" w:hAnsi="Arial"/>
          <w:sz w:val="18"/>
          <w:szCs w:val="18"/>
          <w:color w:val="auto"/>
        </w:rPr>
      </w:pPr>
    </w:p>
    <w:p>
      <w:pPr>
        <w:ind w:firstLine="745"/>
        <w:spacing w:after="0" w:line="275" w:lineRule="auto"/>
        <w:tabs>
          <w:tab w:leader="none" w:pos="108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Investments made after the Closing Date by the Borrower and/or any of its Restricted Subsidiaries in an aggregate amount at any time outstanding not to exceed:</w:t>
      </w:r>
    </w:p>
    <w:p>
      <w:pPr>
        <w:spacing w:after="0" w:line="170" w:lineRule="exact"/>
        <w:rPr>
          <w:rFonts w:ascii="Arial" w:cs="Arial" w:eastAsia="Arial" w:hAnsi="Arial"/>
          <w:sz w:val="18"/>
          <w:szCs w:val="18"/>
          <w:color w:val="auto"/>
        </w:rPr>
      </w:pPr>
    </w:p>
    <w:p>
      <w:pPr>
        <w:jc w:val="both"/>
        <w:ind w:left="740" w:firstLine="376"/>
        <w:spacing w:after="0" w:line="258" w:lineRule="auto"/>
        <w:tabs>
          <w:tab w:leader="none" w:pos="148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the greater of $118,000,000 and 50% of Consolidated Adjusted EBITDA as of the last day of the most recently ended Test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at the election of the Borrower, the amount of Restricted Debt Payments then permitted to be made by the Borrower or any Restricted Subsidiary in reliance on </w:t>
      </w:r>
      <w:r>
        <w:rPr>
          <w:rFonts w:ascii="Arial" w:cs="Arial" w:eastAsia="Arial" w:hAnsi="Arial"/>
          <w:sz w:val="18"/>
          <w:szCs w:val="18"/>
          <w:u w:val="single" w:color="auto"/>
          <w:color w:val="auto"/>
        </w:rPr>
        <w:t>Section 6.04(b)(iv)</w:t>
      </w:r>
      <w:r>
        <w:rPr>
          <w:rFonts w:ascii="Arial" w:cs="Arial" w:eastAsia="Arial" w:hAnsi="Arial"/>
          <w:sz w:val="18"/>
          <w:szCs w:val="18"/>
          <w:color w:val="auto"/>
        </w:rPr>
        <w:t xml:space="preserve"> (such increase shall result in a reduction in availability under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84" w:lineRule="exact"/>
        <w:rPr>
          <w:rFonts w:ascii="Arial" w:cs="Arial" w:eastAsia="Arial" w:hAnsi="Arial"/>
          <w:sz w:val="18"/>
          <w:szCs w:val="18"/>
          <w:color w:val="auto"/>
        </w:rPr>
      </w:pPr>
    </w:p>
    <w:p>
      <w:pPr>
        <w:jc w:val="both"/>
        <w:ind w:left="740" w:firstLine="373"/>
        <w:spacing w:after="0" w:line="310" w:lineRule="auto"/>
        <w:tabs>
          <w:tab w:leader="none" w:pos="147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in the event that (A) the Borrower or any of its Restricted Subsidiaries makes any Investment after the Closing Date in any Person that is not a Restricted Subsidiary and (B) such Person subsequently becomes a Restricted Subsidiary, an amount equal to 100.0% of the fair market value of such Investment as of the date on which such Person becomes a Restricted Subsidiary;</w:t>
      </w:r>
    </w:p>
    <w:p>
      <w:pPr>
        <w:spacing w:after="0" w:line="146" w:lineRule="exact"/>
        <w:rPr>
          <w:rFonts w:ascii="Arial" w:cs="Arial" w:eastAsia="Arial" w:hAnsi="Arial"/>
          <w:sz w:val="16"/>
          <w:szCs w:val="16"/>
          <w:color w:val="auto"/>
        </w:rPr>
      </w:pPr>
    </w:p>
    <w:p>
      <w:pPr>
        <w:jc w:val="both"/>
        <w:ind w:firstLine="745"/>
        <w:spacing w:after="0" w:line="310" w:lineRule="auto"/>
        <w:tabs>
          <w:tab w:leader="none" w:pos="109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Arial" w:cs="Arial" w:eastAsia="Arial" w:hAnsi="Arial"/>
          <w:sz w:val="16"/>
          <w:szCs w:val="16"/>
          <w:u w:val="single" w:color="auto"/>
          <w:color w:val="auto"/>
        </w:rPr>
        <w:t>clause (r)(i)</w:t>
      </w:r>
      <w:r>
        <w:rPr>
          <w:rFonts w:ascii="Arial" w:cs="Arial" w:eastAsia="Arial" w:hAnsi="Arial"/>
          <w:sz w:val="16"/>
          <w:szCs w:val="16"/>
          <w:color w:val="auto"/>
        </w:rPr>
        <w:t xml:space="preserve"> and/or (ii) the portion, if any, of the Available Excluded Contribution Amount on such date that the Borrower elects to apply to this </w:t>
      </w:r>
      <w:r>
        <w:rPr>
          <w:rFonts w:ascii="Arial" w:cs="Arial" w:eastAsia="Arial" w:hAnsi="Arial"/>
          <w:sz w:val="16"/>
          <w:szCs w:val="16"/>
          <w:u w:val="single" w:color="auto"/>
          <w:color w:val="auto"/>
        </w:rPr>
        <w:t>clause (r)(ii)</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firstLine="745"/>
        <w:spacing w:after="0" w:line="262" w:lineRule="auto"/>
        <w:tabs>
          <w:tab w:leader="none" w:pos="107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Guarantees of leases (other than Capital Leases) or of other obligations not constituting Indebtedness and (ii) Guarantees of the lease obligations of suppliers, customers, franchisees and licensees of the Borrower and/or its Restricted Subsidiaries, in each case, in the ordinary course of business;</w:t>
      </w:r>
    </w:p>
    <w:p>
      <w:pPr>
        <w:spacing w:after="0" w:line="182" w:lineRule="exact"/>
        <w:rPr>
          <w:rFonts w:ascii="Arial" w:cs="Arial" w:eastAsia="Arial" w:hAnsi="Arial"/>
          <w:sz w:val="18"/>
          <w:szCs w:val="18"/>
          <w:color w:val="auto"/>
        </w:rPr>
      </w:pPr>
    </w:p>
    <w:p>
      <w:pPr>
        <w:jc w:val="both"/>
        <w:ind w:firstLine="745"/>
        <w:spacing w:after="0" w:line="262" w:lineRule="auto"/>
        <w:tabs>
          <w:tab w:leader="none" w:pos="109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Investments in any Parent Company in amounts and for purposes for which Restricted Payments to such Parent Company are permitted under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Investment made as provided above in lieu of any such Restricted Payment shall reduce availability under the applicable Restricted Payment basket under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jc w:val="both"/>
        <w:ind w:firstLine="745"/>
        <w:spacing w:after="0" w:line="262" w:lineRule="auto"/>
        <w:tabs>
          <w:tab w:leader="none" w:pos="108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Investments made by any Restricted Subsidiary that is not a Loan Party with the proceeds received by such Restricted Subsidiary from an Investment made by any Loan Party in such Restricted Subsidiary pursuant to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(other than Investments made pursuant to </w:t>
      </w:r>
      <w:r>
        <w:rPr>
          <w:rFonts w:ascii="Arial" w:cs="Arial" w:eastAsia="Arial" w:hAnsi="Arial"/>
          <w:sz w:val="18"/>
          <w:szCs w:val="18"/>
          <w:u w:val="single" w:color="auto"/>
          <w:color w:val="auto"/>
        </w:rPr>
        <w:t>Section 6.06(e)(ii)</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firstLine="745"/>
        <w:spacing w:after="0" w:line="275" w:lineRule="auto"/>
        <w:tabs>
          <w:tab w:leader="none" w:pos="10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Investments in Subsidiaries in connection with internal reorganizations and/or restructurings and activities related to tax planning;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reorganization,</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87" w:name="page188"/>
    <w:bookmarkEnd w:id="187"/>
    <w:p>
      <w:pPr>
        <w:ind w:left="760"/>
        <w:spacing w:after="0" w:line="275" w:lineRule="auto"/>
        <w:rPr>
          <w:sz w:val="20"/>
          <w:szCs w:val="20"/>
          <w:color w:val="auto"/>
        </w:rPr>
      </w:pPr>
      <w:r>
        <w:rPr>
          <w:rFonts w:ascii="Arial" w:cs="Arial" w:eastAsia="Arial" w:hAnsi="Arial"/>
          <w:sz w:val="18"/>
          <w:szCs w:val="18"/>
          <w:color w:val="auto"/>
        </w:rPr>
        <w:t>restructuring or activity, neither the Loan Guaranty, taken as a whole, nor the security interest of the Administrative Agent in the Collateral, taken as a whole, is materially impaired;</w:t>
      </w:r>
    </w:p>
    <w:p>
      <w:pPr>
        <w:spacing w:after="0" w:line="171" w:lineRule="exact"/>
        <w:rPr>
          <w:sz w:val="20"/>
          <w:szCs w:val="20"/>
          <w:color w:val="auto"/>
        </w:rPr>
      </w:pPr>
    </w:p>
    <w:p>
      <w:pPr>
        <w:ind w:left="1840" w:hanging="335"/>
        <w:spacing w:after="0"/>
        <w:tabs>
          <w:tab w:leader="none" w:pos="18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Investments under any Derivative Transaction of the type permitted under </w:t>
      </w:r>
      <w:r>
        <w:rPr>
          <w:rFonts w:ascii="Arial" w:cs="Arial" w:eastAsia="Arial" w:hAnsi="Arial"/>
          <w:sz w:val="18"/>
          <w:szCs w:val="18"/>
          <w:u w:val="single" w:color="auto"/>
          <w:color w:val="auto"/>
        </w:rPr>
        <w:t>Section 6.01(s)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1840" w:hanging="335"/>
        <w:spacing w:after="0"/>
        <w:tabs>
          <w:tab w:leader="none" w:pos="18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Investments in an amount not to exceed the Available RP Capacity Amount;</w:t>
      </w:r>
    </w:p>
    <w:p>
      <w:pPr>
        <w:spacing w:after="0" w:line="222" w:lineRule="exact"/>
        <w:rPr>
          <w:rFonts w:ascii="Arial" w:cs="Arial" w:eastAsia="Arial" w:hAnsi="Arial"/>
          <w:sz w:val="18"/>
          <w:szCs w:val="18"/>
          <w:color w:val="auto"/>
        </w:rPr>
      </w:pPr>
    </w:p>
    <w:p>
      <w:pPr>
        <w:ind w:left="760" w:firstLine="745"/>
        <w:spacing w:after="0" w:line="305" w:lineRule="auto"/>
        <w:tabs>
          <w:tab w:leader="none" w:pos="183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Investments made in joint ventures as required by, or made pursuant to, customary buy/sell arrangements between the joint venture parties set forth in joint venture agreements and similar binding arrangements entered into in the ordinary course of business;</w:t>
      </w:r>
    </w:p>
    <w:p>
      <w:pPr>
        <w:spacing w:after="0" w:line="148" w:lineRule="exact"/>
        <w:rPr>
          <w:rFonts w:ascii="Arial" w:cs="Arial" w:eastAsia="Arial" w:hAnsi="Arial"/>
          <w:sz w:val="17"/>
          <w:szCs w:val="17"/>
          <w:color w:val="auto"/>
        </w:rPr>
      </w:pPr>
    </w:p>
    <w:p>
      <w:pPr>
        <w:jc w:val="both"/>
        <w:ind w:left="760" w:firstLine="745"/>
        <w:spacing w:after="0" w:line="262" w:lineRule="auto"/>
        <w:tabs>
          <w:tab w:leader="none" w:pos="186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Investments made in connection with any nonqualified deferred compensation plan or arrangement for any present or former employees, directors, members of management, officers, managers or consultants or independent contractors (or their respective Immediate Family Members) of any Parent Company, the Borrower, its Subsidiaries and/or any joint venture;</w:t>
      </w:r>
    </w:p>
    <w:p>
      <w:pPr>
        <w:spacing w:after="0" w:line="182" w:lineRule="exact"/>
        <w:rPr>
          <w:sz w:val="20"/>
          <w:szCs w:val="20"/>
          <w:color w:val="auto"/>
        </w:rPr>
      </w:pPr>
    </w:p>
    <w:p>
      <w:pPr>
        <w:ind w:left="760" w:firstLine="745"/>
        <w:spacing w:after="0" w:line="275" w:lineRule="auto"/>
        <w:tabs>
          <w:tab w:leader="none" w:pos="185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Investments in the Borrower, any Restricted Subsidiary and/or joint venture in connection with intercompany cash management arrangements and related activities in the ordinary course of business;</w:t>
      </w:r>
    </w:p>
    <w:p>
      <w:pPr>
        <w:spacing w:after="0" w:line="170" w:lineRule="exact"/>
        <w:rPr>
          <w:rFonts w:ascii="Arial" w:cs="Arial" w:eastAsia="Arial" w:hAnsi="Arial"/>
          <w:sz w:val="18"/>
          <w:szCs w:val="18"/>
          <w:color w:val="auto"/>
        </w:rPr>
      </w:pPr>
    </w:p>
    <w:p>
      <w:pPr>
        <w:ind w:left="760" w:firstLine="745"/>
        <w:spacing w:after="0" w:line="339" w:lineRule="auto"/>
        <w:tabs>
          <w:tab w:leader="none" w:pos="183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Investments so long as after giving effect thereto on a Pro Forma Basis, the Total Leverage Ratio does not exceed the greater of (i) 4.50:1.00 and (y) the Total Leverage Ratio as of the last day of the most recently ended Fiscal Quarter prior to such Investment;</w:t>
      </w:r>
    </w:p>
    <w:p>
      <w:pPr>
        <w:spacing w:after="0" w:line="125" w:lineRule="exact"/>
        <w:rPr>
          <w:rFonts w:ascii="Arial" w:cs="Arial" w:eastAsia="Arial" w:hAnsi="Arial"/>
          <w:sz w:val="16"/>
          <w:szCs w:val="16"/>
          <w:color w:val="auto"/>
        </w:rPr>
      </w:pPr>
    </w:p>
    <w:p>
      <w:pPr>
        <w:jc w:val="both"/>
        <w:ind w:left="760" w:firstLine="745"/>
        <w:spacing w:after="0" w:line="262" w:lineRule="auto"/>
        <w:tabs>
          <w:tab w:leader="none" w:pos="185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182" w:lineRule="exact"/>
        <w:rPr>
          <w:rFonts w:ascii="Arial" w:cs="Arial" w:eastAsia="Arial" w:hAnsi="Arial"/>
          <w:sz w:val="18"/>
          <w:szCs w:val="18"/>
          <w:color w:val="auto"/>
        </w:rPr>
      </w:pPr>
    </w:p>
    <w:p>
      <w:pPr>
        <w:ind w:left="1840" w:hanging="335"/>
        <w:spacing w:after="0"/>
        <w:tabs>
          <w:tab w:leader="none" w:pos="18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Investments consisting of the licensing or contribution of IP Rights pursuant to joint marketing arrangements with other Persons;</w:t>
      </w:r>
    </w:p>
    <w:p>
      <w:pPr>
        <w:spacing w:after="0" w:line="245" w:lineRule="exact"/>
        <w:rPr>
          <w:rFonts w:ascii="Arial" w:cs="Arial" w:eastAsia="Arial" w:hAnsi="Arial"/>
          <w:sz w:val="16"/>
          <w:szCs w:val="16"/>
          <w:color w:val="auto"/>
        </w:rPr>
      </w:pPr>
    </w:p>
    <w:p>
      <w:pPr>
        <w:jc w:val="both"/>
        <w:ind w:left="760" w:firstLine="745"/>
        <w:spacing w:after="0" w:line="258" w:lineRule="auto"/>
        <w:tabs>
          <w:tab w:leader="none" w:pos="185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loans and advances to any Parent Company not in excess of the amount of (after giving effect to any other loans, advances or Restricted Payments in respect thereof) Restricted Payments to the extent permitted to be made to such Parent Company in accordance with </w:t>
      </w:r>
      <w:r>
        <w:rPr>
          <w:rFonts w:ascii="Arial" w:cs="Arial" w:eastAsia="Arial" w:hAnsi="Arial"/>
          <w:sz w:val="18"/>
          <w:szCs w:val="18"/>
          <w:u w:val="single" w:color="auto"/>
          <w:color w:val="auto"/>
        </w:rPr>
        <w:t>Section 6.04(a)(i)</w:t>
      </w:r>
      <w:r>
        <w:rPr>
          <w:rFonts w:ascii="Arial" w:cs="Arial" w:eastAsia="Arial" w:hAnsi="Arial"/>
          <w:sz w:val="18"/>
          <w:szCs w:val="18"/>
          <w:color w:val="auto"/>
        </w:rPr>
        <w:t xml:space="preserve">, such Investment being treated for purposes of the applicable clause of </w:t>
      </w:r>
      <w:r>
        <w:rPr>
          <w:rFonts w:ascii="Arial" w:cs="Arial" w:eastAsia="Arial" w:hAnsi="Arial"/>
          <w:sz w:val="18"/>
          <w:szCs w:val="18"/>
          <w:u w:val="single" w:color="auto"/>
          <w:color w:val="auto"/>
        </w:rPr>
        <w:t>Section 6.04(a)</w:t>
      </w:r>
      <w:r>
        <w:rPr>
          <w:rFonts w:ascii="Arial" w:cs="Arial" w:eastAsia="Arial" w:hAnsi="Arial"/>
          <w:sz w:val="18"/>
          <w:szCs w:val="18"/>
          <w:color w:val="auto"/>
        </w:rPr>
        <w:t>, including any limitations, as a Restricted Payment made pursuant to such clause; and</w:t>
      </w:r>
    </w:p>
    <w:p>
      <w:pPr>
        <w:spacing w:after="0" w:line="184" w:lineRule="exact"/>
        <w:rPr>
          <w:rFonts w:ascii="Arial" w:cs="Arial" w:eastAsia="Arial" w:hAnsi="Arial"/>
          <w:sz w:val="18"/>
          <w:szCs w:val="18"/>
          <w:color w:val="auto"/>
        </w:rPr>
      </w:pPr>
    </w:p>
    <w:p>
      <w:pPr>
        <w:jc w:val="both"/>
        <w:ind w:left="760" w:firstLine="745"/>
        <w:spacing w:after="0" w:line="277" w:lineRule="auto"/>
        <w:tabs>
          <w:tab w:leader="none" w:pos="184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(i) Investments in a Securitization Subsidiary or any Investment by a Securitization Subsidiary in any other Person in connection with a Qualified Securitization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Investment in a Securitization Subsidiary is in the form of a contribution of additional Securitization Assets or equity, and (ii) distributions or payments of Securitization Fees and purchases of Securitization Assets pursuant to a Securitization Repurchase Obligation in connection with a Qualified Securitization Financing.</w:t>
      </w:r>
    </w:p>
    <w:p>
      <w:pPr>
        <w:spacing w:after="0" w:line="17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u w:val="single" w:color="auto"/>
          <w:color w:val="auto"/>
        </w:rPr>
        <w:t>Section 6.07.Fundamental Changes; Disposition of Assets</w:t>
      </w:r>
      <w:r>
        <w:rPr>
          <w:rFonts w:ascii="Arial" w:cs="Arial" w:eastAsia="Arial" w:hAnsi="Arial"/>
          <w:sz w:val="17"/>
          <w:szCs w:val="17"/>
          <w:color w:val="auto"/>
        </w:rPr>
        <w:t>. Other than the Transactions, the Borrower shall not, nor shall it permit any of its Restricted Subsidiaries to, enter into any transaction of merger, consolidation or amalgamation, or liquidate, wind up or dissolve themselves (or suffer any liquidation or dissolution), or make any Disposition of any assets having a fair market value in excess of $25,000,000 in a single transaction or a series of related transactions and in excess of $50,000,000 in the aggregate for all such transactions per year, except:</w:t>
      </w:r>
    </w:p>
    <w:p>
      <w:pPr>
        <w:spacing w:after="0" w:line="172" w:lineRule="exact"/>
        <w:rPr>
          <w:sz w:val="20"/>
          <w:szCs w:val="20"/>
          <w:color w:val="auto"/>
        </w:rPr>
      </w:pPr>
    </w:p>
    <w:p>
      <w:pPr>
        <w:jc w:val="both"/>
        <w:ind w:left="760" w:firstLine="745"/>
        <w:spacing w:after="0" w:line="255" w:lineRule="auto"/>
        <w:tabs>
          <w:tab w:leader="none" w:pos="18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any Restricted Subsidiary may be merged, consolidated or amalgamated with or into the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any such merger, consolidation or amalgamation with or into the Borrower, (A) the Borrower shall be the continuing or surviving Person or (B) if the Person formed by or surviving any such merger, consolidation or amalgamation is not the Borrower (any such Person,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(x) the Successor Borrower shall be an entity organized or existing under the law of the U.S., any state thereof or the District of Columbia, (y) the Successor Borrower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88" w:name="page189"/>
    <w:bookmarkEnd w:id="188"/>
    <w:p>
      <w:pPr>
        <w:jc w:val="both"/>
        <w:ind w:left="4"/>
        <w:spacing w:after="0" w:line="269" w:lineRule="auto"/>
        <w:rPr>
          <w:sz w:val="20"/>
          <w:szCs w:val="20"/>
          <w:color w:val="auto"/>
        </w:rPr>
      </w:pPr>
      <w:r>
        <w:rPr>
          <w:rFonts w:ascii="Arial" w:cs="Arial" w:eastAsia="Arial" w:hAnsi="Arial"/>
          <w:sz w:val="17"/>
          <w:szCs w:val="17"/>
          <w:color w:val="auto"/>
        </w:rPr>
        <w:t xml:space="preserve">shall expressly assume the Obligations of the Borrower in a manner reasonably satisfactory to the Administrative Agent and (z)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(z)</w:t>
      </w:r>
      <w:r>
        <w:rPr>
          <w:rFonts w:ascii="Arial" w:cs="Arial" w:eastAsia="Arial" w:hAnsi="Arial"/>
          <w:sz w:val="17"/>
          <w:szCs w:val="17"/>
          <w:color w:val="auto"/>
        </w:rPr>
        <w:t xml:space="preserve"> are satisfied, the Successor Borrower will succeed to, and be substituted for, the Borrower under this Agreement and the other Loan Documents, and (ii) in the case of any such merger, consolidation or amalgamation with or into the Borrower or any Subsidiary Guarantor, either (x) the Borrower or a Subsidiary Guarantor shall be the continuing or surviving Person or the continuing or surviving Person shall expressly assume the obligations of the Borrower or Subsidiary Guarantor in a manner reasonably satisfactory to the Administrative Agent or (y) the relevant transaction shall be treated as an Investment and shall comply with </w:t>
      </w:r>
      <w:r>
        <w:rPr>
          <w:rFonts w:ascii="Arial" w:cs="Arial" w:eastAsia="Arial" w:hAnsi="Arial"/>
          <w:sz w:val="17"/>
          <w:szCs w:val="17"/>
          <w:u w:val="single" w:color="auto"/>
          <w:color w:val="auto"/>
        </w:rPr>
        <w:t>Section 6.06</w:t>
      </w:r>
      <w:r>
        <w:rPr>
          <w:rFonts w:ascii="Arial" w:cs="Arial" w:eastAsia="Arial" w:hAnsi="Arial"/>
          <w:sz w:val="17"/>
          <w:szCs w:val="17"/>
          <w:color w:val="auto"/>
        </w:rPr>
        <w:t>;</w:t>
      </w:r>
    </w:p>
    <w:p>
      <w:pPr>
        <w:spacing w:after="0" w:line="178" w:lineRule="exact"/>
        <w:rPr>
          <w:sz w:val="20"/>
          <w:szCs w:val="20"/>
          <w:color w:val="auto"/>
        </w:rPr>
      </w:pPr>
    </w:p>
    <w:p>
      <w:pPr>
        <w:jc w:val="both"/>
        <w:ind w:left="4" w:firstLine="745"/>
        <w:spacing w:after="0" w:line="285" w:lineRule="auto"/>
        <w:tabs>
          <w:tab w:leader="none" w:pos="1099"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Dispositions (including of Capital Stock) among the Borrower and/or any Restricted Subsidiary (upon voluntary liquidation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Disposition made by any Loan Party to any Person that is not a Loan Party shall be (c) for fair market value (as reasonably determined by such Person) with at least 75% of the consideration for such Disposition consisting of Cash or Cash Equivalents at the time of such Disposition or (d) treated as an Investment and otherwise made in compliance with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in reliance on </w:t>
      </w:r>
      <w:r>
        <w:rPr>
          <w:rFonts w:ascii="Arial" w:cs="Arial" w:eastAsia="Arial" w:hAnsi="Arial"/>
          <w:sz w:val="16"/>
          <w:szCs w:val="16"/>
          <w:u w:val="single" w:color="auto"/>
          <w:color w:val="auto"/>
        </w:rPr>
        <w:t>clause</w:t>
      </w:r>
    </w:p>
    <w:p>
      <w:pPr>
        <w:ind w:left="224" w:hanging="224"/>
        <w:spacing w:after="0"/>
        <w:tabs>
          <w:tab w:leader="none" w:pos="224" w:val="left"/>
        </w:tabs>
        <w:numPr>
          <w:ilvl w:val="0"/>
          <w:numId w:val="230"/>
        </w:numPr>
        <w:rPr>
          <w:rFonts w:ascii="Arial" w:cs="Arial" w:eastAsia="Arial" w:hAnsi="Arial"/>
          <w:sz w:val="18"/>
          <w:szCs w:val="18"/>
          <w:u w:val="single" w:color="auto"/>
          <w:color w:val="auto"/>
        </w:rPr>
      </w:pPr>
      <w:r>
        <w:rPr>
          <w:rFonts w:ascii="Arial" w:cs="Arial" w:eastAsia="Arial" w:hAnsi="Arial"/>
          <w:sz w:val="18"/>
          <w:szCs w:val="18"/>
          <w:color w:val="auto"/>
        </w:rPr>
        <w:t>thereof);</w:t>
      </w:r>
    </w:p>
    <w:p>
      <w:pPr>
        <w:spacing w:after="0" w:line="208" w:lineRule="exact"/>
        <w:rPr>
          <w:rFonts w:ascii="Arial" w:cs="Arial" w:eastAsia="Arial" w:hAnsi="Arial"/>
          <w:sz w:val="18"/>
          <w:szCs w:val="18"/>
          <w:u w:val="single" w:color="auto"/>
          <w:color w:val="auto"/>
        </w:rPr>
      </w:pPr>
    </w:p>
    <w:p>
      <w:pPr>
        <w:jc w:val="both"/>
        <w:ind w:left="4" w:firstLine="745"/>
        <w:spacing w:after="0" w:line="283" w:lineRule="auto"/>
        <w:tabs>
          <w:tab w:leader="none" w:pos="109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(i) the liquidation or dissolution of any Restricted Subsidiary if the Borrower determines in good faith that such liquidation or dissolution is in the best interests of the Borrower, is not materially disadvantageous to the Lenders and the Borrower or any Restricted Subsidiary receives any assets of the relevant dissolved or liquidated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liquidation or dissolution of any Loan Party that results in a distribution of assets to any Restricted Subsidiary that is not a Loan Party, such distribution shall be treated as an Investment and shall comply with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in reliance on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thereof); (ii) any merger, amalgamation, dissolution, liquidation or consolidation, the purpose of which is to effect (A) any Disposition otherwise permitted under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4" w:hanging="4"/>
        <w:spacing w:after="0" w:line="320" w:lineRule="auto"/>
        <w:tabs>
          <w:tab w:leader="none" w:pos="202" w:val="left"/>
        </w:tabs>
        <w:numPr>
          <w:ilvl w:val="0"/>
          <w:numId w:val="231"/>
        </w:numPr>
        <w:rPr>
          <w:rFonts w:ascii="Arial" w:cs="Arial" w:eastAsia="Arial" w:hAnsi="Arial"/>
          <w:sz w:val="16"/>
          <w:szCs w:val="16"/>
          <w:u w:val="single" w:color="auto"/>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or (B) any Investment permitted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and (iii) the conversion of the Borrower or any Restricted Subsidiary into another form of entity, so long as such conversion does not adversely affect the value of the Loan Guaranty or Collateral, if any;</w:t>
      </w:r>
    </w:p>
    <w:p>
      <w:pPr>
        <w:spacing w:after="0" w:line="139" w:lineRule="exact"/>
        <w:rPr>
          <w:rFonts w:ascii="Arial" w:cs="Arial" w:eastAsia="Arial" w:hAnsi="Arial"/>
          <w:sz w:val="16"/>
          <w:szCs w:val="16"/>
          <w:u w:val="single" w:color="auto"/>
          <w:color w:val="auto"/>
        </w:rPr>
      </w:pPr>
    </w:p>
    <w:p>
      <w:pPr>
        <w:ind w:left="4" w:firstLine="745"/>
        <w:spacing w:after="0" w:line="275" w:lineRule="auto"/>
        <w:tabs>
          <w:tab w:leader="none" w:pos="108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(x) Dispositions of inventory or equipment or immaterial assets in the ordinary course of business (including on an intercompany basis) and (y) the leasing or subleasing of real property in the ordinary course of business;</w:t>
      </w:r>
    </w:p>
    <w:p>
      <w:pPr>
        <w:spacing w:after="0" w:line="170" w:lineRule="exact"/>
        <w:rPr>
          <w:rFonts w:ascii="Arial" w:cs="Arial" w:eastAsia="Arial" w:hAnsi="Arial"/>
          <w:sz w:val="18"/>
          <w:szCs w:val="18"/>
          <w:color w:val="auto"/>
        </w:rPr>
      </w:pPr>
    </w:p>
    <w:p>
      <w:pPr>
        <w:ind w:left="1084" w:hanging="335"/>
        <w:spacing w:after="0"/>
        <w:tabs>
          <w:tab w:leader="none" w:pos="108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Dispositions of surplus, obsolete, used or worn out property or other property that, in the reasonable judgment of the Borrower, is</w:t>
      </w:r>
    </w:p>
    <w:p>
      <w:pPr>
        <w:spacing w:after="0" w:line="45" w:lineRule="exact"/>
        <w:rPr>
          <w:rFonts w:ascii="Arial" w:cs="Arial" w:eastAsia="Arial" w:hAnsi="Arial"/>
          <w:sz w:val="16"/>
          <w:szCs w:val="16"/>
          <w:color w:val="auto"/>
        </w:rPr>
      </w:pPr>
    </w:p>
    <w:p>
      <w:pPr>
        <w:ind w:left="4"/>
        <w:spacing w:after="0" w:line="258" w:lineRule="auto"/>
        <w:rPr>
          <w:rFonts w:ascii="Arial" w:cs="Arial" w:eastAsia="Arial" w:hAnsi="Arial"/>
          <w:sz w:val="16"/>
          <w:szCs w:val="16"/>
          <w:color w:val="auto"/>
        </w:rPr>
      </w:pPr>
      <w:r>
        <w:rPr>
          <w:rFonts w:ascii="Arial" w:cs="Arial" w:eastAsia="Arial" w:hAnsi="Arial"/>
          <w:sz w:val="18"/>
          <w:szCs w:val="18"/>
          <w:color w:val="auto"/>
        </w:rPr>
        <w:t>(A) no longer useful in its business (or in the business of any Restricted Subsidiary of the Borrower) or (B) otherwise economically impracticable to maintain;</w:t>
      </w:r>
    </w:p>
    <w:p>
      <w:pPr>
        <w:spacing w:after="0" w:line="185" w:lineRule="exact"/>
        <w:rPr>
          <w:rFonts w:ascii="Arial" w:cs="Arial" w:eastAsia="Arial" w:hAnsi="Arial"/>
          <w:sz w:val="16"/>
          <w:szCs w:val="16"/>
          <w:color w:val="auto"/>
        </w:rPr>
      </w:pPr>
    </w:p>
    <w:p>
      <w:pPr>
        <w:ind w:left="4" w:firstLine="745"/>
        <w:spacing w:after="0" w:line="275" w:lineRule="auto"/>
        <w:tabs>
          <w:tab w:leader="none" w:pos="112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Dispositions of Cash and/or Cash Equivalents and/or other assets that were Cash Equivalents when the relevant original Investment was made;</w:t>
      </w:r>
    </w:p>
    <w:p>
      <w:pPr>
        <w:spacing w:after="0" w:line="170" w:lineRule="exact"/>
        <w:rPr>
          <w:rFonts w:ascii="Arial" w:cs="Arial" w:eastAsia="Arial" w:hAnsi="Arial"/>
          <w:sz w:val="18"/>
          <w:szCs w:val="18"/>
          <w:color w:val="auto"/>
        </w:rPr>
      </w:pPr>
    </w:p>
    <w:p>
      <w:pPr>
        <w:jc w:val="both"/>
        <w:ind w:left="4" w:firstLine="745"/>
        <w:spacing w:after="0" w:line="277" w:lineRule="auto"/>
        <w:tabs>
          <w:tab w:leader="none" w:pos="1122"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Dispositions, mergers, amalgamations, consolidations or conveyances that constitute (w) Investments permitted pursuant to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6.06(j)</w:t>
      </w:r>
      <w:r>
        <w:rPr>
          <w:rFonts w:ascii="Arial" w:cs="Arial" w:eastAsia="Arial" w:hAnsi="Arial"/>
          <w:sz w:val="17"/>
          <w:szCs w:val="17"/>
          <w:color w:val="auto"/>
        </w:rPr>
        <w:t xml:space="preserve">), (x) Permitted Liens, (y) Restricted Payments permitted by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and (z) Sale and Lease-Back Transactions in an aggregate outstanding principal amount not to exceed the greater of $70,500,000 and 30% of Consolidated Adjusted EBITDA as of the last day of the most recently ended Test Period;</w:t>
      </w:r>
    </w:p>
    <w:p>
      <w:pPr>
        <w:spacing w:after="0" w:line="172" w:lineRule="exact"/>
        <w:rPr>
          <w:rFonts w:ascii="Arial" w:cs="Arial" w:eastAsia="Arial" w:hAnsi="Arial"/>
          <w:sz w:val="17"/>
          <w:szCs w:val="17"/>
          <w:color w:val="auto"/>
        </w:rPr>
      </w:pPr>
    </w:p>
    <w:p>
      <w:pPr>
        <w:jc w:val="both"/>
        <w:ind w:left="4" w:firstLine="745"/>
        <w:spacing w:after="0" w:line="254" w:lineRule="auto"/>
        <w:tabs>
          <w:tab w:leader="none" w:pos="1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Dispositions for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Disposition with a purchase price in excess of the greater of $35,250,000 and 15% of Consolidated Adjusted EBITDA as of the last day of the most recently ended Test Period, at least 75% of the consideration for such Disposition shall consist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75% Cash consideration requirement, (w) 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w:t>
      </w:r>
    </w:p>
    <w:p>
      <w:pPr>
        <w:spacing w:after="0" w:line="191"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189" w:name="page190"/>
    <w:bookmarkEnd w:id="189"/>
    <w:p>
      <w:pPr>
        <w:jc w:val="both"/>
        <w:spacing w:after="0" w:line="268" w:lineRule="auto"/>
        <w:rPr>
          <w:sz w:val="20"/>
          <w:szCs w:val="20"/>
          <w:color w:val="auto"/>
        </w:rPr>
      </w:pPr>
      <w:r>
        <w:rPr>
          <w:rFonts w:ascii="Arial" w:cs="Arial" w:eastAsia="Arial" w:hAnsi="Arial"/>
          <w:sz w:val="17"/>
          <w:szCs w:val="17"/>
          <w:color w:val="auto"/>
        </w:rPr>
        <w:t xml:space="preserve">financial position (or in the notes thereto)) that are assumed by the transferee of any such assets and for which the Borrower and/or its applicable Restricted Subsidiary have been validly released by all relevant creditors in writing, (x) the amount of any trade-in value applied to the purchase price of any replacement assets acquired in connection with such Disposition, (y) any Securities received by the Borrower or any Restricted Subsidiary from such transferee that are converted by such Person into Cash or Cash Equivalents (to the extent of the Cash or Cash Equivalents received) within 180 days following the closing of the applicable Disposition and (z) any Designated Non-Cash Consideration received in respect of such Disposition having an aggregate fair market value, taken together with all other Designated Non-Cash Consideration received pursuant to this </w:t>
      </w:r>
      <w:r>
        <w:rPr>
          <w:rFonts w:ascii="Arial" w:cs="Arial" w:eastAsia="Arial" w:hAnsi="Arial"/>
          <w:sz w:val="17"/>
          <w:szCs w:val="17"/>
          <w:u w:val="single" w:color="auto"/>
          <w:color w:val="auto"/>
        </w:rPr>
        <w:t>clause (z)</w:t>
      </w:r>
      <w:r>
        <w:rPr>
          <w:rFonts w:ascii="Arial" w:cs="Arial" w:eastAsia="Arial" w:hAnsi="Arial"/>
          <w:sz w:val="17"/>
          <w:szCs w:val="17"/>
          <w:color w:val="auto"/>
        </w:rPr>
        <w:t xml:space="preserve"> that is at that time outstanding, not in excess of the greater of $70,500,000 and 30% of Consolidated Adjusted EBITDA as of the last day of the most recently ended Test Period, in each case, shall be deemed to be Cash);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(x) immediately prior to and after giving effect to such Disposition, as determined on the date on which the agreement governing such Disposition is executed, no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exists and (y) the Net Proceeds of such Disposition shall be applied and/or reinvested as (and to the extent) required by </w:t>
      </w:r>
      <w:r>
        <w:rPr>
          <w:rFonts w:ascii="Arial" w:cs="Arial" w:eastAsia="Arial" w:hAnsi="Arial"/>
          <w:sz w:val="17"/>
          <w:szCs w:val="17"/>
          <w:u w:val="single" w:color="auto"/>
          <w:color w:val="auto"/>
        </w:rPr>
        <w:t>Section 2.11(b)(ii)</w:t>
      </w:r>
      <w:r>
        <w:rPr>
          <w:rFonts w:ascii="Arial" w:cs="Arial" w:eastAsia="Arial" w:hAnsi="Arial"/>
          <w:sz w:val="17"/>
          <w:szCs w:val="17"/>
          <w:color w:val="auto"/>
        </w:rPr>
        <w:t>;</w:t>
      </w:r>
    </w:p>
    <w:p>
      <w:pPr>
        <w:spacing w:after="0" w:line="179" w:lineRule="exact"/>
        <w:rPr>
          <w:sz w:val="20"/>
          <w:szCs w:val="20"/>
          <w:color w:val="auto"/>
        </w:rPr>
      </w:pPr>
    </w:p>
    <w:p>
      <w:pPr>
        <w:ind w:firstLine="745"/>
        <w:spacing w:after="0" w:line="275"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70" w:lineRule="exact"/>
        <w:rPr>
          <w:rFonts w:ascii="Arial" w:cs="Arial" w:eastAsia="Arial" w:hAnsi="Arial"/>
          <w:sz w:val="18"/>
          <w:szCs w:val="18"/>
          <w:color w:val="auto"/>
        </w:rPr>
      </w:pPr>
    </w:p>
    <w:p>
      <w:pPr>
        <w:ind w:firstLine="745"/>
        <w:spacing w:after="0" w:line="275" w:lineRule="auto"/>
        <w:tabs>
          <w:tab w:leader="none" w:pos="108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170" w:lineRule="exact"/>
        <w:rPr>
          <w:rFonts w:ascii="Arial" w:cs="Arial" w:eastAsia="Arial" w:hAnsi="Arial"/>
          <w:sz w:val="18"/>
          <w:szCs w:val="18"/>
          <w:color w:val="auto"/>
        </w:rPr>
      </w:pPr>
    </w:p>
    <w:p>
      <w:pPr>
        <w:ind w:firstLine="745"/>
        <w:spacing w:after="0" w:line="275" w:lineRule="auto"/>
        <w:tabs>
          <w:tab w:leader="none" w:pos="11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Dispositions of notes receivable or accounts receivable in the ordinary course of business (including any discount and/or forgiveness thereof) or in connection with the collection or compromise thereof;</w:t>
      </w:r>
    </w:p>
    <w:p>
      <w:pPr>
        <w:spacing w:after="0" w:line="170" w:lineRule="exact"/>
        <w:rPr>
          <w:rFonts w:ascii="Arial" w:cs="Arial" w:eastAsia="Arial" w:hAnsi="Arial"/>
          <w:sz w:val="18"/>
          <w:szCs w:val="18"/>
          <w:color w:val="auto"/>
        </w:rPr>
      </w:pPr>
    </w:p>
    <w:p>
      <w:pPr>
        <w:jc w:val="both"/>
        <w:ind w:firstLine="745"/>
        <w:spacing w:after="0" w:line="262" w:lineRule="auto"/>
        <w:tabs>
          <w:tab w:leader="none" w:pos="108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which relate to closed facilities or the discontinuation of any product line;</w:t>
      </w:r>
    </w:p>
    <w:p>
      <w:pPr>
        <w:spacing w:after="0" w:line="182" w:lineRule="exact"/>
        <w:rPr>
          <w:rFonts w:ascii="Arial" w:cs="Arial" w:eastAsia="Arial" w:hAnsi="Arial"/>
          <w:sz w:val="18"/>
          <w:szCs w:val="18"/>
          <w:color w:val="auto"/>
        </w:rPr>
      </w:pPr>
    </w:p>
    <w:p>
      <w:pPr>
        <w:jc w:val="both"/>
        <w:ind w:firstLine="745"/>
        <w:spacing w:after="0" w:line="262" w:lineRule="auto"/>
        <w:tabs>
          <w:tab w:leader="none" w:pos="107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82" w:lineRule="exact"/>
        <w:rPr>
          <w:rFonts w:ascii="Arial" w:cs="Arial" w:eastAsia="Arial" w:hAnsi="Arial"/>
          <w:sz w:val="18"/>
          <w:szCs w:val="18"/>
          <w:color w:val="auto"/>
        </w:rPr>
      </w:pPr>
    </w:p>
    <w:p>
      <w:pPr>
        <w:ind w:firstLine="745"/>
        <w:spacing w:after="0" w:line="275" w:lineRule="auto"/>
        <w:tabs>
          <w:tab w:leader="none" w:pos="108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Dispositions of property subject to foreclosure, casualty, eminent domain or condemnation proceedings (including in lieu thereof or any similar proceeding);</w:t>
      </w:r>
    </w:p>
    <w:p>
      <w:pPr>
        <w:spacing w:after="0" w:line="170" w:lineRule="exact"/>
        <w:rPr>
          <w:rFonts w:ascii="Arial" w:cs="Arial" w:eastAsia="Arial" w:hAnsi="Arial"/>
          <w:sz w:val="18"/>
          <w:szCs w:val="18"/>
          <w:color w:val="auto"/>
        </w:rPr>
      </w:pPr>
    </w:p>
    <w:p>
      <w:pPr>
        <w:ind w:firstLine="745"/>
        <w:spacing w:after="0" w:line="275" w:lineRule="auto"/>
        <w:tabs>
          <w:tab w:leader="none" w:pos="10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Dispositions or consignments of equipment, inventory or other assets (including leasehold interests in real property) with respect to facilities that are temporarily not in use, held for sale or closed;</w:t>
      </w:r>
    </w:p>
    <w:p>
      <w:pPr>
        <w:spacing w:after="0" w:line="170" w:lineRule="exact"/>
        <w:rPr>
          <w:rFonts w:ascii="Arial" w:cs="Arial" w:eastAsia="Arial" w:hAnsi="Arial"/>
          <w:sz w:val="18"/>
          <w:szCs w:val="18"/>
          <w:color w:val="auto"/>
        </w:rPr>
      </w:pPr>
    </w:p>
    <w:p>
      <w:pPr>
        <w:ind w:left="1080" w:hanging="335"/>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constituting a Disposition, the consummation of the Transaction;</w:t>
      </w:r>
    </w:p>
    <w:p>
      <w:pPr>
        <w:spacing w:after="0" w:line="222" w:lineRule="exact"/>
        <w:rPr>
          <w:rFonts w:ascii="Arial" w:cs="Arial" w:eastAsia="Arial" w:hAnsi="Arial"/>
          <w:sz w:val="18"/>
          <w:szCs w:val="18"/>
          <w:color w:val="auto"/>
        </w:rPr>
      </w:pPr>
    </w:p>
    <w:p>
      <w:pPr>
        <w:jc w:val="both"/>
        <w:ind w:firstLine="745"/>
        <w:spacing w:after="0" w:line="255" w:lineRule="auto"/>
        <w:tabs>
          <w:tab w:leader="none" w:pos="108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Dispositions of non-core assets acquired in connection with any acquisition permitted hereunder and sales of Real Estate Assets acquired in any acquisition permitted hereunder which, within 90 days of the date of such acquisition, are designated in writing to the Administrative Agent as being held for sale and not for the continued operation of the Borrower or any of its Restricted Subsidiaries or any of their respective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exists on the date on which the definitive agreement governing the relevant Disposition is executed;</w:t>
      </w:r>
    </w:p>
    <w:p>
      <w:pPr>
        <w:spacing w:after="0" w:line="190" w:lineRule="exact"/>
        <w:rPr>
          <w:rFonts w:ascii="Arial" w:cs="Arial" w:eastAsia="Arial" w:hAnsi="Arial"/>
          <w:sz w:val="18"/>
          <w:szCs w:val="18"/>
          <w:color w:val="auto"/>
        </w:rPr>
      </w:pPr>
    </w:p>
    <w:p>
      <w:pPr>
        <w:ind w:firstLine="745"/>
        <w:spacing w:after="0" w:line="339" w:lineRule="auto"/>
        <w:tabs>
          <w:tab w:leader="none" w:pos="109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exchanges or swaps, including transactions covered by Section 1031 of the Code (or any comparable provision of any foreign jurisdiction), of assets so long as any such exchange or swap is made for fair value (as reasonably determined by the Borrower) for like assets;</w:t>
      </w:r>
    </w:p>
    <w:p>
      <w:pPr>
        <w:spacing w:after="0" w:line="1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90" w:name="page191"/>
    <w:bookmarkEnd w:id="190"/>
    <w:p>
      <w:pPr>
        <w:ind w:left="1840" w:hanging="335"/>
        <w:spacing w:after="0"/>
        <w:tabs>
          <w:tab w:leader="none" w:pos="18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Dispositions of assets that do not constitute Collateral;</w:t>
      </w:r>
    </w:p>
    <w:p>
      <w:pPr>
        <w:spacing w:after="0" w:line="222" w:lineRule="exact"/>
        <w:rPr>
          <w:rFonts w:ascii="Arial" w:cs="Arial" w:eastAsia="Arial" w:hAnsi="Arial"/>
          <w:sz w:val="18"/>
          <w:szCs w:val="18"/>
          <w:color w:val="auto"/>
        </w:rPr>
      </w:pPr>
    </w:p>
    <w:p>
      <w:pPr>
        <w:jc w:val="both"/>
        <w:ind w:left="760" w:firstLine="745"/>
        <w:spacing w:after="0" w:line="300" w:lineRule="auto"/>
        <w:tabs>
          <w:tab w:leader="none" w:pos="184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 licensing, sublicensing and cross-licensing arrangements involving any IP Rights of the Borrower or any Restricted Subsidiary in the ordinary course of business and (ii) Dispositions, abandonments, cancellations or lapses of IP Rights, or issuances or registrations, or applications for issuances or registrations, of IP Rights, which, in the reasonable business judgment of the Borrower, are not material to the conduct of the business of the Borrower or its Restricted Subsidiaries, or are no longer economical to maintain in light of its use;</w:t>
      </w:r>
    </w:p>
    <w:p>
      <w:pPr>
        <w:spacing w:after="0" w:line="155" w:lineRule="exact"/>
        <w:rPr>
          <w:rFonts w:ascii="Arial" w:cs="Arial" w:eastAsia="Arial" w:hAnsi="Arial"/>
          <w:sz w:val="16"/>
          <w:szCs w:val="16"/>
          <w:color w:val="auto"/>
        </w:rPr>
      </w:pPr>
    </w:p>
    <w:p>
      <w:pPr>
        <w:ind w:left="1840" w:hanging="335"/>
        <w:spacing w:after="0"/>
        <w:tabs>
          <w:tab w:leader="none" w:pos="18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terminations or unwinds of Derivative Transactions;</w:t>
      </w:r>
    </w:p>
    <w:p>
      <w:pPr>
        <w:spacing w:after="0" w:line="222" w:lineRule="exact"/>
        <w:rPr>
          <w:rFonts w:ascii="Arial" w:cs="Arial" w:eastAsia="Arial" w:hAnsi="Arial"/>
          <w:sz w:val="18"/>
          <w:szCs w:val="18"/>
          <w:color w:val="auto"/>
        </w:rPr>
      </w:pPr>
    </w:p>
    <w:p>
      <w:pPr>
        <w:ind w:left="1840" w:hanging="335"/>
        <w:spacing w:after="0"/>
        <w:tabs>
          <w:tab w:leader="none" w:pos="18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Dispositions of Capital Stock of, or sales of Indebtedness or other Securities of, Unrestricted Subsidiaries;</w:t>
      </w:r>
    </w:p>
    <w:p>
      <w:pPr>
        <w:spacing w:after="0" w:line="222" w:lineRule="exact"/>
        <w:rPr>
          <w:rFonts w:ascii="Arial" w:cs="Arial" w:eastAsia="Arial" w:hAnsi="Arial"/>
          <w:sz w:val="18"/>
          <w:szCs w:val="18"/>
          <w:color w:val="auto"/>
        </w:rPr>
      </w:pPr>
    </w:p>
    <w:p>
      <w:pPr>
        <w:jc w:val="both"/>
        <w:ind w:left="760" w:firstLine="745"/>
        <w:spacing w:after="0" w:line="262" w:lineRule="auto"/>
        <w:tabs>
          <w:tab w:leader="none" w:pos="184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spacing w:after="0" w:line="182" w:lineRule="exact"/>
        <w:rPr>
          <w:rFonts w:ascii="Arial" w:cs="Arial" w:eastAsia="Arial" w:hAnsi="Arial"/>
          <w:sz w:val="18"/>
          <w:szCs w:val="18"/>
          <w:color w:val="auto"/>
        </w:rPr>
      </w:pPr>
    </w:p>
    <w:p>
      <w:pPr>
        <w:ind w:left="1840" w:hanging="335"/>
        <w:spacing w:after="0"/>
        <w:tabs>
          <w:tab w:leader="none" w:pos="18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Dispositions made to comply with any order of any Governmental Authority or any applicable Requirement of Law;</w:t>
      </w:r>
    </w:p>
    <w:p>
      <w:pPr>
        <w:spacing w:after="0" w:line="223" w:lineRule="exact"/>
        <w:rPr>
          <w:sz w:val="20"/>
          <w:szCs w:val="20"/>
          <w:color w:val="auto"/>
        </w:rPr>
      </w:pPr>
    </w:p>
    <w:p>
      <w:pPr>
        <w:ind w:left="760" w:firstLine="745"/>
        <w:spacing w:after="0" w:line="275" w:lineRule="auto"/>
        <w:tabs>
          <w:tab w:leader="none" w:pos="183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merger, consolidation, Disposition or conveyance the sole purpose of which is to reincorporate or reorganize (i) any Domestic Subsidiary in another jurisdiction in the U.S. and/or (ii) any Foreign Subsidiary in the U.S. or any other jurisdiction;</w:t>
      </w:r>
    </w:p>
    <w:p>
      <w:pPr>
        <w:spacing w:after="0" w:line="170" w:lineRule="exact"/>
        <w:rPr>
          <w:rFonts w:ascii="Arial" w:cs="Arial" w:eastAsia="Arial" w:hAnsi="Arial"/>
          <w:sz w:val="18"/>
          <w:szCs w:val="18"/>
          <w:color w:val="auto"/>
        </w:rPr>
      </w:pPr>
    </w:p>
    <w:p>
      <w:pPr>
        <w:ind w:left="1840" w:hanging="335"/>
        <w:spacing w:after="0"/>
        <w:tabs>
          <w:tab w:leader="none" w:pos="18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any sale of motor vehicles and information technology equipment purchased at the end of an operating lease and resold thereafter;</w:t>
      </w:r>
    </w:p>
    <w:p>
      <w:pPr>
        <w:spacing w:after="0" w:line="245" w:lineRule="exact"/>
        <w:rPr>
          <w:rFonts w:ascii="Arial" w:cs="Arial" w:eastAsia="Arial" w:hAnsi="Arial"/>
          <w:sz w:val="16"/>
          <w:szCs w:val="16"/>
          <w:color w:val="auto"/>
        </w:rPr>
      </w:pPr>
    </w:p>
    <w:p>
      <w:pPr>
        <w:jc w:val="both"/>
        <w:ind w:left="760" w:firstLine="745"/>
        <w:spacing w:after="0" w:line="284" w:lineRule="auto"/>
        <w:tabs>
          <w:tab w:leader="none" w:pos="185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Dispositions involving assets having a fair market value (as reasonably determined by the Borrower at the time of the relevant Disposition) of not more than the greater of $35,250,000 and 15% of Consolidated Adjusted EBITDA as of the last day of the most recently ended Fiscal Year in any Fiscal Year, which, if not used in such Fiscal Year, shall be carried forward to succeeding Fiscal Years;</w:t>
      </w:r>
    </w:p>
    <w:p>
      <w:pPr>
        <w:spacing w:after="0" w:line="166" w:lineRule="exact"/>
        <w:rPr>
          <w:rFonts w:ascii="Arial" w:cs="Arial" w:eastAsia="Arial" w:hAnsi="Arial"/>
          <w:sz w:val="17"/>
          <w:szCs w:val="17"/>
          <w:color w:val="auto"/>
        </w:rPr>
      </w:pPr>
    </w:p>
    <w:p>
      <w:pPr>
        <w:ind w:left="760" w:firstLine="745"/>
        <w:spacing w:after="0" w:line="275" w:lineRule="auto"/>
        <w:tabs>
          <w:tab w:leader="none" w:pos="183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Disposition of Securitization Assets to a Securitization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shall be for no less than the fair market value of such property at the time of such Disposition as determined by the Borrower in good faith; and</w:t>
      </w:r>
    </w:p>
    <w:p>
      <w:pPr>
        <w:spacing w:after="0" w:line="170" w:lineRule="exact"/>
        <w:rPr>
          <w:rFonts w:ascii="Arial" w:cs="Arial" w:eastAsia="Arial" w:hAnsi="Arial"/>
          <w:sz w:val="18"/>
          <w:szCs w:val="18"/>
          <w:color w:val="auto"/>
        </w:rPr>
      </w:pPr>
    </w:p>
    <w:p>
      <w:pPr>
        <w:ind w:left="1840" w:hanging="335"/>
        <w:spacing w:after="0"/>
        <w:tabs>
          <w:tab w:leader="none" w:pos="18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Disposition of Securitization Assets or related assets in connection with any Qualified Securitization Financing.</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 xml:space="preserve">To the extent that any Collateral is Disposed of as expressly permitted by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hereof.</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6.08.[Reserved]</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u w:val="single" w:color="auto"/>
          <w:color w:val="auto"/>
        </w:rPr>
        <w:t>Section 6.09.Transactions with Affiliates</w:t>
      </w:r>
      <w:r>
        <w:rPr>
          <w:rFonts w:ascii="Arial" w:cs="Arial" w:eastAsia="Arial" w:hAnsi="Arial"/>
          <w:sz w:val="18"/>
          <w:szCs w:val="18"/>
          <w:color w:val="auto"/>
        </w:rPr>
        <w:t xml:space="preserve">. The Borrower shall not, nor shall it permit any of its Restricted Subsidiaries to, enter into any transaction (including the purchase, sale, lease or exchange of any property or the rendering of any service) involving payment in excess of the greater of $35,250,000 and 15% of Consolidated Adjusted EBITDA as of the last day of the most recently ended Test Period with any of their respective Affiliates on terms that are less favorable to the Borrower or such Restricted Subsidiary, as the case may be (as reasonably determined by the Borrower), than those that might be obtained at the time in a comparable arm’s-length transaction from a Person who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1" w:name="page192"/>
    <w:bookmarkEnd w:id="191"/>
    <w:p>
      <w:pPr>
        <w:ind w:firstLine="745"/>
        <w:spacing w:after="0" w:line="275" w:lineRule="auto"/>
        <w:tabs>
          <w:tab w:leader="none" w:pos="111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transaction between or among the Borrower and/or one or more Restricted Subsidiaries (or any entity that becomes a Restricted Subsidiary as a result of such transaction) to the extent permitted or not restricted by this Agreement;</w:t>
      </w:r>
    </w:p>
    <w:p>
      <w:pPr>
        <w:spacing w:after="0" w:line="170" w:lineRule="exact"/>
        <w:rPr>
          <w:rFonts w:ascii="Arial" w:cs="Arial" w:eastAsia="Arial" w:hAnsi="Arial"/>
          <w:sz w:val="18"/>
          <w:szCs w:val="18"/>
          <w:color w:val="auto"/>
        </w:rPr>
      </w:pPr>
    </w:p>
    <w:p>
      <w:pPr>
        <w:jc w:val="both"/>
        <w:ind w:firstLine="745"/>
        <w:spacing w:after="0" w:line="262" w:lineRule="auto"/>
        <w:tabs>
          <w:tab w:leader="none" w:pos="109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spacing w:after="0" w:line="182" w:lineRule="exact"/>
        <w:rPr>
          <w:rFonts w:ascii="Arial" w:cs="Arial" w:eastAsia="Arial" w:hAnsi="Arial"/>
          <w:sz w:val="18"/>
          <w:szCs w:val="18"/>
          <w:color w:val="auto"/>
        </w:rPr>
      </w:pPr>
    </w:p>
    <w:p>
      <w:pPr>
        <w:jc w:val="both"/>
        <w:ind w:firstLine="745"/>
        <w:spacing w:after="0" w:line="253" w:lineRule="auto"/>
        <w:tabs>
          <w:tab w:leader="none" w:pos="107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any collective bargaining, employment or severance agreement or compensatory (including profit sharing) arrangement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transactions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189" w:lineRule="exact"/>
        <w:rPr>
          <w:rFonts w:ascii="Arial" w:cs="Arial" w:eastAsia="Arial" w:hAnsi="Arial"/>
          <w:sz w:val="18"/>
          <w:szCs w:val="18"/>
          <w:color w:val="auto"/>
        </w:rPr>
      </w:pPr>
    </w:p>
    <w:p>
      <w:pPr>
        <w:ind w:firstLine="745"/>
        <w:spacing w:after="0" w:line="275" w:lineRule="auto"/>
        <w:tabs>
          <w:tab w:leader="none" w:pos="107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 transactions permitted by </w:t>
      </w:r>
      <w:r>
        <w:rPr>
          <w:rFonts w:ascii="Arial" w:cs="Arial" w:eastAsia="Arial" w:hAnsi="Arial"/>
          <w:sz w:val="18"/>
          <w:szCs w:val="18"/>
          <w:u w:val="single" w:color="auto"/>
          <w:color w:val="auto"/>
        </w:rPr>
        <w:t>Sections 6.01(d)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(ee)</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6.06(h)</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(z)</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t>
      </w:r>
      <w:r>
        <w:rPr>
          <w:rFonts w:ascii="Arial" w:cs="Arial" w:eastAsia="Arial" w:hAnsi="Arial"/>
          <w:sz w:val="18"/>
          <w:szCs w:val="18"/>
          <w:color w:val="auto"/>
        </w:rPr>
        <w:t>ii) issuances of Capital Stock and issuances and incurrences of Indebtedness not restricted by this Agreement;</w:t>
      </w:r>
    </w:p>
    <w:p>
      <w:pPr>
        <w:spacing w:after="0" w:line="170" w:lineRule="exact"/>
        <w:rPr>
          <w:rFonts w:ascii="Arial" w:cs="Arial" w:eastAsia="Arial" w:hAnsi="Arial"/>
          <w:sz w:val="18"/>
          <w:szCs w:val="18"/>
          <w:color w:val="auto"/>
        </w:rPr>
      </w:pPr>
    </w:p>
    <w:p>
      <w:pPr>
        <w:jc w:val="both"/>
        <w:ind w:firstLine="745"/>
        <w:spacing w:after="0" w:line="262" w:lineRule="auto"/>
        <w:tabs>
          <w:tab w:leader="none" w:pos="112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transactions in existence on the Closing Date and any amendment, modification or extension thereof to the extent such amendment, modification or extension, taken as a whole, is not (i) materially adverse to the Lenders or (ii) more disadvantageous to the Lenders than the relevant transaction in existence on the Closing Date;</w:t>
      </w:r>
    </w:p>
    <w:p>
      <w:pPr>
        <w:spacing w:after="0" w:line="182" w:lineRule="exact"/>
        <w:rPr>
          <w:rFonts w:ascii="Arial" w:cs="Arial" w:eastAsia="Arial" w:hAnsi="Arial"/>
          <w:sz w:val="18"/>
          <w:szCs w:val="18"/>
          <w:color w:val="auto"/>
        </w:rPr>
      </w:pPr>
    </w:p>
    <w:p>
      <w:pPr>
        <w:jc w:val="both"/>
        <w:ind w:firstLine="745"/>
        <w:spacing w:after="0" w:line="262" w:lineRule="auto"/>
        <w:tabs>
          <w:tab w:leader="none" w:pos="10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payment or reimbursement of all indemnification obligations and expenses owed to any Investor and any of their respective directors, officers, members of management, managers, employees and consultants whether currently due or paid in respect of accruals from prior periods;</w:t>
      </w:r>
    </w:p>
    <w:p>
      <w:pPr>
        <w:spacing w:after="0" w:line="182" w:lineRule="exact"/>
        <w:rPr>
          <w:rFonts w:ascii="Arial" w:cs="Arial" w:eastAsia="Arial" w:hAnsi="Arial"/>
          <w:sz w:val="18"/>
          <w:szCs w:val="18"/>
          <w:color w:val="auto"/>
        </w:rPr>
      </w:pPr>
    </w:p>
    <w:p>
      <w:pPr>
        <w:ind w:left="1080" w:hanging="335"/>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Transactions, including the payment of Transaction Costs;</w:t>
      </w:r>
    </w:p>
    <w:p>
      <w:pPr>
        <w:spacing w:after="0" w:line="222" w:lineRule="exact"/>
        <w:rPr>
          <w:rFonts w:ascii="Arial" w:cs="Arial" w:eastAsia="Arial" w:hAnsi="Arial"/>
          <w:sz w:val="18"/>
          <w:szCs w:val="18"/>
          <w:color w:val="auto"/>
        </w:rPr>
      </w:pPr>
    </w:p>
    <w:p>
      <w:pPr>
        <w:jc w:val="both"/>
        <w:ind w:firstLine="745"/>
        <w:spacing w:after="0" w:line="258" w:lineRule="auto"/>
        <w:tabs>
          <w:tab w:leader="none" w:pos="109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customary compensation to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spacing w:after="0" w:line="184" w:lineRule="exact"/>
        <w:rPr>
          <w:rFonts w:ascii="Arial" w:cs="Arial" w:eastAsia="Arial" w:hAnsi="Arial"/>
          <w:sz w:val="18"/>
          <w:szCs w:val="18"/>
          <w:color w:val="auto"/>
        </w:rPr>
      </w:pPr>
    </w:p>
    <w:p>
      <w:pPr>
        <w:ind w:left="1080" w:hanging="335"/>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1080" w:hanging="335"/>
        <w:spacing w:after="0"/>
        <w:tabs>
          <w:tab w:leader="none" w:pos="10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transactions among Holdings, the Borrower and its Restricted Subsidiaries that are otherwise permitted (or not restricted) under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208" w:lineRule="exact"/>
        <w:rPr>
          <w:rFonts w:ascii="Arial" w:cs="Arial" w:eastAsia="Arial" w:hAnsi="Arial"/>
          <w:sz w:val="16"/>
          <w:szCs w:val="16"/>
          <w:color w:val="auto"/>
        </w:rPr>
      </w:pPr>
    </w:p>
    <w:p>
      <w:pPr>
        <w:jc w:val="both"/>
        <w:ind w:firstLine="745"/>
        <w:spacing w:after="0" w:line="300" w:lineRule="auto"/>
        <w:tabs>
          <w:tab w:leader="none" w:pos="107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spacing w:after="0" w:line="155" w:lineRule="exact"/>
        <w:rPr>
          <w:rFonts w:ascii="Arial" w:cs="Arial" w:eastAsia="Arial" w:hAnsi="Arial"/>
          <w:sz w:val="16"/>
          <w:szCs w:val="16"/>
          <w:color w:val="auto"/>
        </w:rPr>
      </w:pPr>
    </w:p>
    <w:p>
      <w:pPr>
        <w:ind w:firstLine="745"/>
        <w:spacing w:after="0" w:line="275"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purchasers or sellers of goods or services or providers of employees or other labor entered into in the ordinary course of business, which</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192" w:name="page193"/>
    <w:bookmarkEnd w:id="192"/>
    <w:p>
      <w:pPr>
        <w:jc w:val="both"/>
        <w:ind w:left="760"/>
        <w:spacing w:after="0" w:line="262" w:lineRule="auto"/>
        <w:rPr>
          <w:sz w:val="20"/>
          <w:szCs w:val="20"/>
          <w:color w:val="auto"/>
        </w:rPr>
      </w:pPr>
      <w:r>
        <w:rPr>
          <w:rFonts w:ascii="Arial" w:cs="Arial" w:eastAsia="Arial" w:hAnsi="Arial"/>
          <w:sz w:val="18"/>
          <w:szCs w:val="18"/>
          <w:color w:val="auto"/>
        </w:rPr>
        <w:t>are (i) fair to the Borrower and/or its applicable Restricted Subsidiary in the good faith determination of the board of directors (or similar governing body) of the Borrower or the senior management thereof or (ii) on terms at least as favorable as might reasonably be obtained from a Person other than an Affiliate;</w:t>
      </w:r>
    </w:p>
    <w:p>
      <w:pPr>
        <w:spacing w:after="0" w:line="182" w:lineRule="exact"/>
        <w:rPr>
          <w:sz w:val="20"/>
          <w:szCs w:val="20"/>
          <w:color w:val="auto"/>
        </w:rPr>
      </w:pPr>
    </w:p>
    <w:p>
      <w:pPr>
        <w:ind w:left="760" w:firstLine="745"/>
        <w:spacing w:after="0" w:line="275" w:lineRule="auto"/>
        <w:tabs>
          <w:tab w:leader="none" w:pos="184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related to registration rights and customary indemnities provided to shareholders under any shareholder agreement;</w:t>
      </w:r>
    </w:p>
    <w:p>
      <w:pPr>
        <w:spacing w:after="0" w:line="170" w:lineRule="exact"/>
        <w:rPr>
          <w:rFonts w:ascii="Arial" w:cs="Arial" w:eastAsia="Arial" w:hAnsi="Arial"/>
          <w:sz w:val="18"/>
          <w:szCs w:val="18"/>
          <w:color w:val="auto"/>
        </w:rPr>
      </w:pPr>
    </w:p>
    <w:p>
      <w:pPr>
        <w:ind w:left="760" w:firstLine="745"/>
        <w:spacing w:after="0" w:line="275" w:lineRule="auto"/>
        <w:tabs>
          <w:tab w:leader="none" w:pos="187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any purchase by Holdings of the Capital Stock of (or contribution to the equity capital of) the Borrower and (ii) any intercompany loans made by Holdings to the Borrower or any Restricted Subsidiary;</w:t>
      </w:r>
    </w:p>
    <w:p>
      <w:pPr>
        <w:spacing w:after="0" w:line="170" w:lineRule="exact"/>
        <w:rPr>
          <w:rFonts w:ascii="Arial" w:cs="Arial" w:eastAsia="Arial" w:hAnsi="Arial"/>
          <w:sz w:val="18"/>
          <w:szCs w:val="18"/>
          <w:color w:val="auto"/>
        </w:rPr>
      </w:pPr>
    </w:p>
    <w:p>
      <w:pPr>
        <w:jc w:val="both"/>
        <w:ind w:left="760" w:firstLine="745"/>
        <w:spacing w:after="0" w:line="258" w:lineRule="auto"/>
        <w:tabs>
          <w:tab w:leader="none" w:pos="184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transaction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is on terms that are no less favorable to the Borrower or the applicable Restricted Subsidiary than might be obtained at the time in a comparable arm’s length transaction from a Person who is not an Affiliate;</w:t>
      </w:r>
    </w:p>
    <w:p>
      <w:pPr>
        <w:spacing w:after="0" w:line="184" w:lineRule="exact"/>
        <w:rPr>
          <w:rFonts w:ascii="Arial" w:cs="Arial" w:eastAsia="Arial" w:hAnsi="Arial"/>
          <w:sz w:val="18"/>
          <w:szCs w:val="18"/>
          <w:color w:val="auto"/>
        </w:rPr>
      </w:pPr>
    </w:p>
    <w:p>
      <w:pPr>
        <w:ind w:left="760" w:firstLine="745"/>
        <w:spacing w:after="0" w:line="275" w:lineRule="auto"/>
        <w:tabs>
          <w:tab w:leader="none" w:pos="183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non-exclusive licensing of trademarks, copyrights or other Intellectual Property in the ordinary course of business to permit the commercial exploitation of Intellectual Property between or among Affiliates and Subsidiaries of the Borrower;</w:t>
      </w:r>
    </w:p>
    <w:p>
      <w:pPr>
        <w:spacing w:after="0" w:line="170" w:lineRule="exact"/>
        <w:rPr>
          <w:rFonts w:ascii="Arial" w:cs="Arial" w:eastAsia="Arial" w:hAnsi="Arial"/>
          <w:sz w:val="18"/>
          <w:szCs w:val="18"/>
          <w:color w:val="auto"/>
        </w:rPr>
      </w:pPr>
    </w:p>
    <w:p>
      <w:pPr>
        <w:ind w:left="1840" w:hanging="335"/>
        <w:spacing w:after="0"/>
        <w:tabs>
          <w:tab w:leader="none" w:pos="18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Disposition of Securitization Assets or related assets in connection with any Qualified Securitization Financing;</w:t>
      </w:r>
    </w:p>
    <w:p>
      <w:pPr>
        <w:spacing w:after="0" w:line="222" w:lineRule="exact"/>
        <w:rPr>
          <w:rFonts w:ascii="Arial" w:cs="Arial" w:eastAsia="Arial" w:hAnsi="Arial"/>
          <w:sz w:val="18"/>
          <w:szCs w:val="18"/>
          <w:color w:val="auto"/>
        </w:rPr>
      </w:pPr>
    </w:p>
    <w:p>
      <w:pPr>
        <w:jc w:val="both"/>
        <w:ind w:left="760" w:firstLine="745"/>
        <w:spacing w:after="0" w:line="255" w:lineRule="auto"/>
        <w:tabs>
          <w:tab w:leader="none" w:pos="183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transactions pursuant to any management or advisory agreement with any Investor, including, so long as no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 xml:space="preserve"> exists at the time of such payment, payment of management, monitoring consulting, transaction, oversight, advisory or similar fees payable pursuant thereto; provided that so long as an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 xml:space="preserve"> exists such fees shall continue to accrue and shall become payable when the applicable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 xml:space="preserve"> no longer exists.</w:t>
      </w:r>
    </w:p>
    <w:p>
      <w:pPr>
        <w:spacing w:after="0" w:line="190"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u w:val="single" w:color="auto"/>
          <w:color w:val="auto"/>
        </w:rPr>
        <w:t>Section 6.10.Conduct of Business</w:t>
      </w:r>
      <w:r>
        <w:rPr>
          <w:rFonts w:ascii="Arial" w:cs="Arial" w:eastAsia="Arial" w:hAnsi="Arial"/>
          <w:sz w:val="16"/>
          <w:szCs w:val="16"/>
          <w:color w:val="auto"/>
        </w:rPr>
        <w:t>. From and after the Closing Date, the Borrower shall not, nor shall it permit any of its Restricted Subsidiaries to, engage in any material line of business other than (a) the businesses engaged in by the Borrower or any Restricted Subsidiary on the Closing Date and similar, incidental, complementary, ancillary or related businesses and (b) such other lines of business to which the Administrative Agent may consent.</w:t>
      </w:r>
    </w:p>
    <w:p>
      <w:pPr>
        <w:spacing w:after="0" w:line="147"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u w:val="single" w:color="auto"/>
          <w:color w:val="auto"/>
        </w:rPr>
        <w:t>Section 6.11.Amendments of or Waivers with Respect to Restricted Debt</w:t>
      </w:r>
      <w:r>
        <w:rPr>
          <w:rFonts w:ascii="Arial" w:cs="Arial" w:eastAsia="Arial" w:hAnsi="Arial"/>
          <w:sz w:val="16"/>
          <w:szCs w:val="16"/>
          <w:color w:val="auto"/>
        </w:rPr>
        <w:t xml:space="preserve">. The Borrower shall not, nor shall it permit any of its Restricted Subsidiaries to, amend or otherwise modify the terms of any Restricted Debt (or the documentation governing any Restricted Debt) (a) if the effect of such amendment or modification, together with all other amendments or modifications made, is materially adverse to the interests of the Lenders (in their capacities as such) or (b) in violation of any intercreditor agreement related to such debt entered into with the Administrative Agent or the subordination terms set forth in the definitive documentation governing any Restricted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w:t>
      </w:r>
    </w:p>
    <w:p>
      <w:pPr>
        <w:spacing w:after="0" w:line="164"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u w:val="single" w:color="auto"/>
          <w:color w:val="auto"/>
        </w:rPr>
        <w:t>Section 6.12.Fiscal Year</w:t>
      </w:r>
      <w:r>
        <w:rPr>
          <w:rFonts w:ascii="Arial" w:cs="Arial" w:eastAsia="Arial" w:hAnsi="Arial"/>
          <w:sz w:val="16"/>
          <w:szCs w:val="16"/>
          <w:color w:val="auto"/>
        </w:rPr>
        <w:t xml:space="preserve">. The Borrower shall not change its Fiscal Year-end to a date other than December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upon written notice to the Administrative Agent, change the Fiscal Year-end of the Borrower to another date, in which case the Borrower and the Administrative Agent will, and are hereby authorized to, make any adjustments to this Agreement that are necessary to reflect such change in Fiscal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3" w:name="page194"/>
    <w:bookmarkEnd w:id="193"/>
    <w:p>
      <w:pPr>
        <w:ind w:left="760"/>
        <w:spacing w:after="0"/>
        <w:rPr>
          <w:sz w:val="20"/>
          <w:szCs w:val="20"/>
          <w:color w:val="auto"/>
        </w:rPr>
      </w:pPr>
      <w:r>
        <w:rPr>
          <w:rFonts w:ascii="Arial" w:cs="Arial" w:eastAsia="Arial" w:hAnsi="Arial"/>
          <w:sz w:val="18"/>
          <w:szCs w:val="18"/>
          <w:u w:val="single" w:color="auto"/>
          <w:color w:val="auto"/>
        </w:rPr>
        <w:t>Section 6.13.Permitted Activities of Holdings</w:t>
      </w:r>
      <w:r>
        <w:rPr>
          <w:rFonts w:ascii="Arial" w:cs="Arial" w:eastAsia="Arial" w:hAnsi="Arial"/>
          <w:sz w:val="18"/>
          <w:szCs w:val="18"/>
          <w:color w:val="auto"/>
        </w:rPr>
        <w:t>. Holdings shall not:</w:t>
      </w:r>
    </w:p>
    <w:p>
      <w:pPr>
        <w:spacing w:after="0" w:line="223" w:lineRule="exact"/>
        <w:rPr>
          <w:sz w:val="20"/>
          <w:szCs w:val="20"/>
          <w:color w:val="auto"/>
        </w:rPr>
      </w:pPr>
    </w:p>
    <w:p>
      <w:pPr>
        <w:jc w:val="both"/>
        <w:ind w:left="760" w:firstLine="745"/>
        <w:spacing w:after="0" w:line="262" w:lineRule="auto"/>
        <w:tabs>
          <w:tab w:leader="none" w:pos="18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incur any third party Indebtedness for borrowed money other than (i) the Indebtedness permitted to be incurred by Holdings under the Loan Documents or otherwise in connection with the Transactions and (ii) Guarantees of Indebtedness or other obligations of the Borrower and/or any Restricted Subsidiary that are otherwise permitted hereunder;</w:t>
      </w:r>
    </w:p>
    <w:p>
      <w:pPr>
        <w:spacing w:after="0" w:line="182" w:lineRule="exact"/>
        <w:rPr>
          <w:rFonts w:ascii="Arial" w:cs="Arial" w:eastAsia="Arial" w:hAnsi="Arial"/>
          <w:sz w:val="18"/>
          <w:szCs w:val="18"/>
          <w:color w:val="auto"/>
        </w:rPr>
      </w:pPr>
    </w:p>
    <w:p>
      <w:pPr>
        <w:jc w:val="both"/>
        <w:ind w:left="760" w:firstLine="745"/>
        <w:spacing w:after="0" w:line="295" w:lineRule="auto"/>
        <w:tabs>
          <w:tab w:leader="none" w:pos="185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create or suffer to exist any Lien on any asset now owned or hereafter acquired by it other than (i) the Liens created under the Collateral Documents to which it is a party, (ii) any other Lien created in connection with the Transactions, (iii) Permitted Liens on the Collateral that are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with the Secured Obligations, so long as such Permitted Liens secure Guarantees permitted under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and the underlying Indebtedness subject to such Guarantee is permitted to be secured on the same basis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 (iv) Liens of the type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(other than in respect of debt for borrowed money); or</w:t>
      </w:r>
    </w:p>
    <w:p>
      <w:pPr>
        <w:spacing w:after="0" w:line="159" w:lineRule="exact"/>
        <w:rPr>
          <w:rFonts w:ascii="Arial" w:cs="Arial" w:eastAsia="Arial" w:hAnsi="Arial"/>
          <w:sz w:val="16"/>
          <w:szCs w:val="16"/>
          <w:color w:val="auto"/>
        </w:rPr>
      </w:pPr>
    </w:p>
    <w:p>
      <w:pPr>
        <w:jc w:val="both"/>
        <w:ind w:left="760" w:firstLine="745"/>
        <w:spacing w:after="0" w:line="284" w:lineRule="auto"/>
        <w:tabs>
          <w:tab w:leader="none" w:pos="184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consolidate or amalgamate with, or merge with or into, or convey, sell or otherwise transfer all or substantially all of its assets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exists or would result therefrom, (A) Holdings may consolidate or amalgamate with, or merge with or into, any other Person (other than the Borrower and any of its Subsidiaries) so long as (i) Holdings is the continuing or surviving Person or (ii) if the Person formed by or surviving any such consolidation, amalgamation or merger is not Holdings (x) the successor Person (such successor Person, “</w:t>
      </w:r>
      <w:r>
        <w:rPr>
          <w:rFonts w:ascii="Arial" w:cs="Arial" w:eastAsia="Arial" w:hAnsi="Arial"/>
          <w:sz w:val="16"/>
          <w:szCs w:val="16"/>
          <w:u w:val="single" w:color="auto"/>
          <w:color w:val="auto"/>
        </w:rPr>
        <w:t>Successor Holdings</w:t>
      </w:r>
      <w:r>
        <w:rPr>
          <w:rFonts w:ascii="Arial" w:cs="Arial" w:eastAsia="Arial" w:hAnsi="Arial"/>
          <w:sz w:val="16"/>
          <w:szCs w:val="16"/>
          <w:color w:val="auto"/>
        </w:rPr>
        <w:t xml:space="preserve">”) expressly assumes all obligations of Holdings under this Agreement and the other Loan Documents to which Holdings is a party pursuant to a supplement hereto and/or thereto in a form reasonably satisfactory to the Administrative Agent and (y) the Borrower delivers a certificate of a Responsible Officer with respect to the satisfaction of the conditions set forth in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(B) Holdings may otherwise convey, sell or otherwise transfer all or substantially all of its assets to any other Person (other than the Borrower and any of its Subsidiaries) so long as (x) no Change of Control results therefrom, (y) the Person acquiring such assets expressly assumes all of the obligations of Holdings under this Agreement and the other Loan Documents to which Holdings is a party pursuant to a supplement hereto and/or thereto in a form reasonably satisfactory to the Administrative Agent and (z) the Borrower delivers a certificate of a Responsible Officer with respect to the satisfaction of the conditions under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set forth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(1) if the conditions set forth in the preceding proviso are satisfied, Successor Holdings will succeed to, and be substituted for, Holdings under this Agreement and (2) it is understood and agreed that Holdings may convert into another form of entity so long as such conversion does not adversely affect the value of the Loan Guaranty or the Collateral.</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6.14.Financial Covenant</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2" w:lineRule="auto"/>
        <w:tabs>
          <w:tab w:leader="none" w:pos="1019" w:val="left"/>
        </w:tabs>
        <w:numPr>
          <w:ilvl w:val="0"/>
          <w:numId w:val="2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First Lien Leverage Ratio</w:t>
      </w:r>
      <w:r>
        <w:rPr>
          <w:rFonts w:ascii="Arial" w:cs="Arial" w:eastAsia="Arial" w:hAnsi="Arial"/>
          <w:sz w:val="18"/>
          <w:szCs w:val="18"/>
          <w:color w:val="auto"/>
        </w:rPr>
        <w:t xml:space="preserve">. On the last day of any Test Period on which the Revolving Facility Test Condition is then satisfied (it being understood and agreed that this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shall not apply until the last day of the second full Fiscal Quarter ending after the Closing Date), the Borrower shall not permit the First Lien Leverage Ratio to be greater than 6.25:1.00.</w:t>
      </w:r>
    </w:p>
    <w:p>
      <w:pPr>
        <w:spacing w:after="0" w:line="182" w:lineRule="exact"/>
        <w:rPr>
          <w:rFonts w:ascii="Arial" w:cs="Arial" w:eastAsia="Arial" w:hAnsi="Arial"/>
          <w:sz w:val="18"/>
          <w:szCs w:val="18"/>
          <w:u w:val="single" w:color="auto"/>
          <w:color w:val="auto"/>
        </w:rPr>
      </w:pPr>
    </w:p>
    <w:p>
      <w:pPr>
        <w:jc w:val="both"/>
        <w:ind w:firstLine="756"/>
        <w:spacing w:after="0" w:line="287" w:lineRule="auto"/>
        <w:tabs>
          <w:tab w:leader="none" w:pos="1019" w:val="left"/>
        </w:tabs>
        <w:numPr>
          <w:ilvl w:val="0"/>
          <w:numId w:val="23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Financial Cure</w:t>
      </w:r>
      <w:r>
        <w:rPr>
          <w:rFonts w:ascii="Arial" w:cs="Arial" w:eastAsia="Arial" w:hAnsi="Arial"/>
          <w:sz w:val="16"/>
          <w:szCs w:val="16"/>
          <w:color w:val="auto"/>
        </w:rPr>
        <w:t xml:space="preserve">. Notwithstanding anything to the contrary in this Agreement (including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upon the occurrence of an Event of Default as a result of the Borrower’s failure to comply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above for any Fiscal Quarter, the Borrower shall have the right (the “</w:t>
      </w:r>
      <w:r>
        <w:rPr>
          <w:rFonts w:ascii="Arial" w:cs="Arial" w:eastAsia="Arial" w:hAnsi="Arial"/>
          <w:sz w:val="16"/>
          <w:szCs w:val="16"/>
          <w:u w:val="single" w:color="auto"/>
          <w:color w:val="auto"/>
        </w:rPr>
        <w:t>Cure Right</w:t>
      </w:r>
      <w:r>
        <w:rPr>
          <w:rFonts w:ascii="Arial" w:cs="Arial" w:eastAsia="Arial" w:hAnsi="Arial"/>
          <w:sz w:val="16"/>
          <w:szCs w:val="16"/>
          <w:color w:val="auto"/>
        </w:rPr>
        <w:t xml:space="preserve">”) (at any time during such Fiscal Quarter or thereafter until the date that is 15 Business Days after the date on which financial statements for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applicable) to issue Qualified Capital Stock or other equity (such other equity to be on terms reasonably acceptable to the Administrative Agent) for Cash or otherwise receive Cash contributions in respect of its Qualified Capital Stock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and thereupon the Borrower’s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shall be recalculated giving effect to a pro forma increase in the amount of Consolidated Adjusted EBITDA by an amount equal to the Cure Amount (notwithstanding the absence of a related addback in the definition of “Consolidated Adjusted EBITDA”) solely for the purpose of determining compliance with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the requirements of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would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4" w:name="page195"/>
    <w:bookmarkEnd w:id="194"/>
    <w:p>
      <w:pPr>
        <w:jc w:val="both"/>
        <w:spacing w:after="0" w:line="266" w:lineRule="auto"/>
        <w:rPr>
          <w:sz w:val="20"/>
          <w:szCs w:val="20"/>
          <w:color w:val="auto"/>
        </w:rPr>
      </w:pPr>
      <w:r>
        <w:rPr>
          <w:rFonts w:ascii="Arial" w:cs="Arial" w:eastAsia="Arial" w:hAnsi="Arial"/>
          <w:sz w:val="17"/>
          <w:szCs w:val="17"/>
          <w:color w:val="auto"/>
        </w:rPr>
        <w:t xml:space="preserve">satisfied, then the requirements of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shall be deemed satisfied as of the end of the relevant Fiscal Quarter with the same effect as though there had been no failure to comply therewith at such date, and the applicable breach or default of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that had occurred (or would have occurred) shall be deemed cured for the purposes of this Agreement. Notwithstanding anything herein to the contrary, (i) in each four consecutive Fiscal Quarter period there shall be at least two Fiscal Quarters (which may, but are not required to be, consecutive) in which the Cure Right is not exercised, (ii) during the term of this Agreement, the Cure Right shall not be exercised more than five times, (iii) the Cure Amount shall be no greater than the amount required for the purpose of complying with </w:t>
      </w:r>
      <w:r>
        <w:rPr>
          <w:rFonts w:ascii="Arial" w:cs="Arial" w:eastAsia="Arial" w:hAnsi="Arial"/>
          <w:sz w:val="17"/>
          <w:szCs w:val="17"/>
          <w:u w:val="single" w:color="auto"/>
          <w:color w:val="auto"/>
        </w:rPr>
        <w:t>Section 6.14(a)</w:t>
      </w:r>
      <w:r>
        <w:rPr>
          <w:rFonts w:ascii="Arial" w:cs="Arial" w:eastAsia="Arial" w:hAnsi="Arial"/>
          <w:sz w:val="17"/>
          <w:szCs w:val="17"/>
          <w:color w:val="auto"/>
        </w:rPr>
        <w:t>, (iv) following written notice from the Borrower to the Administrative Agent that the Borrower intends to exercise a cure right (a “</w:t>
      </w:r>
      <w:r>
        <w:rPr>
          <w:rFonts w:ascii="Arial" w:cs="Arial" w:eastAsia="Arial" w:hAnsi="Arial"/>
          <w:sz w:val="17"/>
          <w:szCs w:val="17"/>
          <w:u w:val="single" w:color="auto"/>
          <w:color w:val="auto"/>
        </w:rPr>
        <w:t>Notice of Intent to Cure</w:t>
      </w:r>
      <w:r>
        <w:rPr>
          <w:rFonts w:ascii="Arial" w:cs="Arial" w:eastAsia="Arial" w:hAnsi="Arial"/>
          <w:sz w:val="17"/>
          <w:szCs w:val="17"/>
          <w:color w:val="auto"/>
        </w:rPr>
        <w:t xml:space="preserve">”), until the 15th Business Day following the date on which financial statements for the Fiscal Quarter to which such Notice of Intent to Cure relates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neither the Administrative Agent (nor any sub-agent therefor) nor any Lender shall exercise any right to accelerate the Loans or terminate the Revolving Credit Commitments, and none of the Administrative Agent (nor any sub-agent therefor) nor any Lender or Secured Party shall exercise any right to foreclose on or take possession of the Collateral or any other right or remedy under the Loan Documents solely on the basis of the relevant Event of Default under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(v) there shall be no pro forma reduction of the amount of Indebtedness by the amount of any Cure Amount for purposes of determining compliance with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for the Fiscal Quarter in respect of which the Cure Right was exercised (other than, with respect to any future period, to the extent of any portion of such Cure Amount that is actually applied to repay Indebtedness), (vi) during any Test Period in which any Cure Amount is included in the calculation of Consolidated Adjusted EBITDA as a result of any exercise of the Cure Right, such Cure Amount shall be disregarded for purposes of determining (x) whether any financial ratio-based condition to the availability of any carve-out or any basket set forth in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of this Agreement has been satisfied or (y) the Applicable Rate or the Commitment Fee Rate and (vii) no Revolving Lender or Issuing Bank shall be required to make any Revolving Loan or issue any Letter of Credit from and after such time as the Administrative Agent shall have received a Notice of Intent to Cure until the Cure Amount is actually received.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7.01.Events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23" w:lineRule="exact"/>
        <w:rPr>
          <w:sz w:val="20"/>
          <w:szCs w:val="20"/>
          <w:color w:val="auto"/>
        </w:rPr>
      </w:pPr>
    </w:p>
    <w:p>
      <w:pPr>
        <w:jc w:val="both"/>
        <w:ind w:left="760" w:firstLine="745"/>
        <w:spacing w:after="0" w:line="262" w:lineRule="auto"/>
        <w:tabs>
          <w:tab w:leader="none" w:pos="1852"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spacing w:after="0" w:line="182" w:lineRule="exact"/>
        <w:rPr>
          <w:rFonts w:ascii="Arial" w:cs="Arial" w:eastAsia="Arial" w:hAnsi="Arial"/>
          <w:sz w:val="18"/>
          <w:szCs w:val="18"/>
          <w:color w:val="auto"/>
        </w:rPr>
      </w:pPr>
    </w:p>
    <w:p>
      <w:pPr>
        <w:jc w:val="both"/>
        <w:ind w:left="760" w:firstLine="745"/>
        <w:spacing w:after="0" w:line="285" w:lineRule="auto"/>
        <w:tabs>
          <w:tab w:leader="none" w:pos="1837"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Default in Other Agreements</w:t>
      </w:r>
      <w:r>
        <w:rPr>
          <w:rFonts w:ascii="Arial" w:cs="Arial" w:eastAsia="Arial" w:hAnsi="Arial"/>
          <w:sz w:val="16"/>
          <w:szCs w:val="16"/>
          <w:color w:val="auto"/>
        </w:rPr>
        <w:t xml:space="preserve">. (i) Failure by the Borrower or any of its Restricted Subsidiaries to pay when due any principal of or interest on or any other amount payable in respect of one or more items of Indebtedness (other than Indebtedness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with an aggregate outstanding principal amount exceeding the Threshold Amount, in each case beyond the grace period, if any, provided therefor; or (ii) breach or default by the Borrower or any of its Restricted Subsidiaries with respect to any other term of (A) one or more items of Indebtedness with an aggregate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which are not the result of any default thereunder by any Loan Party or any Restricted Subsidiary),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shall not apply to secured Indebtedness that becomes due as a result of the voluntary sale or transfer of the property securing such Indebtedness if such sale or transfer is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failure described under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is unremedied and is not waived by the holders of such Indebtedness prior to any termination of the Commitments or acceleration of the Loans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5" w:name="page196"/>
    <w:bookmarkEnd w:id="195"/>
    <w:p>
      <w:pPr>
        <w:jc w:val="both"/>
        <w:ind w:left="-360" w:firstLine="745"/>
        <w:spacing w:after="0" w:line="267" w:lineRule="auto"/>
        <w:tabs>
          <w:tab w:leader="none" w:pos="731"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Breach of Certain Covenants</w:t>
      </w:r>
      <w:r>
        <w:rPr>
          <w:rFonts w:ascii="Arial" w:cs="Arial" w:eastAsia="Arial" w:hAnsi="Arial"/>
          <w:sz w:val="17"/>
          <w:szCs w:val="17"/>
          <w:color w:val="auto"/>
        </w:rPr>
        <w:t xml:space="preserve">. Failure of any Loan Party, as required by the relevant provision, to perform or comply with any term or condition contained in </w:t>
      </w:r>
      <w:r>
        <w:rPr>
          <w:rFonts w:ascii="Arial" w:cs="Arial" w:eastAsia="Arial" w:hAnsi="Arial"/>
          <w:sz w:val="17"/>
          <w:szCs w:val="17"/>
          <w:u w:val="single" w:color="auto"/>
          <w:color w:val="auto"/>
        </w:rPr>
        <w:t>Section 5.01(e)(i)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(as it applies to the preservation of the existence of the Borrower), or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Event of Default to the extent resulting from the failure to deliver a notice pursuant to </w:t>
      </w:r>
      <w:r>
        <w:rPr>
          <w:rFonts w:ascii="Arial" w:cs="Arial" w:eastAsia="Arial" w:hAnsi="Arial"/>
          <w:sz w:val="17"/>
          <w:szCs w:val="17"/>
          <w:u w:val="single" w:color="auto"/>
          <w:color w:val="auto"/>
        </w:rPr>
        <w:t>Section 5.01(e)(i</w:t>
      </w:r>
      <w:r>
        <w:rPr>
          <w:rFonts w:ascii="Arial" w:cs="Arial" w:eastAsia="Arial" w:hAnsi="Arial"/>
          <w:sz w:val="17"/>
          <w:szCs w:val="17"/>
          <w:color w:val="auto"/>
        </w:rPr>
        <w:t xml:space="preserve">) shall cease to exist and be cured in all respects upon the delivery of the applicable notice (unless such notice of Default was deliberately and intentionally withheld in reliance on the ability to cure) or if the Default or Event of Default giving rise to such notice requirement shall have ceased to exist and/or be 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no breach or default by any Loan Party under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will constitute an Event of Default with respect to any Term Loans unless and until the Required Revolving Lenders have accelerated the Revolving Loans, terminated the commitments under the Revolving Facility and demanded repayment of, or otherwise accelerated, the Indebtedness or other obligations under the Revolving Facility and have not rescinded such demand or acceleration (the “</w:t>
      </w:r>
      <w:r>
        <w:rPr>
          <w:rFonts w:ascii="Arial" w:cs="Arial" w:eastAsia="Arial" w:hAnsi="Arial"/>
          <w:sz w:val="17"/>
          <w:szCs w:val="17"/>
          <w:u w:val="single" w:color="auto"/>
          <w:color w:val="auto"/>
        </w:rPr>
        <w:t>Financial Covenant Standstill</w:t>
      </w:r>
      <w:r>
        <w:rPr>
          <w:rFonts w:ascii="Arial" w:cs="Arial" w:eastAsia="Arial" w:hAnsi="Arial"/>
          <w:sz w:val="17"/>
          <w:szCs w:val="17"/>
          <w:color w:val="auto"/>
        </w:rPr>
        <w:t xml:space="preserve">”); it being understood and agreed that any breach of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is subject to cure as provided in </w:t>
      </w:r>
      <w:r>
        <w:rPr>
          <w:rFonts w:ascii="Arial" w:cs="Arial" w:eastAsia="Arial" w:hAnsi="Arial"/>
          <w:sz w:val="17"/>
          <w:szCs w:val="17"/>
          <w:u w:val="single" w:color="auto"/>
          <w:color w:val="auto"/>
        </w:rPr>
        <w:t>Section 6.14(b)</w:t>
      </w:r>
      <w:r>
        <w:rPr>
          <w:rFonts w:ascii="Arial" w:cs="Arial" w:eastAsia="Arial" w:hAnsi="Arial"/>
          <w:sz w:val="17"/>
          <w:szCs w:val="17"/>
          <w:color w:val="auto"/>
        </w:rPr>
        <w:t xml:space="preserve">, and no Event of Default may arise under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until the 15th Business Day after the day on which financial statements are required to be delivered for the relevant Fiscal Quarter under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(so long as the Borrower shall have the right to exercise Cure Rights), and then only to the extent the Cure Amount has not been received on or prior to such date; or</w:t>
      </w:r>
    </w:p>
    <w:p>
      <w:pPr>
        <w:spacing w:after="0" w:line="182" w:lineRule="exact"/>
        <w:rPr>
          <w:rFonts w:ascii="Arial" w:cs="Arial" w:eastAsia="Arial" w:hAnsi="Arial"/>
          <w:sz w:val="17"/>
          <w:szCs w:val="17"/>
          <w:color w:val="auto"/>
        </w:rPr>
      </w:pPr>
    </w:p>
    <w:p>
      <w:pPr>
        <w:jc w:val="both"/>
        <w:ind w:left="-360" w:firstLine="745"/>
        <w:spacing w:after="0" w:line="270" w:lineRule="auto"/>
        <w:tabs>
          <w:tab w:leader="none" w:pos="733"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Breach of Representations, Etc</w:t>
      </w:r>
      <w:r>
        <w:rPr>
          <w:rFonts w:ascii="Arial" w:cs="Arial" w:eastAsia="Arial" w:hAnsi="Arial"/>
          <w:sz w:val="17"/>
          <w:szCs w:val="17"/>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or any Perfection Certificate Supplement) being untrue in any material respect as of the date made or deemed made, and such incorrect representation or warranty (if curable) shall remain incorrect for a period of 30 days after written notice thereof from the Administrative Agent to the Borrower; it being understood and agreed that any breach of representation, warranty or certification resulting from the failure of the Administrative Agent to file any Uniform Commercial Code continuation statement shall not result in an Event of Default under this </w:t>
      </w:r>
      <w:r>
        <w:rPr>
          <w:rFonts w:ascii="Arial" w:cs="Arial" w:eastAsia="Arial" w:hAnsi="Arial"/>
          <w:sz w:val="17"/>
          <w:szCs w:val="17"/>
          <w:u w:val="single" w:color="auto"/>
          <w:color w:val="auto"/>
        </w:rPr>
        <w:t>Section 7.01(d)</w:t>
      </w:r>
      <w:r>
        <w:rPr>
          <w:rFonts w:ascii="Arial" w:cs="Arial" w:eastAsia="Arial" w:hAnsi="Arial"/>
          <w:sz w:val="17"/>
          <w:szCs w:val="17"/>
          <w:color w:val="auto"/>
        </w:rPr>
        <w:t xml:space="preserve"> or any other provision of any Loan Document; or</w:t>
      </w:r>
    </w:p>
    <w:p>
      <w:pPr>
        <w:spacing w:after="0" w:line="180" w:lineRule="exact"/>
        <w:rPr>
          <w:rFonts w:ascii="Arial" w:cs="Arial" w:eastAsia="Arial" w:hAnsi="Arial"/>
          <w:sz w:val="17"/>
          <w:szCs w:val="17"/>
          <w:color w:val="auto"/>
        </w:rPr>
      </w:pPr>
    </w:p>
    <w:p>
      <w:pPr>
        <w:jc w:val="both"/>
        <w:ind w:left="-360" w:firstLine="745"/>
        <w:spacing w:after="0" w:line="310" w:lineRule="auto"/>
        <w:tabs>
          <w:tab w:leader="none" w:pos="7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Other Defaults Under Loan Documents</w:t>
      </w:r>
      <w:r>
        <w:rPr>
          <w:rFonts w:ascii="Arial" w:cs="Arial" w:eastAsia="Arial" w:hAnsi="Arial"/>
          <w:sz w:val="16"/>
          <w:szCs w:val="16"/>
          <w:color w:val="auto"/>
        </w:rPr>
        <w:t xml:space="preserve">. Default by any Loan Party in the performance of or compliance with any term contained herein or any of the other Loan Documents, other than any such term referred to in any other Section of this </w:t>
      </w:r>
      <w:r>
        <w:rPr>
          <w:rFonts w:ascii="Arial" w:cs="Arial" w:eastAsia="Arial" w:hAnsi="Arial"/>
          <w:sz w:val="16"/>
          <w:szCs w:val="16"/>
          <w:u w:val="single" w:color="auto"/>
          <w:color w:val="auto"/>
        </w:rPr>
        <w:t>Article 7</w:t>
      </w:r>
      <w:r>
        <w:rPr>
          <w:rFonts w:ascii="Arial" w:cs="Arial" w:eastAsia="Arial" w:hAnsi="Arial"/>
          <w:sz w:val="16"/>
          <w:szCs w:val="16"/>
          <w:color w:val="auto"/>
        </w:rPr>
        <w:t>, which default has not been remedied or waived within 30 days after receipt by the Borrower of written notice thereof from the Administrative Agent; or</w:t>
      </w:r>
    </w:p>
    <w:p>
      <w:pPr>
        <w:spacing w:after="0" w:line="146" w:lineRule="exact"/>
        <w:rPr>
          <w:rFonts w:ascii="Arial" w:cs="Arial" w:eastAsia="Arial" w:hAnsi="Arial"/>
          <w:sz w:val="16"/>
          <w:szCs w:val="16"/>
          <w:color w:val="auto"/>
        </w:rPr>
      </w:pPr>
    </w:p>
    <w:p>
      <w:pPr>
        <w:jc w:val="both"/>
        <w:ind w:left="-360" w:firstLine="745"/>
        <w:spacing w:after="0" w:line="268" w:lineRule="auto"/>
        <w:tabs>
          <w:tab w:leader="none" w:pos="720"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Involuntary Bankruptcy; Appointment of Receiver, Etc</w:t>
      </w:r>
      <w:r>
        <w:rPr>
          <w:rFonts w:ascii="Arial" w:cs="Arial" w:eastAsia="Arial" w:hAnsi="Arial"/>
          <w:sz w:val="17"/>
          <w:szCs w:val="17"/>
          <w:color w:val="auto"/>
        </w:rPr>
        <w:t xml:space="preserve">. (i) The entry by a court of competent jurisdiction of a decree or order for relief in respect of Holdings, the Borrower or any of its Restricted Subsidiaries (other than any Immaterial Subsidiary) in an involuntary case under any Debtor Relief Law now or hereafter in effect, which decree or order is not stayed; or any other similar relief shall be granted under any applicable federal, state or local Requirements of Law, which relief is not stayed; or (ii) the commencement of an involuntary case against Holdings, the Borrower or any of its Restricted Subsidiaries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 Borrower or any of its Restricted Subsidiaries (other than any Immaterial Subsidiary), or over all or a material part of its property; or the involuntary appointment of an interim receiver, trustee or other custodian of Holdings, the Borrower or any of its Restricted Subsidiaries (other than any Immaterial Subsidiary) for all or a material part of its property, which remains, in any case under this </w:t>
      </w:r>
      <w:r>
        <w:rPr>
          <w:rFonts w:ascii="Arial" w:cs="Arial" w:eastAsia="Arial" w:hAnsi="Arial"/>
          <w:sz w:val="17"/>
          <w:szCs w:val="17"/>
          <w:u w:val="single" w:color="auto"/>
          <w:color w:val="auto"/>
        </w:rPr>
        <w:t>clause (f)</w:t>
      </w:r>
      <w:r>
        <w:rPr>
          <w:rFonts w:ascii="Arial" w:cs="Arial" w:eastAsia="Arial" w:hAnsi="Arial"/>
          <w:sz w:val="17"/>
          <w:szCs w:val="17"/>
          <w:color w:val="auto"/>
        </w:rPr>
        <w:t>, undismissed, unvacated, unbonded or unstayed pending appeal for 60 consecutive days; or</w:t>
      </w:r>
    </w:p>
    <w:p>
      <w:pPr>
        <w:spacing w:after="0" w:line="178" w:lineRule="exact"/>
        <w:rPr>
          <w:rFonts w:ascii="Arial" w:cs="Arial" w:eastAsia="Arial" w:hAnsi="Arial"/>
          <w:sz w:val="17"/>
          <w:szCs w:val="17"/>
          <w:color w:val="auto"/>
        </w:rPr>
      </w:pPr>
    </w:p>
    <w:p>
      <w:pPr>
        <w:jc w:val="both"/>
        <w:ind w:left="-360" w:firstLine="745"/>
        <w:spacing w:after="0" w:line="292" w:lineRule="auto"/>
        <w:tabs>
          <w:tab w:leader="none" w:pos="746"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Voluntary Bankruptcy; Appointment of Receiver, Etc</w:t>
      </w:r>
      <w:r>
        <w:rPr>
          <w:rFonts w:ascii="Arial" w:cs="Arial" w:eastAsia="Arial" w:hAnsi="Arial"/>
          <w:sz w:val="16"/>
          <w:szCs w:val="16"/>
          <w:color w:val="auto"/>
        </w:rPr>
        <w:t>. (i) The entry against Holdings, the Borrower or any of its Restricted Subsidiaries (other than any Immaterial Subsidiary) of an order for relief, the commencement by Holdings, the Borrower or any of its Restricted Subsidiaries (other than any Immaterial Subsidiary) of a voluntary case under any Debtor Relief Law, or the consent by Holdings, the Borrower or any of its Restricted Subsidiaries (other than any Immaterial Subsidiary) to the entry of an order for relief in an involuntary case or to the conversion of an involuntary case to a voluntary case, under any Debtor Relief Law, or the consent by Holdings, the Borrower or any of its Restricted Subsidiaries (other than any Immaterial Subsidiary) to the appointment of or taking possession by a receiver, receiver and manager,</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96" w:name="page197"/>
    <w:bookmarkEnd w:id="196"/>
    <w:p>
      <w:pPr>
        <w:jc w:val="both"/>
        <w:ind w:left="760"/>
        <w:spacing w:after="0" w:line="277" w:lineRule="auto"/>
        <w:rPr>
          <w:sz w:val="20"/>
          <w:szCs w:val="20"/>
          <w:color w:val="auto"/>
        </w:rPr>
      </w:pPr>
      <w:r>
        <w:rPr>
          <w:rFonts w:ascii="Arial" w:cs="Arial" w:eastAsia="Arial" w:hAnsi="Arial"/>
          <w:sz w:val="17"/>
          <w:szCs w:val="17"/>
          <w:color w:val="auto"/>
        </w:rPr>
        <w:t>insolvency receiver, liquidator, sequestrator, trustee, administrator, custodian or other like official for or in respect of itself or for all or a material part of its property; (ii) the making by Holdings, the Borrower or any of its Restricted Subsidiaries (other than any Immaterial Subsidiary) of a general assignment for the benefit of creditors; or (iii) the admission by Holdings, the Borrower or any of its Restricted Subsidiaries (other than any Immaterial Subsidiary) in writing of their inability to pay their respective debts as such debts become due; or</w:t>
      </w:r>
    </w:p>
    <w:p>
      <w:pPr>
        <w:spacing w:after="0" w:line="172" w:lineRule="exact"/>
        <w:rPr>
          <w:sz w:val="20"/>
          <w:szCs w:val="20"/>
          <w:color w:val="auto"/>
        </w:rPr>
      </w:pPr>
    </w:p>
    <w:p>
      <w:pPr>
        <w:jc w:val="both"/>
        <w:ind w:left="760" w:firstLine="745"/>
        <w:spacing w:after="0" w:line="254" w:lineRule="auto"/>
        <w:tabs>
          <w:tab w:leader="none" w:pos="1838"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The entry or filing of one or more final money judgments, writs or warrants of attachment or similar process against Holdings, the Borrower or any of its Restricted Subsidiaries or any of their respective assets involving in the aggregate at any time an amount in excess of the Threshold Amount (in either case to the extent not adequately covered by indemnity from a third party, by self-insurance (if applicable) or by insurance as to which the relevant third party insurance company has been notified and not denied coverage), which judgment, writ, warrant or similar process remains unpaid, undischarged, unvacated, unbonded or unstayed pending appeal for a period of 60 consecutive days; or</w:t>
      </w:r>
    </w:p>
    <w:p>
      <w:pPr>
        <w:spacing w:after="0" w:line="190" w:lineRule="exact"/>
        <w:rPr>
          <w:rFonts w:ascii="Arial" w:cs="Arial" w:eastAsia="Arial" w:hAnsi="Arial"/>
          <w:sz w:val="18"/>
          <w:szCs w:val="18"/>
          <w:color w:val="auto"/>
        </w:rPr>
      </w:pPr>
    </w:p>
    <w:p>
      <w:pPr>
        <w:jc w:val="both"/>
        <w:ind w:left="760" w:firstLine="745"/>
        <w:spacing w:after="0" w:line="262" w:lineRule="auto"/>
        <w:tabs>
          <w:tab w:leader="none" w:pos="183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 occurrence of one or more ERISA Events, which individually or in the aggregate result in liability of Holdings, the Borrower or any of its Restricted Subsidiaries in an aggregate amount which would reasonably be expected to result in a Material Adverse Effect; or</w:t>
      </w:r>
    </w:p>
    <w:p>
      <w:pPr>
        <w:spacing w:after="0" w:line="182" w:lineRule="exact"/>
        <w:rPr>
          <w:rFonts w:ascii="Arial" w:cs="Arial" w:eastAsia="Arial" w:hAnsi="Arial"/>
          <w:sz w:val="18"/>
          <w:szCs w:val="18"/>
          <w:color w:val="auto"/>
        </w:rPr>
      </w:pPr>
    </w:p>
    <w:p>
      <w:pPr>
        <w:ind w:left="1840" w:hanging="335"/>
        <w:spacing w:after="0"/>
        <w:tabs>
          <w:tab w:leader="none" w:pos="184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occurrence of a Change of Control; or</w:t>
      </w:r>
    </w:p>
    <w:p>
      <w:pPr>
        <w:spacing w:after="0" w:line="222" w:lineRule="exact"/>
        <w:rPr>
          <w:rFonts w:ascii="Arial" w:cs="Arial" w:eastAsia="Arial" w:hAnsi="Arial"/>
          <w:sz w:val="18"/>
          <w:szCs w:val="18"/>
          <w:color w:val="auto"/>
        </w:rPr>
      </w:pPr>
    </w:p>
    <w:p>
      <w:pPr>
        <w:jc w:val="both"/>
        <w:ind w:left="760" w:firstLine="745"/>
        <w:spacing w:after="0" w:line="284" w:lineRule="auto"/>
        <w:tabs>
          <w:tab w:leader="none" w:pos="1864"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Guaranties, Collateral Documents and Other Loan Documents</w:t>
      </w:r>
      <w:r>
        <w:rPr>
          <w:rFonts w:ascii="Arial" w:cs="Arial" w:eastAsia="Arial" w:hAnsi="Arial"/>
          <w:sz w:val="16"/>
          <w:szCs w:val="16"/>
          <w:color w:val="auto"/>
        </w:rPr>
        <w:t xml:space="preserve">.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Guarantor shall repudiate in writing its obligations thereunder (in each case, other than as a result of the discharge of such Guarantor in accordance with the terms thereof and other than as a result of acts or omissions by the Administrative Agent or any Lender), (ii) this Agreement or any material Collateral Document ceases to be in full force and effect or shall be declared, by a court of competent jurisdiction, to be null and void or any Lien on Collateral created under any Collateral Document ceases to be perfected with respect to a material portion of the Collateral (other than solely by reason of (w) such perfection is not required pursuant to the Collateral and Guarantee Requirement, the Collateral Documents, this Agreement or otherwise, (x) the failure of the Administrative Agent to maintain possession of any Collateral actually delivered to it or the failure of the Administrative Agent to file Uniform Commercial Code continuation statements, (y) a release of Collateral in accordance with the terms hereof or thereof or (z) the occurrence of the Termination Date or any other termination of such Collateral Document in accordance with the terms thereof) or (iii) other than bona fide, good faith disputes as to the scope of Collateral or whether any Lien has been, or is required to be released, any Loan Party shall contest in writing, the validity or enforceability of any material provision of any Loan Document (or any Lien purported to be created by the Collateral Documents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continuation statement shall not result in an Event of Default under this </w:t>
      </w:r>
      <w:r>
        <w:rPr>
          <w:rFonts w:ascii="Arial" w:cs="Arial" w:eastAsia="Arial" w:hAnsi="Arial"/>
          <w:sz w:val="16"/>
          <w:szCs w:val="16"/>
          <w:u w:val="single" w:color="auto"/>
          <w:color w:val="auto"/>
        </w:rPr>
        <w:t>Section 7.01(k)</w:t>
      </w:r>
      <w:r>
        <w:rPr>
          <w:rFonts w:ascii="Arial" w:cs="Arial" w:eastAsia="Arial" w:hAnsi="Arial"/>
          <w:sz w:val="16"/>
          <w:szCs w:val="16"/>
          <w:color w:val="auto"/>
        </w:rPr>
        <w:t xml:space="preserve"> or any other provision of any Loan Document; or</w:t>
      </w:r>
    </w:p>
    <w:p>
      <w:pPr>
        <w:spacing w:after="0" w:line="383" w:lineRule="exact"/>
        <w:rPr>
          <w:rFonts w:ascii="Arial" w:cs="Arial" w:eastAsia="Arial" w:hAnsi="Arial"/>
          <w:sz w:val="16"/>
          <w:szCs w:val="16"/>
          <w:color w:val="auto"/>
        </w:rPr>
      </w:pPr>
    </w:p>
    <w:p>
      <w:pPr>
        <w:jc w:val="both"/>
        <w:ind w:left="760" w:firstLine="745"/>
        <w:spacing w:after="0" w:line="277" w:lineRule="auto"/>
        <w:tabs>
          <w:tab w:leader="none" w:pos="1858"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Obligations ceasing or the assertion in writing by any Loan Party that the Obligations cease to constitute senior indebtedness under the subordination provisions of any document or instrument evidencing any Junior Indebtedness in excess of the Threshold Amount or any such subordination provision being invalidated by a court of competent jurisdiction in a final non-appealable order, or otherwise ceasing, for any reason, to be valid, binding and enforceable obligations of the parties thereto;</w:t>
      </w:r>
    </w:p>
    <w:p>
      <w:pPr>
        <w:spacing w:after="0" w:line="17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then, and in every such event (other than (x) an event with respect to the Borrower described in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Article or (y) any Event of Default arising under </w:t>
      </w:r>
      <w:r>
        <w:rPr>
          <w:rFonts w:ascii="Arial" w:cs="Arial" w:eastAsia="Arial" w:hAnsi="Arial"/>
          <w:sz w:val="16"/>
          <w:szCs w:val="16"/>
          <w:u w:val="single" w:color="auto"/>
          <w:color w:val="auto"/>
        </w:rPr>
        <w:t>Section 6.14(a)</w:t>
      </w:r>
      <w:r>
        <w:rPr>
          <w:rFonts w:ascii="Arial" w:cs="Arial" w:eastAsia="Arial" w:hAnsi="Arial"/>
          <w:sz w:val="16"/>
          <w:szCs w:val="16"/>
          <w:color w:val="auto"/>
        </w:rPr>
        <w:t>), and at any time thereafter during the continuance of such event, the Administrative Agent may, and at the request of the Required Lenders shall, by notice to the Borrower, take any of the following actions, at the same or different times: (i) terminate the Revolving Credit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7" w:name="page198"/>
    <w:bookmarkEnd w:id="197"/>
    <w:p>
      <w:pPr>
        <w:jc w:val="both"/>
        <w:spacing w:after="0" w:line="282" w:lineRule="auto"/>
        <w:rPr>
          <w:sz w:val="20"/>
          <w:szCs w:val="20"/>
          <w:color w:val="auto"/>
        </w:rPr>
      </w:pPr>
      <w:r>
        <w:rPr>
          <w:rFonts w:ascii="Arial" w:cs="Arial" w:eastAsia="Arial" w:hAnsi="Arial"/>
          <w:sz w:val="16"/>
          <w:szCs w:val="16"/>
          <w:color w:val="auto"/>
        </w:rPr>
        <w:t>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100% of the relevant face amount) of the then outstanding LC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then on deposit in the LC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upon the occurrence of an event with respect to the Borrower described in </w:t>
      </w:r>
      <w:r>
        <w:rPr>
          <w:rFonts w:ascii="Arial" w:cs="Arial" w:eastAsia="Arial" w:hAnsi="Arial"/>
          <w:sz w:val="16"/>
          <w:szCs w:val="16"/>
          <w:u w:val="single" w:color="auto"/>
          <w:color w:val="auto"/>
        </w:rPr>
        <w:t>clauses (f)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under </w:t>
      </w:r>
      <w:r>
        <w:rPr>
          <w:rFonts w:ascii="Arial" w:cs="Arial" w:eastAsia="Arial" w:hAnsi="Arial"/>
          <w:sz w:val="16"/>
          <w:szCs w:val="16"/>
          <w:u w:val="single" w:color="auto"/>
          <w:color w:val="auto"/>
        </w:rPr>
        <w:t>Section 6.14(a)</w:t>
      </w:r>
      <w:r>
        <w:rPr>
          <w:rFonts w:ascii="Arial" w:cs="Arial" w:eastAsia="Arial" w:hAnsi="Arial"/>
          <w:sz w:val="16"/>
          <w:szCs w:val="16"/>
          <w:color w:val="auto"/>
        </w:rPr>
        <w:t>, (X) upon the request of the Required Revolving Lenders (but not the Required Lenders or any other Lender or group of Lenders), the Administrative Agent shall, by notice to the Borrower, (1) terminate the Revolving Credit Commitments, and thereupon such Revolving Credit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(3) require that the Borrower deposit in the LC Collateral Account an additional amount in Cash as reasonably requested by the Issuing Banks (not to exceed 100% of the relevant face amount) of the then outstanding LC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then on deposit in the LC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8.01.Agents</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Each of the Lenders and the Issuing Banks hereby irrevocably appoints BofA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8" w:name="page199"/>
    <w:bookmarkEnd w:id="198"/>
    <w:p>
      <w:pPr>
        <w:jc w:val="both"/>
        <w:spacing w:after="0" w:line="275" w:lineRule="auto"/>
        <w:rPr>
          <w:sz w:val="20"/>
          <w:szCs w:val="20"/>
          <w:color w:val="auto"/>
        </w:rPr>
      </w:pPr>
      <w:r>
        <w:rPr>
          <w:rFonts w:ascii="Arial" w:cs="Arial" w:eastAsia="Arial" w:hAnsi="Arial"/>
          <w:sz w:val="18"/>
          <w:szCs w:val="18"/>
          <w:color w:val="auto"/>
        </w:rPr>
        <w:t>obligations in favor of such Loan Party or such Affiliate) and acknowledge that the Administrative Agent shall not be under any obligation to provide such information to them.</w:t>
      </w:r>
    </w:p>
    <w:p>
      <w:pPr>
        <w:spacing w:after="0" w:line="17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Requirements of Law, and (c) except as expressly set forth in the Loan Documents, the Administrative Agent shall not have any duty to disclose, and shall not be liable for the failure to disclose, any information relating to the Borrower or any of its Restricted Subsidiaries that is communicated to or obtained by the Person serving as Administrative Agent or any of its Affiliates in any capacity. The Administrative Agent shall not be liable to the Lenders or any other Secured Party for any action taken or not taken by it with the consent or at the request of the Required Lenders or Required Revolving Lenders (or such other number or percentage of the Lenders as is necessary, or as the Administrative Agent believes in good faith shall be necessary, under the relevant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in the absence of its own gross negligence or willful misconduct, as determined by the final judgment of a court of competent jurisdiction, in connection with its duties expressly set forth herein. The Administrative Agent shall not be deemed to have knowledge of any Default or Event of Default unless and until written notice thereof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or elsewhere in any Loan Document, other than to confirm receipt of items expressly required to be delivered to the Administrative Agent or (vii) any property, book or record of any Loan Party or any Affiliate thereof.</w:t>
      </w:r>
    </w:p>
    <w:p>
      <w:pPr>
        <w:spacing w:after="0" w:line="399"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Each Secured Party acknowledges and agrees that the Administrative Agent may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The Secured Parties agree that the Administrative Agent shall not be liable to the Secured Parties for any action taken or not taken by any such service provider.</w:t>
      </w:r>
    </w:p>
    <w:p>
      <w:pPr>
        <w:spacing w:after="0" w:line="155"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6"/>
          <w:szCs w:val="16"/>
          <w:color w:val="auto"/>
        </w:rPr>
        <w:t>Notwithstanding anything to the contrary contained herein or in any of the other Loan Documents, the Borrower, the Administrative Agent and each Secured Party agree that (i) no Secured Party shall have any right individually to realize upon any of the Collateral or to enforce the Loan Guaranty; it being understood that any realization upon the Collateral or enforcement on any Loan Guaranty against the Loan Parties pursuant hereto or pursuant to any Loan Document may be exercised solely by the Administrative Agent on behalf of the Secured Parties in accordance with the terms hereof or thereof, and</w:t>
      </w:r>
    </w:p>
    <w:p>
      <w:pPr>
        <w:spacing w:after="0" w:line="1" w:lineRule="exact"/>
        <w:rPr>
          <w:sz w:val="20"/>
          <w:szCs w:val="20"/>
          <w:color w:val="auto"/>
        </w:rPr>
      </w:pPr>
    </w:p>
    <w:p>
      <w:pPr>
        <w:jc w:val="both"/>
        <w:ind w:firstLine="7"/>
        <w:spacing w:after="0" w:line="252" w:lineRule="auto"/>
        <w:tabs>
          <w:tab w:leader="none" w:pos="28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9" w:name="page200"/>
    <w:bookmarkEnd w:id="199"/>
    <w:p>
      <w:pPr>
        <w:jc w:val="both"/>
        <w:spacing w:after="0" w:line="275" w:lineRule="auto"/>
        <w:rPr>
          <w:sz w:val="20"/>
          <w:szCs w:val="20"/>
          <w:color w:val="auto"/>
        </w:rPr>
      </w:pPr>
      <w:r>
        <w:rPr>
          <w:rFonts w:ascii="Arial" w:cs="Arial" w:eastAsia="Arial" w:hAnsi="Arial"/>
          <w:sz w:val="18"/>
          <w:szCs w:val="18"/>
          <w:color w:val="auto"/>
        </w:rPr>
        <w:t>account of the purchase price for any Collateral payable by the Administrative Agent at such Disposition and (B) the Administrative Agent or any Lender may be the purchaser or licensor of all or any portion of such Collateral at any such Disposition.</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spacing w:after="0" w:line="17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Each Secured Party agrees that the Administrative Agent may in its sole discretion, but is under no obligation to, credit bid any part of the Secured Obligations or to purchase or retain or acquire any portion of the Collateral.</w:t>
      </w:r>
    </w:p>
    <w:p>
      <w:pPr>
        <w:spacing w:after="0" w:line="17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 xml:space="preserve">The Administrative Agent may perform any and all of its duties and exercise its rights and powers by or through any one or more sub-agents appointed by it. The Administrative Agent and any such sub-agent may perform any and all of their respective duties and exercise their respective rights and powers through their respective Related Parties. The exculpatory provisions of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Secured Parties agree that the Administrative Agent shall not be responsible to the Secured Parties for the negligence or misconduct of any sub-agent except to the extent that a court of competent jurisdiction determines in a final and nonappealable judgment that such Administrative Agent acted with gross negligence or willful misconduct in the selection of such sub-agent.</w:t>
      </w:r>
    </w:p>
    <w:p>
      <w:pPr>
        <w:spacing w:after="0" w:line="16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color w:val="auto"/>
        </w:rPr>
        <w:t xml:space="preserve">The Administrative Agent may resign at any time by giving ten days’ written notice to the Lenders, the Issuing Banks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successor agent is appointed in accordance with the terms set forth below within such 10-day period, the Administrative Agent’s resignation shall not be effective until the earlier to occur of (x) the date of the appointment of the successor agent or (y) the date that is twenty (20) days after the last day of such 10-day period. If the Administrative Agent is a Defaulting Lender or an Affiliate of a Defaulting Lender, either the Required Lenders or the Borrower may, upon ten days’ notice, remove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successor agent is appointed in accordance with the terms set forth below within such 10-day period, the Administrative Agent’s removal shall, at the option of the Borrower, not be effective until the earlier to occur of (x) the date of the appointment of the successor agent or (y) the date that is twenty (20) days after the last day of such 10-day period.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or trust company with offices in the U.S. having combined capital and surplus in excess of $1,000,000,000;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the existence of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with respect to any Borrower,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no consent of the Borrower shall be required. If no successor has been appointed as provided above and accepted such appointment within ten days after the retiring Administrative Agent gives notice of its resignation or the Administrative Agent receives notice of removal, then (a) in the case of a retirement, the retiring Administrative Agent may (but shall not be obligated to), on behalf of the Lenders and the Issuing Banks, appoint a successor Administrative Agent meeting the qualifications set forth above (including, for the avoidance of doubt, the consent of the Borrower) or (b) in the case of a removal, the Borrower may, after consulting with the Required Lenders, appoint a successor Administrative Agent meeting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0" w:name="page201"/>
    <w:bookmarkEnd w:id="200"/>
    <w:p>
      <w:pPr>
        <w:jc w:val="both"/>
        <w:spacing w:after="0" w:line="283" w:lineRule="auto"/>
        <w:rPr>
          <w:sz w:val="20"/>
          <w:szCs w:val="20"/>
          <w:color w:val="auto"/>
        </w:rPr>
      </w:pPr>
      <w:r>
        <w:rPr>
          <w:rFonts w:ascii="Arial" w:cs="Arial" w:eastAsia="Arial" w:hAnsi="Arial"/>
          <w:sz w:val="16"/>
          <w:szCs w:val="16"/>
          <w:color w:val="auto"/>
        </w:rPr>
        <w:t xml:space="preserve">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case of a retirement, if the Administrative Agent notifies the Borrower, the Lenders and the Issuing Banks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the provisos to the first two sentences in this paragraph and (i) the retiring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retiring Administrative Agent shall continue to hold such collateral security until such time as a successor Administrative Agent is appointed) and (ii) 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Upon the acceptance of its appointment as Administrative Agent hereunder as a successor Administrative Agent, the successor Administrative Agent shall succeed to and become vested with all the rights, powers, privileges and duties of the retiring or removed Administrative Agent (other than any rights to indemnity payments owed to the retiring Administrative Agent), and the retiring or removed Administrative Agent shall be discharged from its duties and obligations hereunder (other than its obligations under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hereof). The fees payable by the Borrower to any successor Administrative Agent shall be the same as those payable to its predecessor unless otherwise agreed between the Borrower and such successor Administrative Agent. After the Administrative Agent’s resignation or removal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 taken or omitted to be taken by any of them while the relevant Person was acting as Administrative Agent (including for this purpose holding any collateral security following the retirement or removal of the Administrative Agent). Notwithstanding anything to the contrary herein, no Disqualified Institution (nor any Affiliate thereof) may be appointed as a successor Administrative Agent.</w:t>
      </w:r>
    </w:p>
    <w:p>
      <w:pPr>
        <w:spacing w:after="0" w:line="393"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Each Lender and Issuing Bank acknowledges that neither the Administrative Agent nor any Affiliate thereof has made any representation or warranty to it.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spacing w:after="0" w:line="17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Each Lender, by delivering its signature page to this Agreement or an Assignment and Assumption and funding its Loan or assignment, shall be deemed to have acknowledged receipt of, and consented to and approved, each Loan Document and each other document required to be approved by the Administrative Agent, the Required Lenders or the Lenders, as applicable, on the Closing Date or, in the case of a Lender that becomes party hereto by Assignment and Assumption, thereafter and prior to the effectiveness of such Assignment and Assumption.</w:t>
      </w:r>
    </w:p>
    <w:p>
      <w:pPr>
        <w:spacing w:after="0" w:line="17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Notwithstanding anything to the contrary herein, the Arrangers and their respective Affiliates shall not have any right, power, obligation, liability, responsibility or duty under this Agreement, except in their respective capacities as the Administrative Agent, the Swingline Lender, an Issuing Bank or a Lender hereunder, as applicable.</w:t>
      </w:r>
    </w:p>
    <w:p>
      <w:pPr>
        <w:spacing w:after="0" w:line="18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Each Secured Party hereby further authorizes the Administrative Agent, on behalf of and for the benefit of the Secured Parties, to be the agent for and representative of the Secured Parties with respect to the Loan Guaranty, the Collateral and the Loan Documents; provided that the Administrative Agent shall not owe any fiduciary duty, duty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1" w:name="page202"/>
    <w:bookmarkEnd w:id="201"/>
    <w:p>
      <w:pPr>
        <w:jc w:val="both"/>
        <w:spacing w:after="0" w:line="275" w:lineRule="auto"/>
        <w:rPr>
          <w:sz w:val="20"/>
          <w:szCs w:val="20"/>
          <w:color w:val="auto"/>
        </w:rPr>
      </w:pPr>
      <w:r>
        <w:rPr>
          <w:rFonts w:ascii="Arial" w:cs="Arial" w:eastAsia="Arial" w:hAnsi="Arial"/>
          <w:sz w:val="18"/>
          <w:szCs w:val="18"/>
          <w:color w:val="auto"/>
        </w:rPr>
        <w:t>of loyalty, duty of care, duty of disclosure or any other obligation whatsoever to any holder of Obligations with respect to any Secured Hedging Obligations or Banking Services Obligations.</w:t>
      </w:r>
    </w:p>
    <w:p>
      <w:pPr>
        <w:spacing w:after="0" w:line="17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color w:val="auto"/>
        </w:rPr>
        <w:t>The Secured Parties agree that the Administrative Agent shall not be responsible for or have a duty to the Secured Parties to ascertain or inquire into any representation or warranty regarding the existence, value or collectability of the Collateral, the existence, priority or perfection (or continued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Secured Party irrevocably authorizes the Administrative Agent to:</w:t>
      </w:r>
    </w:p>
    <w:p>
      <w:pPr>
        <w:spacing w:after="0" w:line="223" w:lineRule="exact"/>
        <w:rPr>
          <w:sz w:val="20"/>
          <w:szCs w:val="20"/>
          <w:color w:val="auto"/>
        </w:rPr>
      </w:pPr>
    </w:p>
    <w:p>
      <w:pPr>
        <w:jc w:val="both"/>
        <w:ind w:left="760" w:firstLine="745"/>
        <w:spacing w:after="0" w:line="253" w:lineRule="auto"/>
        <w:tabs>
          <w:tab w:leader="none" w:pos="183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release any Lien on any property granted to or held by Administrative Agent under any Loan Document (i) upon the occurrence of the Termination Date, (ii) that is sold or to be sold or transferred as part of or in connection with any sale, transfer or other Disposition permitted under the Loan Documents to a Person that is not a Loan Party, (iii) that does not constitute (or ceases to constitute) Collateral (including upon becoming an Excluded Asset) as a result of a transaction permitted under the Loan Documents, (iv) if the property subject to such Lien is owned by a Subsidiary Guarantor, upon the release of such Subsidiary Guarantor from its Loan Guaranty otherwise in accordance with the Loan Documents, (v) as required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or (vi) if approved, authorized or ratified in writing by the Required Lenders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760" w:firstLine="745"/>
        <w:spacing w:after="0" w:line="269" w:lineRule="auto"/>
        <w:tabs>
          <w:tab w:leader="none" w:pos="183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9.22</w:t>
      </w:r>
      <w:r>
        <w:rPr>
          <w:rFonts w:ascii="Arial" w:cs="Arial" w:eastAsia="Arial" w:hAnsi="Arial"/>
          <w:sz w:val="17"/>
          <w:szCs w:val="17"/>
          <w:color w:val="auto"/>
        </w:rPr>
        <w:t>, release any Subsidiary Guarantor from its obligations under the Loan Guaranty if such Person ceases to be a Restricted Subsidiary (or becomes an Excluded Subsidiary as a result of a single transaction or series of related transactions permitted hereunder); provided that if any Subsidiary Guarantor becomes an Excluded Subsidiary pursuant to clause (a) of the definition thereof, such Subsidiary Guarantor shall not be released from its Loan Guaranty unless after giving pro forma effect to such release and the consummation of the relevant transaction, the Borrower is deemed to have made a new Investment in such Person (as if such Person was then newly acquired) and such Investment must not be otherwise prohibited by the Loan Documents; it being understood that this proviso shall not limit the release of any Subsidiary Guarantor that otherwise constitutes an Excluded Subsidiary for any reason other than pursuant to clause (a) of the definition thereof (this proviso, the “</w:t>
      </w:r>
      <w:r>
        <w:rPr>
          <w:rFonts w:ascii="Arial" w:cs="Arial" w:eastAsia="Arial" w:hAnsi="Arial"/>
          <w:sz w:val="17"/>
          <w:szCs w:val="17"/>
          <w:u w:val="single" w:color="auto"/>
          <w:color w:val="auto"/>
        </w:rPr>
        <w:t>Specified Guarantor Release Provision</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760" w:firstLine="745"/>
        <w:spacing w:after="0" w:line="268" w:lineRule="auto"/>
        <w:tabs>
          <w:tab w:leader="none" w:pos="184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subordinate any Lien on any property granted to or held by the Administrative Agent under any Loan Document to the holder of any Lien on such property that is permitted by </w:t>
      </w:r>
      <w:r>
        <w:rPr>
          <w:rFonts w:ascii="Arial" w:cs="Arial" w:eastAsia="Arial" w:hAnsi="Arial"/>
          <w:sz w:val="17"/>
          <w:szCs w:val="17"/>
          <w:u w:val="single" w:color="auto"/>
          <w:color w:val="auto"/>
        </w:rPr>
        <w:t>Sections 6.02(d)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6.02(e)</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6.02(g)(i)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6.02(l)</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6.02(m)</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6.02(o)(i)</w:t>
      </w:r>
      <w:r>
        <w:rPr>
          <w:rFonts w:ascii="Arial" w:cs="Arial" w:eastAsia="Arial" w:hAnsi="Arial"/>
          <w:sz w:val="17"/>
          <w:szCs w:val="17"/>
          <w:color w:val="auto"/>
        </w:rPr>
        <w:t xml:space="preserve"> (other than any Lien on the Capital Stock of any Subsidiary Guarantor), </w:t>
      </w:r>
      <w:r>
        <w:rPr>
          <w:rFonts w:ascii="Arial" w:cs="Arial" w:eastAsia="Arial" w:hAnsi="Arial"/>
          <w:sz w:val="17"/>
          <w:szCs w:val="17"/>
          <w:u w:val="single" w:color="auto"/>
          <w:color w:val="auto"/>
        </w:rPr>
        <w:t>6.02(q)</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6.02(r)</w:t>
      </w:r>
      <w:r>
        <w:rPr>
          <w:rFonts w:ascii="Arial" w:cs="Arial" w:eastAsia="Arial" w:hAnsi="Arial"/>
          <w:sz w:val="17"/>
          <w:szCs w:val="17"/>
          <w:color w:val="auto"/>
        </w:rPr>
        <w:t xml:space="preserve"> (to the extent the relevant Lien is of the type to which the Lien of the Administrative Agent is otherwise required to be subordinated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pursuant to any of the other exceptions to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that are expressly included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6.02(x)</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6.02(y)</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6.02(z)(i)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6.02(bb)</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6.02(cc)</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6.02(ee)</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6.02(ff)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6.02(gg)</w:t>
      </w:r>
      <w:r>
        <w:rPr>
          <w:rFonts w:ascii="Arial" w:cs="Arial" w:eastAsia="Arial" w:hAnsi="Arial"/>
          <w:sz w:val="17"/>
          <w:szCs w:val="17"/>
          <w:color w:val="auto"/>
        </w:rPr>
        <w:t xml:space="preserve"> (and any Refinancing Indebtedness in respect of any thereof to the extent such Refinancing Indebtedness is permitted to be secured under </w:t>
      </w:r>
      <w:r>
        <w:rPr>
          <w:rFonts w:ascii="Arial" w:cs="Arial" w:eastAsia="Arial" w:hAnsi="Arial"/>
          <w:sz w:val="17"/>
          <w:szCs w:val="17"/>
          <w:u w:val="single" w:color="auto"/>
          <w:color w:val="auto"/>
        </w:rPr>
        <w:t>Section 6.02(k))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subordination of any Lien on any property granted to or held by the Administrative Agent shall only be required with respect to any Lien on such property that is permitted by </w:t>
      </w:r>
      <w:r>
        <w:rPr>
          <w:rFonts w:ascii="Arial" w:cs="Arial" w:eastAsia="Arial" w:hAnsi="Arial"/>
          <w:sz w:val="17"/>
          <w:szCs w:val="17"/>
          <w:u w:val="single" w:color="auto"/>
          <w:color w:val="auto"/>
        </w:rPr>
        <w:t>Sections 6.02(l)</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6.02(o)</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6.02(q)</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6.02(r)</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6.02(bb)</w:t>
      </w:r>
      <w:r>
        <w:rPr>
          <w:rFonts w:ascii="Arial" w:cs="Arial" w:eastAsia="Arial" w:hAnsi="Arial"/>
          <w:sz w:val="17"/>
          <w:szCs w:val="17"/>
          <w:color w:val="auto"/>
        </w:rPr>
        <w:t xml:space="preserve"> to the extent that the Lien of the Administrative Agent with respect to such property is required to be subordinated to the relevant Permitted Lien in accordance with the documentation governing the Indebtedness that is secured by such Permitted Lien; and</w:t>
      </w:r>
    </w:p>
    <w:p>
      <w:pPr>
        <w:spacing w:after="0" w:line="182" w:lineRule="exact"/>
        <w:rPr>
          <w:rFonts w:ascii="Arial" w:cs="Arial" w:eastAsia="Arial" w:hAnsi="Arial"/>
          <w:sz w:val="17"/>
          <w:szCs w:val="17"/>
          <w:color w:val="auto"/>
        </w:rPr>
      </w:pPr>
    </w:p>
    <w:p>
      <w:pPr>
        <w:jc w:val="both"/>
        <w:ind w:left="760" w:firstLine="745"/>
        <w:spacing w:after="0" w:line="258" w:lineRule="auto"/>
        <w:tabs>
          <w:tab w:leader="none" w:pos="189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enter into subordination, intercreditor and/or similar agreements with respect to Indebtedness (including any Acceptable Intercreditor Agreement and/or any amendment to the foregoing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that is (i) required or permitted to be subordinated hereunder and/or (ii) secured by Liens, and with respect to which Indebtedness, this Agreement contemplates an intercreditor, subordination, collateral trust agreement or similar agreement.</w:t>
      </w:r>
    </w:p>
    <w:p>
      <w:pPr>
        <w:spacing w:after="0" w:line="18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color w:val="auto"/>
        </w:rPr>
        <w:t>Upon the request of the Administrative Agent at any time, the Required Lenders will confirm in writing the Administrative Agent’s authority to release or subordinate its interest in particular types or items of property, or to release any Loan Party from its obligations under the Loan Guaranty or its Lien on any Collateral pursuant to this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2" w:name="page203"/>
    <w:bookmarkEnd w:id="202"/>
    <w:p>
      <w:pPr>
        <w:jc w:val="both"/>
        <w:spacing w:after="0" w:line="270" w:lineRule="auto"/>
        <w:rPr>
          <w:sz w:val="20"/>
          <w:szCs w:val="20"/>
          <w:color w:val="auto"/>
        </w:rPr>
      </w:pP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the Administrative Agent will (and each Lender, and each Issuing Bank hereby authorizes the Administrative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upon the request of the Administrative Agent, the Borrower shall deliver a certificate of a Responsible Officer certifying that the relevant transaction has been consummated in compliance with the terms of this Agreement. Any execution and delivery of documents pursuant to this paragraph shall be without recourse to or warranty by the Administrative Agent.</w:t>
      </w:r>
    </w:p>
    <w:p>
      <w:pPr>
        <w:spacing w:after="0" w:line="18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The Administrative Agent is authorized to enter into any Acceptable Intercreditor Agreement and any other intercreditor, subordination, collateral trust or similar agreement contemplated hereby, in each case, on terms reasonably satisfactory to the Administrative Agent, with respect to any (a) Indebtedness permitted hereby (i) that is (A) required or permitted to be subordinated hereunder and (B) secured by Liens permitted hereby and (ii) which contemplates an intercreditor, subordination or collateral trust agreement and/or (b) Secured Hedging Obligations and/or Banking Services Obligations, whether or not constituting Indebtedness (any such other intercreditor agreement an “</w:t>
      </w:r>
      <w:r>
        <w:rPr>
          <w:rFonts w:ascii="Arial" w:cs="Arial" w:eastAsia="Arial" w:hAnsi="Arial"/>
          <w:sz w:val="17"/>
          <w:szCs w:val="17"/>
          <w:u w:val="single" w:color="auto"/>
          <w:color w:val="auto"/>
        </w:rPr>
        <w:t>Additional Agreement</w:t>
      </w:r>
      <w:r>
        <w:rPr>
          <w:rFonts w:ascii="Arial" w:cs="Arial" w:eastAsia="Arial" w:hAnsi="Arial"/>
          <w:sz w:val="17"/>
          <w:szCs w:val="17"/>
          <w:color w:val="auto"/>
        </w:rPr>
        <w:t>”), and the Secured Parties party hereto acknowledge that any Additional Agreement is binding upon them. Each Secured Party party hereto hereby (a) agrees that it will be bound by, and will not take any action contrary to, the provisions of any Additional Agreement and (b) authorizes the Administrative Agent to enter into any Additional Agreement and to subject the Liens on the Collateral securing the Secured Obligations to the provisions thereof. The foregoing provisions are intended as an inducement to the Secured Parties to extend credit to the Borrower, and the Secured Parties are intended third-party beneficiaries of such provisions and the provisions of any Additional Agreement.</w:t>
      </w:r>
    </w:p>
    <w:p>
      <w:pPr>
        <w:spacing w:after="0" w:line="18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 xml:space="preserve">To the extent that the Administrative Agent (or any Affiliate thereof) is not reimbursed and indemnified by the Borrower in accordance with and to the extent required by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(in all cases, whether or not caused or arising, in whole or in part, out of the comparative, contributory or sole negligence of the Administrative Agent or any Affiliate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 The agreements in this paragraph shall survive the payment of the Loans and all other amounts payable hereunder.</w:t>
      </w:r>
    </w:p>
    <w:p>
      <w:pPr>
        <w:spacing w:after="0" w:line="16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 xml:space="preserve">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each Lender shall indemnify and hold harmless the Administrative Agent against, and shall make payable in respect thereof within 10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3" w:name="page204"/>
    <w:bookmarkEnd w:id="203"/>
    <w:p>
      <w:pPr>
        <w:jc w:val="both"/>
        <w:spacing w:after="0" w:line="275" w:lineRule="auto"/>
        <w:rPr>
          <w:sz w:val="20"/>
          <w:szCs w:val="20"/>
          <w:color w:val="auto"/>
        </w:rPr>
      </w:pPr>
      <w:r>
        <w:rPr>
          <w:rFonts w:ascii="Arial" w:cs="Arial" w:eastAsia="Arial" w:hAnsi="Arial"/>
          <w:sz w:val="18"/>
          <w:szCs w:val="18"/>
          <w:color w:val="auto"/>
        </w:rPr>
        <w:t>satisfaction or discharge of all obligations under any Loan Document. For the avoidance of doubt, the term “Lender” shall, for all purposes of this paragraph, include any Issuing Bank and the Swingline Lender.</w:t>
      </w:r>
    </w:p>
    <w:p>
      <w:pPr>
        <w:spacing w:after="0" w:line="17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u w:val="single" w:color="auto"/>
          <w:color w:val="auto"/>
        </w:rPr>
        <w:t>Section 8.02.Erroneous Payments</w:t>
      </w:r>
      <w:r>
        <w:rPr>
          <w:rFonts w:ascii="Arial" w:cs="Arial" w:eastAsia="Arial" w:hAnsi="Arial"/>
          <w:sz w:val="17"/>
          <w:szCs w:val="17"/>
          <w:color w:val="auto"/>
        </w:rPr>
        <w:t xml:space="preserve">. Without limitation of any other provision in this Agreement, if at any time the Administrative Agent makes a payment hereunder in error to any Lender Party, whether or not in respect of an Obligation due and owing by the Borrower at such time, where such payment is a Rescindable Amount, then in any such event, each Lender Party receiving a Rescindable Amount severally agrees to repay to the Administrative Agent forthwith on demand the Rescindable Amount received by such Lender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 Notwithstanding anything to the contrary in this Agreement or any other Loan Document, neither any Loan Party nor any of its respective Affiliates (other than any Affiliate Lender or Debt Fund Affiliate in its capacity as a Lender Party) shall have any obligation or liabilities for any actions, consequences or remediation (including the repayment of any amounts) contemplated by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Section 2.18(d) (including any Rescindable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under no circumstances shall this Section 8.02 or Section 2.18(d) affect the obligations or liabilities of any Loan Party or any of its respective Affiliates (other than any Affiliate Lender or Debt Fund Affiliate in its capacity as a Lender Party) with respect to any Obligations that remain outstanding.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9.01.Notices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2" w:lineRule="auto"/>
        <w:tabs>
          <w:tab w:leader="none" w:pos="101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or email, as follows:</w:t>
      </w:r>
    </w:p>
    <w:p>
      <w:pPr>
        <w:spacing w:after="0" w:line="182" w:lineRule="exact"/>
        <w:rPr>
          <w:rFonts w:ascii="Arial" w:cs="Arial" w:eastAsia="Arial" w:hAnsi="Arial"/>
          <w:sz w:val="18"/>
          <w:szCs w:val="18"/>
          <w:color w:val="auto"/>
        </w:rPr>
      </w:pPr>
    </w:p>
    <w:p>
      <w:pPr>
        <w:ind w:left="2040" w:hanging="235"/>
        <w:spacing w:after="0"/>
        <w:tabs>
          <w:tab w:leader="none" w:pos="20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to any Loan Party, to such Loan Party in the care of the Borrower at:</w:t>
      </w:r>
    </w:p>
    <w:p>
      <w:pPr>
        <w:spacing w:after="0" w:line="223" w:lineRule="exact"/>
        <w:rPr>
          <w:sz w:val="20"/>
          <w:szCs w:val="20"/>
          <w:color w:val="auto"/>
        </w:rPr>
      </w:pPr>
    </w:p>
    <w:p>
      <w:pPr>
        <w:ind w:left="1500" w:right="7560" w:firstLine="5"/>
        <w:spacing w:after="0" w:line="254" w:lineRule="auto"/>
        <w:tabs>
          <w:tab w:leader="none" w:pos="190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Intelligent Solutions Inc. </w:t>
      </w:r>
      <w:r>
        <w:rPr>
          <w:rFonts w:ascii="Arial" w:cs="Arial" w:eastAsia="Arial" w:hAnsi="Arial"/>
          <w:sz w:val="18"/>
          <w:szCs w:val="18"/>
          <w:color w:val="FF0000"/>
          <w:strike w:val="1"/>
        </w:rPr>
        <w:t>222 Merchandise Mart Plaza Suite 900</w:t>
      </w:r>
    </w:p>
    <w:p>
      <w:pPr>
        <w:spacing w:after="0" w:line="2" w:lineRule="exact"/>
        <w:rPr>
          <w:rFonts w:ascii="Arial" w:cs="Arial" w:eastAsia="Arial" w:hAnsi="Arial"/>
          <w:sz w:val="18"/>
          <w:szCs w:val="18"/>
          <w:color w:val="auto"/>
        </w:rPr>
      </w:pPr>
    </w:p>
    <w:p>
      <w:pPr>
        <w:ind w:left="1500" w:right="6960"/>
        <w:spacing w:after="0" w:line="249" w:lineRule="auto"/>
        <w:rPr>
          <w:rFonts w:ascii="Arial" w:cs="Arial" w:eastAsia="Arial" w:hAnsi="Arial"/>
          <w:sz w:val="18"/>
          <w:szCs w:val="18"/>
          <w:color w:val="auto"/>
        </w:rPr>
      </w:pPr>
      <w:r>
        <w:rPr>
          <w:rFonts w:ascii="Arial" w:cs="Arial" w:eastAsia="Arial" w:hAnsi="Arial"/>
          <w:sz w:val="18"/>
          <w:szCs w:val="18"/>
          <w:u w:val="single" w:color="auto"/>
          <w:color w:val="0000FF"/>
        </w:rPr>
        <w:t xml:space="preserve">167 N Green St, Floor 9 </w:t>
      </w:r>
      <w:r>
        <w:rPr>
          <w:rFonts w:ascii="Arial" w:cs="Arial" w:eastAsia="Arial" w:hAnsi="Arial"/>
          <w:sz w:val="18"/>
          <w:szCs w:val="18"/>
          <w:color w:val="000000"/>
        </w:rPr>
        <w:t xml:space="preserve">Chicago, IL </w:t>
      </w:r>
      <w:r>
        <w:rPr>
          <w:rFonts w:ascii="Arial" w:cs="Arial" w:eastAsia="Arial" w:hAnsi="Arial"/>
          <w:sz w:val="18"/>
          <w:szCs w:val="18"/>
          <w:color w:val="FF0000"/>
          <w:strike w:val="1"/>
        </w:rPr>
        <w:t>60654</w:t>
      </w:r>
      <w:r>
        <w:rPr>
          <w:rFonts w:ascii="Arial" w:cs="Arial" w:eastAsia="Arial" w:hAnsi="Arial"/>
          <w:sz w:val="18"/>
          <w:szCs w:val="18"/>
          <w:u w:val="single" w:color="auto"/>
          <w:color w:val="0000FF"/>
        </w:rPr>
        <w:t>60607</w:t>
      </w:r>
      <w:r>
        <w:rPr>
          <w:rFonts w:ascii="Arial" w:cs="Arial" w:eastAsia="Arial" w:hAnsi="Arial"/>
          <w:sz w:val="18"/>
          <w:szCs w:val="18"/>
          <w:color w:val="000000"/>
        </w:rPr>
        <w:t xml:space="preserve"> Attention: </w:t>
      </w:r>
      <w:r>
        <w:rPr>
          <w:rFonts w:ascii="Arial" w:cs="Arial" w:eastAsia="Arial" w:hAnsi="Arial"/>
          <w:sz w:val="18"/>
          <w:szCs w:val="18"/>
          <w:color w:val="FF0000"/>
        </w:rPr>
        <w:t>Rod Christo</w:t>
      </w:r>
      <w:r>
        <w:rPr>
          <w:rFonts w:ascii="Arial" w:cs="Arial" w:eastAsia="Arial" w:hAnsi="Arial"/>
          <w:sz w:val="18"/>
          <w:szCs w:val="18"/>
          <w:u w:val="single" w:color="auto"/>
          <w:color w:val="0000FF"/>
        </w:rPr>
        <w:t>Katie Coleman</w:t>
      </w:r>
    </w:p>
    <w:p>
      <w:pPr>
        <w:ind w:left="150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color w:val="FF0000"/>
          <w:strike w:val="1"/>
        </w:rPr>
        <w:t>rchristo@cccis.com</w:t>
      </w:r>
      <w:r>
        <w:rPr>
          <w:rFonts w:ascii="Arial" w:cs="Arial" w:eastAsia="Arial" w:hAnsi="Arial"/>
          <w:sz w:val="18"/>
          <w:szCs w:val="18"/>
          <w:color w:val="auto"/>
        </w:rPr>
        <w:t>kcoleman@cccis.com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-207645</wp:posOffset>
            </wp:positionV>
            <wp:extent cx="5816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81660" cy="8255"/>
                    </a:xfrm>
                    <a:prstGeom prst="rect">
                      <a:avLst/>
                    </a:prstGeom>
                    <a:noFill/>
                  </pic:spPr>
                </pic:pic>
              </a:graphicData>
            </a:graphic>
          </wp:anchor>
        </w:drawing>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 (which shall not constitute notice to any Loan Party):</w:t>
      </w:r>
    </w:p>
    <w:p>
      <w:pPr>
        <w:spacing w:after="0" w:line="2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Advent International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 East 49th Street, 45th Floor</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10017</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Ken Prince</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KPrince@AdventInternational.com</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461-6503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4" w:name="page205"/>
    <w:bookmarkEnd w:id="204"/>
    <w:p>
      <w:pPr>
        <w:ind w:left="78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780" w:right="6979" w:firstLine="5"/>
        <w:spacing w:after="0" w:line="280" w:lineRule="auto"/>
        <w:tabs>
          <w:tab w:leader="none" w:pos="109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Lexington Avenue New York, NY 10022 Attention: Jay Ptashek</w:t>
      </w:r>
    </w:p>
    <w:p>
      <w:pPr>
        <w:spacing w:after="0" w:line="1"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Email: jay.ptashek@kirkland.com</w:t>
      </w:r>
    </w:p>
    <w:p>
      <w:pPr>
        <w:spacing w:after="0" w:line="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Telephone: (212) 446-4747</w:t>
      </w:r>
    </w:p>
    <w:p>
      <w:pPr>
        <w:spacing w:after="0" w:line="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Facsimile: (212) 446-4900</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(ii)if to the Administrative Agent, at: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Administrative Agent’s Office (For payments and Requests for Credit Extensions):</w:t>
      </w:r>
    </w:p>
    <w:p>
      <w:pPr>
        <w:spacing w:after="0" w:line="2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Bank of America, N.A.</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900 W. Trade Street</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Mail Code: NC1-001-05-46</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Charlotte, North Carolina 28255-0001</w:t>
      </w:r>
    </w:p>
    <w:p>
      <w:pPr>
        <w:spacing w:after="0" w:line="223" w:lineRule="exact"/>
        <w:rPr>
          <w:sz w:val="20"/>
          <w:szCs w:val="20"/>
          <w:color w:val="auto"/>
        </w:rPr>
      </w:pPr>
    </w:p>
    <w:p>
      <w:pPr>
        <w:ind w:left="780"/>
        <w:spacing w:after="0"/>
        <w:tabs>
          <w:tab w:leader="none" w:pos="1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Charles Hensley</w:t>
      </w:r>
    </w:p>
    <w:p>
      <w:pPr>
        <w:spacing w:after="0" w:line="223" w:lineRule="exact"/>
        <w:rPr>
          <w:sz w:val="20"/>
          <w:szCs w:val="20"/>
          <w:color w:val="auto"/>
        </w:rPr>
      </w:pPr>
    </w:p>
    <w:p>
      <w:pPr>
        <w:ind w:left="780"/>
        <w:spacing w:after="0"/>
        <w:tabs>
          <w:tab w:leader="none" w:pos="1780" w:val="left"/>
        </w:tabs>
        <w:rPr>
          <w:sz w:val="20"/>
          <w:szCs w:val="20"/>
          <w:color w:val="auto"/>
        </w:rPr>
      </w:pPr>
      <w:r>
        <w:rPr>
          <w:rFonts w:ascii="Arial" w:cs="Arial" w:eastAsia="Arial" w:hAnsi="Arial"/>
          <w:sz w:val="18"/>
          <w:szCs w:val="18"/>
          <w:color w:val="auto"/>
        </w:rPr>
        <w:t>Telephone:</w:t>
        <w:tab/>
        <w:t>980-388-3225</w:t>
      </w:r>
    </w:p>
    <w:p>
      <w:pPr>
        <w:spacing w:after="0" w:line="223" w:lineRule="exact"/>
        <w:rPr>
          <w:sz w:val="20"/>
          <w:szCs w:val="20"/>
          <w:color w:val="auto"/>
        </w:rPr>
      </w:pPr>
    </w:p>
    <w:p>
      <w:pPr>
        <w:ind w:left="780"/>
        <w:spacing w:after="0"/>
        <w:tabs>
          <w:tab w:leader="none" w:pos="1800" w:val="left"/>
        </w:tabs>
        <w:rPr>
          <w:sz w:val="20"/>
          <w:szCs w:val="20"/>
          <w:color w:val="auto"/>
        </w:rPr>
      </w:pPr>
      <w:r>
        <w:rPr>
          <w:rFonts w:ascii="Arial" w:cs="Arial" w:eastAsia="Arial" w:hAnsi="Arial"/>
          <w:sz w:val="18"/>
          <w:szCs w:val="18"/>
          <w:color w:val="auto"/>
        </w:rPr>
        <w:t>Telecopier:</w:t>
        <w:tab/>
        <w:t>704-719-5362</w:t>
      </w:r>
    </w:p>
    <w:p>
      <w:pPr>
        <w:spacing w:after="0" w:line="223" w:lineRule="exact"/>
        <w:rPr>
          <w:sz w:val="20"/>
          <w:szCs w:val="20"/>
          <w:color w:val="auto"/>
        </w:rPr>
      </w:pPr>
    </w:p>
    <w:p>
      <w:pPr>
        <w:ind w:left="780"/>
        <w:spacing w:after="0"/>
        <w:tabs>
          <w:tab w:leader="none" w:pos="18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charles.hensley@bofa.com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Notices as Administrative Agent:</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Bank of America, N.A.</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Agency Management</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540 W Madison St</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Mail Code: IL4-540-22-29</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Chicago, IL 60661</w:t>
      </w:r>
    </w:p>
    <w:p>
      <w:pPr>
        <w:spacing w:after="0" w:line="223" w:lineRule="exact"/>
        <w:rPr>
          <w:sz w:val="20"/>
          <w:szCs w:val="20"/>
          <w:color w:val="auto"/>
        </w:rPr>
      </w:pPr>
    </w:p>
    <w:p>
      <w:pPr>
        <w:ind w:left="780"/>
        <w:spacing w:after="0"/>
        <w:tabs>
          <w:tab w:leader="none" w:pos="1700" w:val="left"/>
        </w:tabs>
        <w:rPr>
          <w:sz w:val="20"/>
          <w:szCs w:val="20"/>
          <w:color w:val="auto"/>
        </w:rPr>
      </w:pPr>
      <w:r>
        <w:rPr>
          <w:rFonts w:ascii="Arial" w:cs="Arial" w:eastAsia="Arial" w:hAnsi="Arial"/>
          <w:sz w:val="18"/>
          <w:szCs w:val="18"/>
          <w:color w:val="auto"/>
        </w:rPr>
        <w:t>Attention:</w:t>
        <w:tab/>
        <w:t>Angela Larkin</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Telephone: 312-828-3882</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Telecopier:  877-206-8409</w:t>
      </w:r>
    </w:p>
    <w:p>
      <w:pPr>
        <w:spacing w:after="0" w:line="223"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angela.larkin@bofa.com</w:t>
      </w: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(iii)if to BofA in its capacity as an Issuing Bank, at:</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213995</wp:posOffset>
            </wp:positionV>
            <wp:extent cx="71583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419"/>
          </w:cols>
          <w:pgMar w:left="1040" w:top="367" w:right="1440" w:bottom="1440" w:gutter="0" w:footer="0" w:header="0"/>
        </w:sectPr>
      </w:pPr>
    </w:p>
    <w:bookmarkStart w:id="205" w:name="page206"/>
    <w:bookmarkEnd w:id="205"/>
    <w:p>
      <w:pPr>
        <w:ind w:left="1500"/>
        <w:spacing w:after="0"/>
        <w:rPr>
          <w:sz w:val="20"/>
          <w:szCs w:val="20"/>
          <w:color w:val="auto"/>
        </w:rPr>
      </w:pPr>
      <w:r>
        <w:rPr>
          <w:rFonts w:ascii="Arial" w:cs="Arial" w:eastAsia="Arial" w:hAnsi="Arial"/>
          <w:sz w:val="18"/>
          <w:szCs w:val="18"/>
          <w:color w:val="auto"/>
        </w:rPr>
        <w:t>as Issuing Bank</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Trade Operations</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 Fleet Way</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Mail Code: PA6-580-02-30</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Scranton, Pennsylvania 18507</w:t>
      </w:r>
    </w:p>
    <w:p>
      <w:pPr>
        <w:spacing w:after="0" w:line="8"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Mike Grizzanti</w:t>
      </w:r>
    </w:p>
    <w:p>
      <w:pPr>
        <w:spacing w:after="0" w:line="8"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8"/>
          <w:szCs w:val="18"/>
          <w:color w:val="auto"/>
        </w:rPr>
        <w:t>Telephone:</w:t>
        <w:tab/>
        <w:t>570-496-9621</w:t>
      </w:r>
    </w:p>
    <w:p>
      <w:pPr>
        <w:spacing w:after="0" w:line="8"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18"/>
          <w:szCs w:val="18"/>
          <w:color w:val="auto"/>
        </w:rPr>
        <w:t>Telecopier:</w:t>
        <w:tab/>
        <w:t>800-755-8743</w:t>
      </w:r>
    </w:p>
    <w:p>
      <w:pPr>
        <w:spacing w:after="0" w:line="8" w:lineRule="exact"/>
        <w:rPr>
          <w:sz w:val="20"/>
          <w:szCs w:val="20"/>
          <w:color w:val="auto"/>
        </w:rPr>
      </w:pPr>
    </w:p>
    <w:p>
      <w:pPr>
        <w:ind w:left="150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michael.a.grizzanti@bofa.com</w:t>
      </w:r>
    </w:p>
    <w:p>
      <w:pPr>
        <w:spacing w:after="0" w:line="20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(iv)if to any Lender or Issuing Bank, to it at its address or facsimile number set forth in its Administrative Questionnaire.</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in accordance with the latest unrevoked direction from such party given in accordance with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(B) sent by facsimile shall be deemed to have been given when sent and when receipt has been confirmed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shall be effective as provided in such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69" w:lineRule="exact"/>
        <w:rPr>
          <w:sz w:val="20"/>
          <w:szCs w:val="20"/>
          <w:color w:val="auto"/>
        </w:rPr>
      </w:pPr>
    </w:p>
    <w:p>
      <w:pPr>
        <w:jc w:val="both"/>
        <w:ind w:firstLine="756"/>
        <w:spacing w:after="0" w:line="268" w:lineRule="auto"/>
        <w:tabs>
          <w:tab w:leader="none" w:pos="1019"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 communications to it hereunder by electronic communications pursuant to procedures set forth herein or otherwise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or communication not given during the normal business hours of the recipient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of notification that such notice or communication is available and identifying the website address therefor.</w:t>
      </w:r>
    </w:p>
    <w:p>
      <w:pPr>
        <w:spacing w:after="0" w:line="182" w:lineRule="exact"/>
        <w:rPr>
          <w:rFonts w:ascii="Arial" w:cs="Arial" w:eastAsia="Arial" w:hAnsi="Arial"/>
          <w:sz w:val="17"/>
          <w:szCs w:val="17"/>
          <w:color w:val="auto"/>
        </w:rPr>
      </w:pPr>
    </w:p>
    <w:p>
      <w:pPr>
        <w:jc w:val="both"/>
        <w:ind w:firstLine="756"/>
        <w:spacing w:after="0" w:line="262" w:lineRule="auto"/>
        <w:tabs>
          <w:tab w:leader="none" w:pos="101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each Issuing Bank, the Swingline Lender and each Lender.</w:t>
      </w:r>
    </w:p>
    <w:p>
      <w:pPr>
        <w:spacing w:after="0" w:line="182" w:lineRule="exact"/>
        <w:rPr>
          <w:rFonts w:ascii="Arial" w:cs="Arial" w:eastAsia="Arial" w:hAnsi="Arial"/>
          <w:sz w:val="18"/>
          <w:szCs w:val="18"/>
          <w:color w:val="auto"/>
        </w:rPr>
      </w:pPr>
    </w:p>
    <w:p>
      <w:pPr>
        <w:jc w:val="both"/>
        <w:ind w:firstLine="756"/>
        <w:spacing w:after="0" w:line="283" w:lineRule="auto"/>
        <w:tabs>
          <w:tab w:leader="none" w:pos="101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Each of Holdings and the Borrower hereby acknowledges that (a) the Administrative Agent will make available to the Lenders and the Issuing Bank materials and/or information provided by, or on behalf of, Holdings or the Borrower hereunder (collectively, the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 (b) certain of the Lenders may be “public-side” Lenders (i.e., Lenders that do not wish to receive material nonpublic information within the meaning of the United States federal securities laws with respect to Holdings, the Borrower or their respective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At the request of the Arrangers, each of Holdings and the Borrower hereby agrees that (i) all Borrower Materials that are to be made available to Public Lenders shall be clearly and conspicuously marked “PUBLIC,” (ii) by marking Borrower Materials “PUBLIC,” Holdings and the Borrower shall be deemed to have authorized the Administrative Agent and the Lenders to treat such Borrower Materials as information of a type that would</w:t>
      </w:r>
    </w:p>
    <w:p>
      <w:pPr>
        <w:jc w:val="both"/>
        <w:ind w:firstLine="7"/>
        <w:spacing w:after="0" w:line="253" w:lineRule="auto"/>
        <w:tabs>
          <w:tab w:leader="none" w:pos="27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customarily be made publicly available (or could be derived from publicly available information), as determined in good faith by the Borrower, if Holdings or the Borrower were to become public reporting companies or (y) would not be material with respect to Holdings, the Borrower, their respective subsidiaries, any of their respective securities or the Transactions as determined in good faith by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6" w:name="page207"/>
    <w:bookmarkEnd w:id="206"/>
    <w:p>
      <w:pPr>
        <w:jc w:val="both"/>
        <w:spacing w:after="0" w:line="255" w:lineRule="auto"/>
        <w:rPr>
          <w:sz w:val="20"/>
          <w:szCs w:val="20"/>
          <w:color w:val="auto"/>
        </w:rPr>
      </w:pPr>
      <w:r>
        <w:rPr>
          <w:rFonts w:ascii="Arial" w:cs="Arial" w:eastAsia="Arial" w:hAnsi="Arial"/>
          <w:sz w:val="18"/>
          <w:szCs w:val="18"/>
          <w:color w:val="auto"/>
        </w:rPr>
        <w:t>Borrower for purposes of United States federal securities laws and (iii) the Administrative Agent shall be entitled to treat any Borrower Materials that are not marked “PUBLIC” as being suitable only for posting on a portion of the Platform not marked as “Public Investor</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the foregoing, the following Borrower Materials shall be deemed to be marked “PUBLIC,” unless the Borrower notifies the Administrative Agent promptly that any such document contains material nonpublic information: (1) the Loan Documents, (2) any notification of changes in the terms of the Credit Facilities and (3) all information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9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8"/>
          <w:szCs w:val="18"/>
          <w:color w:val="auto"/>
        </w:rPr>
        <w:t>THE PLATFORM IS PROVIDED “AS IS” AND “AS AVAILABLE</w:t>
      </w:r>
      <w:r>
        <w:rPr>
          <w:rFonts w:ascii="Arial" w:cs="Arial" w:eastAsia="Arial" w:hAnsi="Arial"/>
          <w:sz w:val="18"/>
          <w:szCs w:val="18"/>
          <w:i w:val="1"/>
          <w:iCs w:val="1"/>
          <w:color w:val="auto"/>
        </w:rPr>
        <w:t>.</w:t>
      </w:r>
      <w:r>
        <w:rPr>
          <w:rFonts w:ascii="Arial" w:cs="Arial" w:eastAsia="Arial" w:hAnsi="Arial"/>
          <w:sz w:val="18"/>
          <w:szCs w:val="18"/>
          <w:color w:val="auto"/>
        </w:rPr>
        <w:t>” NEITHER THE ADMINISTRATIVE AGENT NOR ANY OF ITS RELATED PARTIES WARRANTS THE ACCURACY OR COMPLETENESS OF THE COMMUNICATIONS OR THE ADEQUACY OF THE PLATFORM AND EACH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9.02.Waivers; Amendments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68" w:lineRule="auto"/>
        <w:tabs>
          <w:tab w:leader="none" w:pos="101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spacing w:after="0" w:line="182" w:lineRule="exact"/>
        <w:rPr>
          <w:rFonts w:ascii="Arial" w:cs="Arial" w:eastAsia="Arial" w:hAnsi="Arial"/>
          <w:sz w:val="17"/>
          <w:szCs w:val="17"/>
          <w:color w:val="auto"/>
        </w:rPr>
      </w:pPr>
    </w:p>
    <w:p>
      <w:pPr>
        <w:jc w:val="both"/>
        <w:ind w:firstLine="756"/>
        <w:spacing w:after="0" w:line="254" w:lineRule="auto"/>
        <w:tabs>
          <w:tab w:leader="none" w:pos="101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9.02(c)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and to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(provided that the Administrative Agent has received written notice from the Borrower at least two Business Days prior to the anticipated date of effectiveness of any such amendment and the Administrative Agent shall promptly acknowledge any such amendment upon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fails to provide such acknowledgement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7" w:name="page208"/>
    <w:bookmarkEnd w:id="207"/>
    <w:p>
      <w:pPr>
        <w:jc w:val="both"/>
        <w:spacing w:after="0" w:line="254" w:lineRule="auto"/>
        <w:rPr>
          <w:sz w:val="20"/>
          <w:szCs w:val="20"/>
          <w:color w:val="auto"/>
        </w:rPr>
      </w:pPr>
      <w:r>
        <w:rPr>
          <w:rFonts w:ascii="Arial" w:cs="Arial" w:eastAsia="Arial" w:hAnsi="Arial"/>
          <w:sz w:val="18"/>
          <w:szCs w:val="18"/>
          <w:color w:val="auto"/>
        </w:rPr>
        <w:t xml:space="preserve">within five (5) Business Days of receipt, such amendment shall be deemed to have been acknowledged by the Administrative Agent;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regardless of the date that the Administrative Agent delivers its acknowledgement, the amendment shall be deemed effective at the time it is executed by the Required Lenders, the Borrower or the applicable Loan Party)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1" w:lineRule="exact"/>
        <w:rPr>
          <w:sz w:val="20"/>
          <w:szCs w:val="20"/>
          <w:color w:val="auto"/>
        </w:rPr>
      </w:pPr>
    </w:p>
    <w:p>
      <w:pPr>
        <w:ind w:left="1500" w:firstLine="754"/>
        <w:spacing w:after="0" w:line="275" w:lineRule="auto"/>
        <w:tabs>
          <w:tab w:leader="none" w:pos="254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consent of each Lender directly and adversely affected thereby (but not the consent of the Required Lenders) shall be required for any waiver, amendment or modification that:</w:t>
      </w:r>
    </w:p>
    <w:p>
      <w:pPr>
        <w:spacing w:after="0" w:line="170" w:lineRule="exact"/>
        <w:rPr>
          <w:rFonts w:ascii="Arial" w:cs="Arial" w:eastAsia="Arial" w:hAnsi="Arial"/>
          <w:sz w:val="18"/>
          <w:szCs w:val="18"/>
          <w:color w:val="auto"/>
        </w:rPr>
      </w:pPr>
    </w:p>
    <w:p>
      <w:pPr>
        <w:jc w:val="both"/>
        <w:ind w:left="2260" w:firstLine="743"/>
        <w:spacing w:after="0" w:line="255" w:lineRule="auto"/>
        <w:tabs>
          <w:tab w:leader="none" w:pos="357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increases the Commitment of such Lender (other than with respect to any Incremental Facility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190" w:lineRule="exact"/>
        <w:rPr>
          <w:rFonts w:ascii="Arial" w:cs="Arial" w:eastAsia="Arial" w:hAnsi="Arial"/>
          <w:sz w:val="18"/>
          <w:szCs w:val="18"/>
          <w:color w:val="auto"/>
        </w:rPr>
      </w:pPr>
    </w:p>
    <w:p>
      <w:pPr>
        <w:jc w:val="both"/>
        <w:ind w:left="2260" w:firstLine="743"/>
        <w:spacing w:after="0" w:line="277" w:lineRule="auto"/>
        <w:tabs>
          <w:tab w:leader="none" w:pos="3578" w:val="left"/>
        </w:tabs>
        <w:numPr>
          <w:ilvl w:val="1"/>
          <w:numId w:val="250"/>
        </w:numPr>
        <w:rPr>
          <w:rFonts w:ascii="Arial" w:cs="Arial" w:eastAsia="Arial" w:hAnsi="Arial"/>
          <w:sz w:val="17"/>
          <w:szCs w:val="17"/>
          <w:color w:val="auto"/>
        </w:rPr>
      </w:pPr>
      <w:r>
        <w:rPr>
          <w:rFonts w:ascii="Arial" w:cs="Arial" w:eastAsia="Arial" w:hAnsi="Arial"/>
          <w:sz w:val="17"/>
          <w:szCs w:val="17"/>
          <w:color w:val="auto"/>
        </w:rPr>
        <w:t>reduces the principal amount of any Loan owed to such Lender or any amount due to such Lender on any Loan Installment Date; it being understood that no amendment, modification or waiver of, or consent to departure from, any condition precedent, representation, warranty, covenant, Default, Event of Default, mandatory prepayment or mandatory reduction of the Commitments shall constitute a reduction of principal owed to such Lender;</w:t>
      </w:r>
    </w:p>
    <w:p>
      <w:pPr>
        <w:spacing w:after="0" w:line="172" w:lineRule="exact"/>
        <w:rPr>
          <w:rFonts w:ascii="Arial" w:cs="Arial" w:eastAsia="Arial" w:hAnsi="Arial"/>
          <w:sz w:val="17"/>
          <w:szCs w:val="17"/>
          <w:color w:val="auto"/>
        </w:rPr>
      </w:pPr>
    </w:p>
    <w:p>
      <w:pPr>
        <w:jc w:val="both"/>
        <w:ind w:left="2260" w:firstLine="743"/>
        <w:spacing w:after="0" w:line="258" w:lineRule="auto"/>
        <w:tabs>
          <w:tab w:leader="none" w:pos="357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spacing w:after="0" w:line="184" w:lineRule="exact"/>
        <w:rPr>
          <w:rFonts w:ascii="Arial" w:cs="Arial" w:eastAsia="Arial" w:hAnsi="Arial"/>
          <w:sz w:val="18"/>
          <w:szCs w:val="18"/>
          <w:color w:val="auto"/>
        </w:rPr>
      </w:pPr>
    </w:p>
    <w:p>
      <w:pPr>
        <w:jc w:val="both"/>
        <w:ind w:left="2260" w:firstLine="743"/>
        <w:spacing w:after="0" w:line="272" w:lineRule="auto"/>
        <w:tabs>
          <w:tab w:leader="none" w:pos="3578"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reduces the rate of interest (other than to waive any Default or Event of Default or obligation of the Borrower to pay interest to such Lender at the default rate of interest under </w:t>
      </w:r>
      <w:r>
        <w:rPr>
          <w:rFonts w:ascii="Arial" w:cs="Arial" w:eastAsia="Arial" w:hAnsi="Arial"/>
          <w:sz w:val="17"/>
          <w:szCs w:val="17"/>
          <w:u w:val="single" w:color="auto"/>
          <w:color w:val="auto"/>
        </w:rPr>
        <w:t>Section 2.13(d)</w:t>
      </w:r>
      <w:r>
        <w:rPr>
          <w:rFonts w:ascii="Arial" w:cs="Arial" w:eastAsia="Arial" w:hAnsi="Arial"/>
          <w:sz w:val="17"/>
          <w:szCs w:val="17"/>
          <w:color w:val="auto"/>
        </w:rPr>
        <w:t>, which shall only require the consent of the Required Lenders) or the amount of any fee or premium owed to such Lender; it being understood that no change in the definition of “First Lien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w:t>
      </w:r>
    </w:p>
    <w:p>
      <w:pPr>
        <w:spacing w:after="0" w:line="175" w:lineRule="exact"/>
        <w:rPr>
          <w:rFonts w:ascii="Arial" w:cs="Arial" w:eastAsia="Arial" w:hAnsi="Arial"/>
          <w:sz w:val="17"/>
          <w:szCs w:val="17"/>
          <w:color w:val="auto"/>
        </w:rPr>
      </w:pPr>
    </w:p>
    <w:p>
      <w:pPr>
        <w:jc w:val="both"/>
        <w:ind w:left="2260" w:firstLine="743"/>
        <w:spacing w:after="0" w:line="258" w:lineRule="auto"/>
        <w:tabs>
          <w:tab w:leader="none" w:pos="357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84" w:lineRule="exact"/>
        <w:rPr>
          <w:rFonts w:ascii="Arial" w:cs="Arial" w:eastAsia="Arial" w:hAnsi="Arial"/>
          <w:sz w:val="18"/>
          <w:szCs w:val="18"/>
          <w:color w:val="auto"/>
        </w:rPr>
      </w:pPr>
    </w:p>
    <w:p>
      <w:pPr>
        <w:jc w:val="both"/>
        <w:ind w:left="2260" w:firstLine="743"/>
        <w:spacing w:after="0" w:line="284" w:lineRule="auto"/>
        <w:tabs>
          <w:tab w:leader="none" w:pos="3578"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waives, amends or modifies the provisions of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2.18(c)</w:t>
      </w:r>
      <w:r>
        <w:rPr>
          <w:rFonts w:ascii="Arial" w:cs="Arial" w:eastAsia="Arial" w:hAnsi="Arial"/>
          <w:sz w:val="17"/>
          <w:szCs w:val="17"/>
          <w:color w:val="auto"/>
        </w:rPr>
        <w:t xml:space="preserve"> of this Agreement in a manner that would by its terms alter the pro rata sharing of payments required thereby (except in connection with any transaction permitted under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9.02(c)</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9.05(g)</w:t>
      </w:r>
      <w:r>
        <w:rPr>
          <w:rFonts w:ascii="Arial" w:cs="Arial" w:eastAsia="Arial" w:hAnsi="Arial"/>
          <w:sz w:val="17"/>
          <w:szCs w:val="17"/>
          <w:color w:val="auto"/>
        </w:rPr>
        <w:t xml:space="preserve"> or as otherwise provided in this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left="2560" w:hanging="306"/>
        <w:spacing w:after="0"/>
        <w:tabs>
          <w:tab w:leader="none" w:pos="25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such agreement shall:</w:t>
      </w:r>
    </w:p>
    <w:p>
      <w:pPr>
        <w:spacing w:after="0" w:line="222" w:lineRule="exact"/>
        <w:rPr>
          <w:rFonts w:ascii="Arial" w:cs="Arial" w:eastAsia="Arial" w:hAnsi="Arial"/>
          <w:sz w:val="18"/>
          <w:szCs w:val="18"/>
          <w:color w:val="auto"/>
        </w:rPr>
      </w:pPr>
    </w:p>
    <w:p>
      <w:pPr>
        <w:ind w:left="2260" w:firstLine="743"/>
        <w:spacing w:after="0" w:line="275" w:lineRule="auto"/>
        <w:tabs>
          <w:tab w:leader="none" w:pos="357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change (x) any of the provisions of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the definition of “Required Lenders” to reduce any voting percentage required to waive,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8" w:name="page209"/>
    <w:bookmarkEnd w:id="208"/>
    <w:p>
      <w:pPr>
        <w:jc w:val="both"/>
        <w:ind w:left="1504"/>
        <w:spacing w:after="0" w:line="277" w:lineRule="auto"/>
        <w:rPr>
          <w:sz w:val="20"/>
          <w:szCs w:val="20"/>
          <w:color w:val="auto"/>
        </w:rPr>
      </w:pPr>
      <w:r>
        <w:rPr>
          <w:rFonts w:ascii="Arial" w:cs="Arial" w:eastAsia="Arial" w:hAnsi="Arial"/>
          <w:sz w:val="17"/>
          <w:szCs w:val="17"/>
          <w:color w:val="auto"/>
        </w:rPr>
        <w:t>amend or modify any right thereunder or make any determination or grant any consent thereunder, without the prior written consent of each Lender or (y) the definition of “Required Revolving Lenders”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172" w:lineRule="exact"/>
        <w:rPr>
          <w:sz w:val="20"/>
          <w:szCs w:val="20"/>
          <w:color w:val="auto"/>
        </w:rPr>
      </w:pPr>
    </w:p>
    <w:p>
      <w:pPr>
        <w:jc w:val="both"/>
        <w:ind w:left="1504" w:firstLine="743"/>
        <w:spacing w:after="0" w:line="263" w:lineRule="auto"/>
        <w:tabs>
          <w:tab w:leader="none" w:pos="2821" w:val="left"/>
        </w:tabs>
        <w:numPr>
          <w:ilvl w:val="3"/>
          <w:numId w:val="25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from the Lien granted pursuant to the Loan Documents (except as otherwise permitted herein or in the other Loan Documents, including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hereof), without the prior written consent of each Lender; or</w:t>
      </w:r>
    </w:p>
    <w:p>
      <w:pPr>
        <w:spacing w:after="0" w:line="179" w:lineRule="exact"/>
        <w:rPr>
          <w:rFonts w:ascii="Arial" w:cs="Arial" w:eastAsia="Arial" w:hAnsi="Arial"/>
          <w:sz w:val="18"/>
          <w:szCs w:val="18"/>
          <w:color w:val="auto"/>
        </w:rPr>
      </w:pPr>
    </w:p>
    <w:p>
      <w:pPr>
        <w:jc w:val="both"/>
        <w:ind w:left="1504" w:firstLine="743"/>
        <w:spacing w:after="0" w:line="262" w:lineRule="auto"/>
        <w:tabs>
          <w:tab w:leader="none" w:pos="2821" w:val="left"/>
        </w:tabs>
        <w:numPr>
          <w:ilvl w:val="3"/>
          <w:numId w:val="25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Guarantees under the Loan Guaranty (except as otherwise permitted herein or in the other Loan Documents, including pursuant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hereof), without the prior written consent of each Lender;</w:t>
      </w:r>
    </w:p>
    <w:p>
      <w:pPr>
        <w:spacing w:after="0" w:line="182" w:lineRule="exact"/>
        <w:rPr>
          <w:rFonts w:ascii="Arial" w:cs="Arial" w:eastAsia="Arial" w:hAnsi="Arial"/>
          <w:sz w:val="18"/>
          <w:szCs w:val="18"/>
          <w:color w:val="auto"/>
        </w:rPr>
      </w:pPr>
    </w:p>
    <w:p>
      <w:pPr>
        <w:jc w:val="both"/>
        <w:ind w:left="744" w:firstLine="754"/>
        <w:spacing w:after="0" w:line="292" w:lineRule="auto"/>
        <w:tabs>
          <w:tab w:leader="none" w:pos="1792" w:val="left"/>
        </w:tabs>
        <w:numPr>
          <w:ilvl w:val="2"/>
          <w:numId w:val="252"/>
        </w:numPr>
        <w:rPr>
          <w:rFonts w:ascii="Arial" w:cs="Arial" w:eastAsia="Arial" w:hAnsi="Arial"/>
          <w:sz w:val="16"/>
          <w:szCs w:val="16"/>
          <w:color w:val="auto"/>
        </w:rPr>
      </w:pPr>
      <w:r>
        <w:rPr>
          <w:rFonts w:ascii="Arial" w:cs="Arial" w:eastAsia="Arial" w:hAnsi="Arial"/>
          <w:sz w:val="16"/>
          <w:szCs w:val="16"/>
          <w:color w:val="auto"/>
        </w:rPr>
        <w:t xml:space="preserve">solely with the consent of the Required Revolving Lenders (but without the consent of the Required Lenders or any other Lender), any such agreement may (x) waive, amend or modify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(or the definition of “First Lien Leverage Ratio” or any component definition thereof, in each case, as any such definition is used solely for purposes of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(other than, in the case of </w:t>
      </w:r>
      <w:r>
        <w:rPr>
          <w:rFonts w:ascii="Arial" w:cs="Arial" w:eastAsia="Arial" w:hAnsi="Arial"/>
          <w:sz w:val="16"/>
          <w:szCs w:val="16"/>
          <w:u w:val="single" w:color="auto"/>
          <w:color w:val="auto"/>
        </w:rPr>
        <w:t>Section 6.14(a)</w:t>
      </w:r>
      <w:r>
        <w:rPr>
          <w:rFonts w:ascii="Arial" w:cs="Arial" w:eastAsia="Arial" w:hAnsi="Arial"/>
          <w:sz w:val="16"/>
          <w:szCs w:val="16"/>
          <w:color w:val="auto"/>
        </w:rPr>
        <w:t xml:space="preserve">, for purposes of determining compliance with such Section as a condition to taking any action under this Agreement) and/or (y) waive, amend or modify any condition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hereof as it pertains to any Revolving Loan and/or Additional Revolving Loan or the issuances, amendment, modification, renewal or extension of any Letter of Credit; and</w:t>
      </w:r>
    </w:p>
    <w:p>
      <w:pPr>
        <w:spacing w:after="0" w:line="161" w:lineRule="exact"/>
        <w:rPr>
          <w:rFonts w:ascii="Arial" w:cs="Arial" w:eastAsia="Arial" w:hAnsi="Arial"/>
          <w:sz w:val="16"/>
          <w:szCs w:val="16"/>
          <w:color w:val="auto"/>
        </w:rPr>
      </w:pPr>
    </w:p>
    <w:p>
      <w:pPr>
        <w:jc w:val="both"/>
        <w:ind w:left="744" w:firstLine="754"/>
        <w:spacing w:after="0" w:line="263" w:lineRule="auto"/>
        <w:tabs>
          <w:tab w:leader="none" w:pos="179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 xml:space="preserve">solely with the consent of the relevant Issuing Bank and, in the case of clause (x), the Administrative Agent, any such agreement may (x) increase or decrease the Letter of Credit Sublimit or (y) waive, amend or modify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hereof as it pertains to the issuance of any Letter of Credit;</w:t>
      </w:r>
    </w:p>
    <w:p>
      <w:pPr>
        <w:spacing w:after="0" w:line="179" w:lineRule="exact"/>
        <w:rPr>
          <w:rFonts w:ascii="Arial" w:cs="Arial" w:eastAsia="Arial" w:hAnsi="Arial"/>
          <w:sz w:val="18"/>
          <w:szCs w:val="18"/>
          <w:color w:val="auto"/>
        </w:rPr>
      </w:pPr>
    </w:p>
    <w:p>
      <w:pPr>
        <w:jc w:val="both"/>
        <w:ind w:left="744" w:firstLine="754"/>
        <w:spacing w:after="0" w:line="262" w:lineRule="auto"/>
        <w:tabs>
          <w:tab w:leader="none" w:pos="179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no such agreement shall amend, modify or otherwise affect the rights or duties of the Administrative Agent, any Issuing Bank or the Swingline Lender hereunder without the prior written consent of the Administrative Agent, such Issuing Bank or the Swingline Lender, as the case may be.</w:t>
      </w:r>
    </w:p>
    <w:p>
      <w:pPr>
        <w:spacing w:after="0" w:line="182" w:lineRule="exact"/>
        <w:rPr>
          <w:rFonts w:ascii="Arial" w:cs="Arial" w:eastAsia="Arial" w:hAnsi="Arial"/>
          <w:sz w:val="18"/>
          <w:szCs w:val="18"/>
          <w:color w:val="auto"/>
        </w:rPr>
      </w:pPr>
    </w:p>
    <w:p>
      <w:pPr>
        <w:ind w:left="264" w:hanging="264"/>
        <w:spacing w:after="0"/>
        <w:tabs>
          <w:tab w:leader="none" w:pos="2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Notwithstanding the foregoing, this Agreement may be amended:</w:t>
      </w:r>
    </w:p>
    <w:p>
      <w:pPr>
        <w:spacing w:after="0" w:line="222" w:lineRule="exact"/>
        <w:rPr>
          <w:rFonts w:ascii="Arial" w:cs="Arial" w:eastAsia="Arial" w:hAnsi="Arial"/>
          <w:sz w:val="18"/>
          <w:szCs w:val="18"/>
          <w:color w:val="auto"/>
        </w:rPr>
      </w:pPr>
    </w:p>
    <w:p>
      <w:pPr>
        <w:jc w:val="both"/>
        <w:ind w:left="4" w:firstLine="1045"/>
        <w:spacing w:after="0" w:line="258" w:lineRule="auto"/>
        <w:tabs>
          <w:tab w:leader="none" w:pos="1291" w:val="left"/>
        </w:tabs>
        <w:numPr>
          <w:ilvl w:val="1"/>
          <w:numId w:val="253"/>
        </w:numPr>
        <w:rPr>
          <w:rFonts w:ascii="Arial" w:cs="Arial" w:eastAsia="Arial" w:hAnsi="Arial"/>
          <w:sz w:val="18"/>
          <w:szCs w:val="18"/>
          <w:color w:val="auto"/>
        </w:rPr>
      </w:pPr>
      <w:r>
        <w:rPr>
          <w:rFonts w:ascii="Arial" w:cs="Arial" w:eastAsia="Arial" w:hAnsi="Arial"/>
          <w:sz w:val="18"/>
          <w:szCs w:val="18"/>
          <w:color w:val="auto"/>
        </w:rPr>
        <w:t>with the written consent of the Borrower and the Lenders providing the relevant Replacement Term Loans to permit the refinancing or replacement of all or any portion of the outstanding Term Loans under the applicable Class (any such loans being refinanced or replaced, the “</w:t>
      </w:r>
      <w:r>
        <w:rPr>
          <w:rFonts w:ascii="Arial" w:cs="Arial" w:eastAsia="Arial" w:hAnsi="Arial"/>
          <w:sz w:val="18"/>
          <w:szCs w:val="18"/>
          <w:u w:val="single" w:color="auto"/>
          <w:color w:val="auto"/>
        </w:rPr>
        <w:t>Replaced Term Loans</w:t>
      </w:r>
      <w:r>
        <w:rPr>
          <w:rFonts w:ascii="Arial" w:cs="Arial" w:eastAsia="Arial" w:hAnsi="Arial"/>
          <w:sz w:val="18"/>
          <w:szCs w:val="18"/>
          <w:color w:val="auto"/>
        </w:rPr>
        <w:t>”) with one or more replacement term loans hereunder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rFonts w:ascii="Arial" w:cs="Arial" w:eastAsia="Arial" w:hAnsi="Arial"/>
          <w:sz w:val="18"/>
          <w:szCs w:val="18"/>
          <w:color w:val="auto"/>
        </w:rPr>
      </w:pPr>
    </w:p>
    <w:p>
      <w:pPr>
        <w:jc w:val="both"/>
        <w:ind w:left="744" w:firstLine="754"/>
        <w:spacing w:after="0" w:line="295" w:lineRule="auto"/>
        <w:tabs>
          <w:tab w:leader="none" w:pos="1826" w:val="left"/>
        </w:tabs>
        <w:numPr>
          <w:ilvl w:val="2"/>
          <w:numId w:val="253"/>
        </w:numPr>
        <w:rPr>
          <w:rFonts w:ascii="Arial" w:cs="Arial" w:eastAsia="Arial" w:hAnsi="Arial"/>
          <w:sz w:val="16"/>
          <w:szCs w:val="16"/>
          <w:color w:val="auto"/>
        </w:rPr>
      </w:pPr>
      <w:r>
        <w:rPr>
          <w:rFonts w:ascii="Arial" w:cs="Arial" w:eastAsia="Arial" w:hAnsi="Arial"/>
          <w:sz w:val="16"/>
          <w:szCs w:val="16"/>
          <w:color w:val="auto"/>
        </w:rPr>
        <w:t>the aggregate principal amount of any Replacement Term Loans shall not exceed the aggregate principal amount of the Replaced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any additional amounts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to the extent any such additional amounts are secured, the related Liens are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amount of accrued interest, penalties and premium (including tender premium) thereon any committed but undrawn amounts and underwriting discounts, fees (including upfront fees, original issue discount or initial yield payments), commissions and expenses associated therewith),</w:t>
      </w:r>
    </w:p>
    <w:p>
      <w:pPr>
        <w:spacing w:after="0" w:line="159" w:lineRule="exact"/>
        <w:rPr>
          <w:rFonts w:ascii="Arial" w:cs="Arial" w:eastAsia="Arial" w:hAnsi="Arial"/>
          <w:sz w:val="16"/>
          <w:szCs w:val="16"/>
          <w:color w:val="auto"/>
        </w:rPr>
      </w:pPr>
    </w:p>
    <w:p>
      <w:pPr>
        <w:jc w:val="both"/>
        <w:ind w:left="744" w:firstLine="754"/>
        <w:spacing w:after="0" w:line="310" w:lineRule="auto"/>
        <w:tabs>
          <w:tab w:leader="none" w:pos="1829" w:val="left"/>
        </w:tabs>
        <w:numPr>
          <w:ilvl w:val="2"/>
          <w:numId w:val="253"/>
        </w:numPr>
        <w:rPr>
          <w:rFonts w:ascii="Arial" w:cs="Arial" w:eastAsia="Arial" w:hAnsi="Arial"/>
          <w:sz w:val="16"/>
          <w:szCs w:val="16"/>
          <w:color w:val="auto"/>
        </w:rPr>
      </w:pPr>
      <w:r>
        <w:rPr>
          <w:rFonts w:ascii="Arial" w:cs="Arial" w:eastAsia="Arial" w:hAnsi="Arial"/>
          <w:sz w:val="16"/>
          <w:szCs w:val="16"/>
          <w:color w:val="auto"/>
        </w:rPr>
        <w:t xml:space="preserve">subject to the Permitted Earlier Maturity Indebtedness Exception, any Replacement Term Loans (other than customary bridge loans with a maturity date of not longer than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6"/>
          <w:szCs w:val="16"/>
          <w:u w:val="single" w:color="auto"/>
          <w:color w:val="auto"/>
        </w:rPr>
        <w:t>clause (B)</w:t>
      </w:r>
      <w:r>
        <w:rPr>
          <w:rFonts w:ascii="Arial" w:cs="Arial" w:eastAsia="Arial" w:hAnsi="Arial"/>
          <w:sz w:val="16"/>
          <w:szCs w:val="16"/>
          <w:color w:val="auto"/>
        </w:rPr>
        <w:t>) must have a final</w:t>
      </w:r>
    </w:p>
    <w:p>
      <w:pPr>
        <w:spacing w:after="0" w:line="147"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223520</wp:posOffset>
            </wp:positionV>
            <wp:extent cx="71583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7" w:right="339" w:bottom="1440" w:gutter="0" w:footer="0" w:header="0"/>
        </w:sectPr>
      </w:pPr>
    </w:p>
    <w:bookmarkStart w:id="209" w:name="page210"/>
    <w:bookmarkEnd w:id="209"/>
    <w:p>
      <w:pPr>
        <w:jc w:val="both"/>
        <w:ind w:left="740"/>
        <w:spacing w:after="0" w:line="262" w:lineRule="auto"/>
        <w:rPr>
          <w:sz w:val="20"/>
          <w:szCs w:val="20"/>
          <w:color w:val="auto"/>
        </w:rPr>
      </w:pPr>
      <w:r>
        <w:rPr>
          <w:rFonts w:ascii="Arial" w:cs="Arial" w:eastAsia="Arial" w:hAnsi="Arial"/>
          <w:sz w:val="18"/>
          <w:szCs w:val="18"/>
          <w:color w:val="auto"/>
        </w:rPr>
        <w:t>maturity date that is equal to or later than the final maturity date of, and have a Weighted Average Life to Maturity equal to or greater than the Weighted Average Life to Maturity of, the Replaced Term Loans at the time of the relevant refinancing (without giving effect to any prepayments thereof),</w:t>
      </w:r>
    </w:p>
    <w:p>
      <w:pPr>
        <w:spacing w:after="0" w:line="182" w:lineRule="exact"/>
        <w:rPr>
          <w:sz w:val="20"/>
          <w:szCs w:val="20"/>
          <w:color w:val="auto"/>
        </w:rPr>
      </w:pPr>
    </w:p>
    <w:p>
      <w:pPr>
        <w:jc w:val="both"/>
        <w:ind w:left="740" w:firstLine="754"/>
        <w:spacing w:after="0" w:line="284" w:lineRule="auto"/>
        <w:tabs>
          <w:tab w:leader="none" w:pos="181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any Replacement Term Loans may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any then-existing Term Loans in right of payment and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or junior to such Term Loans with respect to the Collateral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any Replacement Term Loans not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Agreement shall be subject to an Acceptable Intercreditor Agreement, or be unsecured),</w:t>
      </w:r>
    </w:p>
    <w:p>
      <w:pPr>
        <w:spacing w:after="0" w:line="166" w:lineRule="exact"/>
        <w:rPr>
          <w:rFonts w:ascii="Arial" w:cs="Arial" w:eastAsia="Arial" w:hAnsi="Arial"/>
          <w:sz w:val="17"/>
          <w:szCs w:val="17"/>
          <w:color w:val="auto"/>
        </w:rPr>
      </w:pPr>
    </w:p>
    <w:p>
      <w:pPr>
        <w:ind w:left="1820" w:hanging="326"/>
        <w:spacing w:after="0"/>
        <w:tabs>
          <w:tab w:leader="none" w:pos="18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Replacement Term Loans that are secured may not be secured by any assets other than the Collateral,</w:t>
      </w:r>
    </w:p>
    <w:p>
      <w:pPr>
        <w:spacing w:after="0" w:line="222" w:lineRule="exact"/>
        <w:rPr>
          <w:rFonts w:ascii="Arial" w:cs="Arial" w:eastAsia="Arial" w:hAnsi="Arial"/>
          <w:sz w:val="18"/>
          <w:szCs w:val="18"/>
          <w:color w:val="auto"/>
        </w:rPr>
      </w:pPr>
    </w:p>
    <w:p>
      <w:pPr>
        <w:ind w:left="740" w:firstLine="754"/>
        <w:spacing w:after="0" w:line="275" w:lineRule="auto"/>
        <w:tabs>
          <w:tab w:leader="none" w:pos="183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Replacement Term Loans that are guaranteed may not be guaranteed by any Subsidiary other than one or more Subsidiary Guarantors,</w:t>
      </w:r>
    </w:p>
    <w:p>
      <w:pPr>
        <w:spacing w:after="0" w:line="170" w:lineRule="exact"/>
        <w:rPr>
          <w:rFonts w:ascii="Arial" w:cs="Arial" w:eastAsia="Arial" w:hAnsi="Arial"/>
          <w:sz w:val="18"/>
          <w:szCs w:val="18"/>
          <w:color w:val="auto"/>
        </w:rPr>
      </w:pPr>
    </w:p>
    <w:p>
      <w:pPr>
        <w:jc w:val="both"/>
        <w:ind w:left="740" w:firstLine="754"/>
        <w:spacing w:after="0" w:line="262" w:lineRule="auto"/>
        <w:tabs>
          <w:tab w:leader="none" w:pos="183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any Replacement Term Loans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Term Loans in right of payment and security may participate (A) in any voluntary prepayments of Term Loans as set forth in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and (B) in any mandatory prepayments of Term Loans as set forth in </w:t>
      </w:r>
      <w:r>
        <w:rPr>
          <w:rFonts w:ascii="Arial" w:cs="Arial" w:eastAsia="Arial" w:hAnsi="Arial"/>
          <w:sz w:val="18"/>
          <w:szCs w:val="18"/>
          <w:u w:val="single" w:color="auto"/>
          <w:color w:val="auto"/>
        </w:rPr>
        <w:t>Section 2.11(b)(vi)</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820" w:hanging="326"/>
        <w:spacing w:after="0"/>
        <w:tabs>
          <w:tab w:leader="none" w:pos="182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any Replacement Term Loans may have pricing (including interest, fees and premiums) and, subject to preceding </w:t>
      </w:r>
      <w:r>
        <w:rPr>
          <w:rFonts w:ascii="Arial" w:cs="Arial" w:eastAsia="Arial" w:hAnsi="Arial"/>
          <w:sz w:val="16"/>
          <w:szCs w:val="16"/>
          <w:u w:val="single" w:color="auto"/>
          <w:color w:val="auto"/>
        </w:rPr>
        <w:t>clause</w:t>
      </w:r>
    </w:p>
    <w:p>
      <w:pPr>
        <w:spacing w:after="0" w:line="45" w:lineRule="exact"/>
        <w:rPr>
          <w:rFonts w:ascii="Arial" w:cs="Arial" w:eastAsia="Arial" w:hAnsi="Arial"/>
          <w:sz w:val="16"/>
          <w:szCs w:val="16"/>
          <w:color w:val="auto"/>
        </w:rPr>
      </w:pPr>
    </w:p>
    <w:p>
      <w:pPr>
        <w:ind w:left="740"/>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(F)</w:t>
      </w:r>
      <w:r>
        <w:rPr>
          <w:rFonts w:ascii="Arial" w:cs="Arial" w:eastAsia="Arial" w:hAnsi="Arial"/>
          <w:sz w:val="18"/>
          <w:szCs w:val="18"/>
          <w:color w:val="auto"/>
        </w:rPr>
        <w:t xml:space="preserve">, optional prepayment and redemption terms and, subject to preceding </w:t>
      </w:r>
      <w:r>
        <w:rPr>
          <w:rFonts w:ascii="Arial" w:cs="Arial" w:eastAsia="Arial" w:hAnsi="Arial"/>
          <w:sz w:val="18"/>
          <w:szCs w:val="18"/>
          <w:u w:val="single" w:color="auto"/>
          <w:color w:val="auto"/>
        </w:rPr>
        <w:t>clause (B)</w:t>
      </w:r>
      <w:r>
        <w:rPr>
          <w:rFonts w:ascii="Arial" w:cs="Arial" w:eastAsia="Arial" w:hAnsi="Arial"/>
          <w:sz w:val="18"/>
          <w:szCs w:val="18"/>
          <w:color w:val="auto"/>
        </w:rPr>
        <w:t>, amortization schedule, as the Borrower and the lenders providing such Replacement Term Loans may agree,</w:t>
      </w:r>
    </w:p>
    <w:p>
      <w:pPr>
        <w:spacing w:after="0" w:line="185" w:lineRule="exact"/>
        <w:rPr>
          <w:rFonts w:ascii="Arial" w:cs="Arial" w:eastAsia="Arial" w:hAnsi="Arial"/>
          <w:sz w:val="16"/>
          <w:szCs w:val="16"/>
          <w:color w:val="auto"/>
        </w:rPr>
      </w:pPr>
    </w:p>
    <w:p>
      <w:pPr>
        <w:jc w:val="both"/>
        <w:ind w:left="740" w:firstLine="754"/>
        <w:spacing w:after="0" w:line="286" w:lineRule="auto"/>
        <w:tabs>
          <w:tab w:leader="none" w:pos="182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other terms and conditions of any Replacement Term Loans (excluding as set forth above) are (i) substantially identical to, or (taken as a whole) no more favorable (as reasonably determined by the Borrower) to the lenders providing such Replacement Term Loans than those applicable to the Replaced Term Loans (other than covenants or other provisions applicable only to periods after the Latest Maturity Date (in each case, as of the date of incurrence of such Replacement Term Loans)), (ii) on market terms and conditions (taken as a whole) (as reasonably determined by the Borrower) at the time of incurrence or issuance for the applicable type of Indebtedness or (iii) reasonably acceptable to the Administrative Agent (it being agreed that (x) covenants or other provisions applicable only to periods after the latest Maturity Date of such Replaced Term Loans (in each case, as of the date of incurrence of such Replacement Term Loans) and (y) terms and conditions of such Replacement Term Loans that are more favorable to the lenders or the agent of such Replacement Term Loans than those contained in the Loan Documents and are then conformed (or added) to the Loan Documents for the benefit of the Term Lenders or, as applicable, the Administrative Agent (i.e., by conforming or adding a term to the then-outstanding Term Loans pursuant to an amendment) shall be deemed satisfactory to the Administrative Agent), and</w:t>
      </w:r>
    </w:p>
    <w:p>
      <w:pPr>
        <w:spacing w:after="0" w:line="168" w:lineRule="exact"/>
        <w:rPr>
          <w:rFonts w:ascii="Arial" w:cs="Arial" w:eastAsia="Arial" w:hAnsi="Arial"/>
          <w:sz w:val="16"/>
          <w:szCs w:val="16"/>
          <w:color w:val="auto"/>
        </w:rPr>
      </w:pPr>
    </w:p>
    <w:p>
      <w:pPr>
        <w:ind w:left="740" w:firstLine="754"/>
        <w:spacing w:after="0" w:line="275" w:lineRule="auto"/>
        <w:tabs>
          <w:tab w:leader="none" w:pos="184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shall exist immediately prior to or after giving effect to such Replacement Term Loans, and</w:t>
      </w:r>
    </w:p>
    <w:p>
      <w:pPr>
        <w:spacing w:after="0" w:line="171" w:lineRule="exact"/>
        <w:rPr>
          <w:sz w:val="20"/>
          <w:szCs w:val="20"/>
          <w:color w:val="auto"/>
        </w:rPr>
      </w:pPr>
    </w:p>
    <w:p>
      <w:pPr>
        <w:jc w:val="both"/>
        <w:ind w:firstLine="1048"/>
        <w:spacing w:after="0" w:line="258" w:lineRule="auto"/>
        <w:rPr>
          <w:sz w:val="20"/>
          <w:szCs w:val="20"/>
          <w:color w:val="auto"/>
        </w:rPr>
      </w:pPr>
      <w:r>
        <w:rPr>
          <w:rFonts w:ascii="Arial" w:cs="Arial" w:eastAsia="Arial" w:hAnsi="Arial"/>
          <w:sz w:val="18"/>
          <w:szCs w:val="18"/>
          <w:color w:val="auto"/>
        </w:rPr>
        <w:t>(ii)with the written consent of the Borrower and the Lenders providing the relevant Replacement Revolving Facility to permit the refinancing or replacement of all or any portion of any Revolving Credit Commitment under the applicable Class (any such Revolving Credit Commitment being refinanced or replaced, a “</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with a replacement revolving facility hereunder (a “</w:t>
      </w:r>
      <w:r>
        <w:rPr>
          <w:rFonts w:ascii="Arial" w:cs="Arial" w:eastAsia="Arial" w:hAnsi="Arial"/>
          <w:sz w:val="18"/>
          <w:szCs w:val="18"/>
          <w:u w:val="single" w:color="auto"/>
          <w:color w:val="auto"/>
        </w:rPr>
        <w:t>Replacement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5" w:lineRule="exact"/>
        <w:rPr>
          <w:sz w:val="20"/>
          <w:szCs w:val="20"/>
          <w:color w:val="auto"/>
        </w:rPr>
      </w:pPr>
    </w:p>
    <w:p>
      <w:pPr>
        <w:jc w:val="both"/>
        <w:ind w:left="740" w:firstLine="754"/>
        <w:spacing w:after="0" w:line="310" w:lineRule="auto"/>
        <w:tabs>
          <w:tab w:leader="none" w:pos="182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aggregate principal amount of any Replacement Revolving Facility shall not exceed the aggregate principal amount of the Replaced Revolving Facility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(x) any additional amounts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to the extent any such additional amounts are secured, the related Liens are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the amount of accrued interest,</w:t>
      </w:r>
    </w:p>
    <w:p>
      <w:pPr>
        <w:spacing w:after="0" w:line="14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223520</wp:posOffset>
            </wp:positionV>
            <wp:extent cx="71583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7" w:right="339" w:bottom="1440" w:gutter="0" w:footer="0" w:header="0"/>
        </w:sectPr>
      </w:pPr>
    </w:p>
    <w:bookmarkStart w:id="210" w:name="page211"/>
    <w:bookmarkEnd w:id="210"/>
    <w:p>
      <w:pPr>
        <w:ind w:left="380"/>
        <w:spacing w:after="0" w:line="305" w:lineRule="auto"/>
        <w:rPr>
          <w:sz w:val="20"/>
          <w:szCs w:val="20"/>
          <w:color w:val="auto"/>
        </w:rPr>
      </w:pPr>
      <w:r>
        <w:rPr>
          <w:rFonts w:ascii="Arial" w:cs="Arial" w:eastAsia="Arial" w:hAnsi="Arial"/>
          <w:sz w:val="17"/>
          <w:szCs w:val="17"/>
          <w:color w:val="auto"/>
        </w:rPr>
        <w:t>penalties and premium (including tender premium) thereon, any committed but undrawn amounts and underwriting discounts, fees (including upfront fees original issue discount or initial yield payments), commissions and expenses associated therewith),</w:t>
      </w:r>
    </w:p>
    <w:p>
      <w:pPr>
        <w:spacing w:after="0" w:line="148" w:lineRule="exact"/>
        <w:rPr>
          <w:sz w:val="20"/>
          <w:szCs w:val="20"/>
          <w:color w:val="auto"/>
        </w:rPr>
      </w:pPr>
    </w:p>
    <w:p>
      <w:pPr>
        <w:jc w:val="both"/>
        <w:ind w:left="380" w:firstLine="754"/>
        <w:spacing w:after="0" w:line="277" w:lineRule="auto"/>
        <w:tabs>
          <w:tab w:leader="none" w:pos="145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no Replacement Revolving Facility (other than customary bridge loans with a maturity date of not longer than one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loans, notes, securities or other Indebtedness which are exchanged for or otherwise replace such bridge loans shall be subject to the requirements of this </w:t>
      </w:r>
      <w:r>
        <w:rPr>
          <w:rFonts w:ascii="Arial" w:cs="Arial" w:eastAsia="Arial" w:hAnsi="Arial"/>
          <w:sz w:val="17"/>
          <w:szCs w:val="17"/>
          <w:u w:val="single" w:color="auto"/>
          <w:color w:val="auto"/>
        </w:rPr>
        <w:t>clause (B)</w:t>
      </w:r>
      <w:r>
        <w:rPr>
          <w:rFonts w:ascii="Arial" w:cs="Arial" w:eastAsia="Arial" w:hAnsi="Arial"/>
          <w:sz w:val="17"/>
          <w:szCs w:val="17"/>
          <w:color w:val="auto"/>
        </w:rPr>
        <w:t>) may have a final maturity date (or require commitment reductions) prior to the final maturity date of the relevant Replaced Revolving Facility at the time of such refinancing,</w:t>
      </w:r>
    </w:p>
    <w:p>
      <w:pPr>
        <w:spacing w:after="0" w:line="172" w:lineRule="exact"/>
        <w:rPr>
          <w:rFonts w:ascii="Arial" w:cs="Arial" w:eastAsia="Arial" w:hAnsi="Arial"/>
          <w:sz w:val="17"/>
          <w:szCs w:val="17"/>
          <w:color w:val="auto"/>
        </w:rPr>
      </w:pPr>
    </w:p>
    <w:p>
      <w:pPr>
        <w:jc w:val="both"/>
        <w:ind w:left="380" w:firstLine="754"/>
        <w:spacing w:after="0" w:line="258" w:lineRule="auto"/>
        <w:tabs>
          <w:tab w:leader="none" w:pos="15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any Replacement Revolving Facility may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Credit Commitment in right of payment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such Revolving Credit Commitments with respect to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Replacement Revolving Facility not incurred under this Agreement shall be subject to an Acceptable Intercreditor Agreement, or be unsecured),</w:t>
      </w:r>
    </w:p>
    <w:p>
      <w:pPr>
        <w:spacing w:after="0" w:line="184" w:lineRule="exact"/>
        <w:rPr>
          <w:rFonts w:ascii="Arial" w:cs="Arial" w:eastAsia="Arial" w:hAnsi="Arial"/>
          <w:sz w:val="18"/>
          <w:szCs w:val="18"/>
          <w:color w:val="auto"/>
        </w:rPr>
      </w:pPr>
    </w:p>
    <w:p>
      <w:pPr>
        <w:ind w:left="1460" w:hanging="326"/>
        <w:spacing w:after="0"/>
        <w:tabs>
          <w:tab w:leader="none" w:pos="14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any Replacement Revolving Facility that is secured may not be secured by any assets other than the Collateral,</w:t>
      </w:r>
    </w:p>
    <w:p>
      <w:pPr>
        <w:spacing w:after="0" w:line="234" w:lineRule="exact"/>
        <w:rPr>
          <w:rFonts w:ascii="Arial" w:cs="Arial" w:eastAsia="Arial" w:hAnsi="Arial"/>
          <w:sz w:val="17"/>
          <w:szCs w:val="17"/>
          <w:color w:val="auto"/>
        </w:rPr>
      </w:pPr>
    </w:p>
    <w:p>
      <w:pPr>
        <w:ind w:left="1480" w:hanging="346"/>
        <w:spacing w:after="0"/>
        <w:tabs>
          <w:tab w:leader="none" w:pos="14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any Replacement Revolving Facility that is guaranteed may not be guaranteed by any Person other than one or more</w:t>
      </w:r>
    </w:p>
    <w:p>
      <w:pPr>
        <w:spacing w:after="0" w:line="45"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Loan Parties,</w:t>
      </w:r>
    </w:p>
    <w:p>
      <w:pPr>
        <w:spacing w:after="0" w:line="208" w:lineRule="exact"/>
        <w:rPr>
          <w:rFonts w:ascii="Arial" w:cs="Arial" w:eastAsia="Arial" w:hAnsi="Arial"/>
          <w:sz w:val="16"/>
          <w:szCs w:val="16"/>
          <w:color w:val="auto"/>
        </w:rPr>
      </w:pPr>
    </w:p>
    <w:p>
      <w:pPr>
        <w:jc w:val="both"/>
        <w:ind w:left="380" w:firstLine="754"/>
        <w:spacing w:after="0" w:line="287" w:lineRule="auto"/>
        <w:tabs>
          <w:tab w:leader="none" w:pos="147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any Replacement Revolving Facility may provide for (A) the borrowing and repayment (except for (x) payments of interest and fees at different rates on the Revolving Facilities (and related outstandings), (y) repayments required on the Maturity Date of any Revolving Facility and (z) repayments made in connection with a permanent repayment and termination of the Revolving Credit Commitments under any Revolving Facility (subject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of Revolving Loans with respect to any Revolving Facility after the effective date of such Replacement Revolving Facility shall be made on a pro rata basis or less than pro rata basis with all other Revolving Facilities, (B) all Letters of Credit shall be participated on a pro rata basis by all Revolving Lenders and (C) any permanent repayment of Revolving Loans with respect to, and reduction and termination of Revolving Credit Commitments under, any Revolving Facility after the effective date of such Replacement Revolving Facility shall be made on a pro rata basis or less than pro rata basis with all other Revolving Facilities, or, to the extent such Replacement Revolving Facility is terminated in full and refinanced or replaced with another Replacement Revolving Facility or Replacement Notes a greater than pro rata basis.</w:t>
      </w:r>
    </w:p>
    <w:p>
      <w:pPr>
        <w:spacing w:after="0" w:line="164" w:lineRule="exact"/>
        <w:rPr>
          <w:rFonts w:ascii="Arial" w:cs="Arial" w:eastAsia="Arial" w:hAnsi="Arial"/>
          <w:sz w:val="16"/>
          <w:szCs w:val="16"/>
          <w:color w:val="auto"/>
        </w:rPr>
      </w:pPr>
    </w:p>
    <w:p>
      <w:pPr>
        <w:jc w:val="both"/>
        <w:ind w:left="380" w:firstLine="754"/>
        <w:spacing w:after="0" w:line="262" w:lineRule="auto"/>
        <w:tabs>
          <w:tab w:leader="none" w:pos="145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any Replacement Revolving Facility may have pricing (including interest, fees and premiums) and, subject to preceding </w:t>
      </w:r>
      <w:r>
        <w:rPr>
          <w:rFonts w:ascii="Arial" w:cs="Arial" w:eastAsia="Arial" w:hAnsi="Arial"/>
          <w:sz w:val="18"/>
          <w:szCs w:val="18"/>
          <w:u w:val="single" w:color="auto"/>
          <w:color w:val="auto"/>
        </w:rPr>
        <w:t>clause (F)</w:t>
      </w:r>
      <w:r>
        <w:rPr>
          <w:rFonts w:ascii="Arial" w:cs="Arial" w:eastAsia="Arial" w:hAnsi="Arial"/>
          <w:sz w:val="18"/>
          <w:szCs w:val="18"/>
          <w:color w:val="auto"/>
        </w:rPr>
        <w:t>, optional prepayment and redemption terms as the Borrower and the lenders providing such Replacement Revolving Facility may agree, and</w:t>
      </w:r>
    </w:p>
    <w:p>
      <w:pPr>
        <w:spacing w:after="0" w:line="182" w:lineRule="exact"/>
        <w:rPr>
          <w:rFonts w:ascii="Arial" w:cs="Arial" w:eastAsia="Arial" w:hAnsi="Arial"/>
          <w:sz w:val="18"/>
          <w:szCs w:val="18"/>
          <w:color w:val="auto"/>
        </w:rPr>
      </w:pPr>
    </w:p>
    <w:p>
      <w:pPr>
        <w:jc w:val="both"/>
        <w:ind w:left="380" w:firstLine="754"/>
        <w:spacing w:after="0" w:line="286" w:lineRule="auto"/>
        <w:tabs>
          <w:tab w:leader="none" w:pos="147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other terms and conditions of any Replacement Revolving Facility (excluding as set forth above) are (i) substantially identical to, or (taken as a whole) no more favorable (as reasonably determined by the Borrower)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such Replacement Revolving Facility)), (ii) on market terms and conditions (taken as a whole) (as reasonably determined by the Borrower) at the time of incurrence for the applicable type of Indebtedness or (iii) reasonably acceptable to the Administrative Agent (it being agreed that (x) covenants or other provisions applicable only to periods after the latest Maturity Date of such Replaced Revolving Facility (in each case, as of the date of incurrence of such Replacement Revolving Facility) and (y) terms and conditions of such Replacement Revolving Facility that are more favorable to the lenders or the agent of such Replacement Revolving Facility than those contained in the Loan Documents and are then conformed (or added) to the Loan Documents for the benefit of the Revolving Lenders or, as applicable, the Administrative Agent (i.e., by conforming or adding a term to the then-outstanding</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223520</wp:posOffset>
            </wp:positionV>
            <wp:extent cx="71583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211" w:name="page212"/>
    <w:bookmarkEnd w:id="211"/>
    <w:p>
      <w:pPr>
        <w:ind w:left="1500"/>
        <w:spacing w:after="0"/>
        <w:rPr>
          <w:sz w:val="20"/>
          <w:szCs w:val="20"/>
          <w:color w:val="auto"/>
        </w:rPr>
      </w:pPr>
      <w:r>
        <w:rPr>
          <w:rFonts w:ascii="Arial" w:cs="Arial" w:eastAsia="Arial" w:hAnsi="Arial"/>
          <w:sz w:val="18"/>
          <w:szCs w:val="18"/>
          <w:color w:val="auto"/>
        </w:rPr>
        <w:t>Revolving Loans pursuant to an amendment) shall be deemed satisfactory to the Administrative Agent),</w:t>
      </w:r>
    </w:p>
    <w:p>
      <w:pPr>
        <w:spacing w:after="0" w:line="223" w:lineRule="exact"/>
        <w:rPr>
          <w:sz w:val="20"/>
          <w:szCs w:val="20"/>
          <w:color w:val="auto"/>
        </w:rPr>
      </w:pPr>
    </w:p>
    <w:p>
      <w:pPr>
        <w:jc w:val="both"/>
        <w:ind w:left="1500" w:firstLine="754"/>
        <w:spacing w:after="0" w:line="262" w:lineRule="auto"/>
        <w:tabs>
          <w:tab w:leader="none" w:pos="258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commitments in respect of the relevant Replaced Revolving Facility shall be terminated, and all loans outstanding thereunder and all fees then due and payable in connection therewith shall be paid in full, in each case on the date any Replacement Revolving Facility is implemented, and</w:t>
      </w:r>
    </w:p>
    <w:p>
      <w:pPr>
        <w:spacing w:after="0" w:line="182" w:lineRule="exact"/>
        <w:rPr>
          <w:rFonts w:ascii="Arial" w:cs="Arial" w:eastAsia="Arial" w:hAnsi="Arial"/>
          <w:sz w:val="18"/>
          <w:szCs w:val="18"/>
          <w:color w:val="auto"/>
        </w:rPr>
      </w:pPr>
    </w:p>
    <w:p>
      <w:pPr>
        <w:ind w:left="1500" w:firstLine="754"/>
        <w:spacing w:after="0" w:line="275" w:lineRule="auto"/>
        <w:tabs>
          <w:tab w:leader="none" w:pos="260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shall exist immediately prior to or after giving effect to such Replacement Revolving Facility;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respect of each of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any Non-Debt Fund Affiliate and Debt Fund Affiliate shall (x) be permitted without the consent of the Administrative Agent to provide any Replacement Term Loans, it being understood that in connection therewith, the relevant Non-Debt Fund Affiliate or Debt Fund Affiliate, as applicable, shall be subject to the restrictions applicable to such Person under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as if such Replacement Term Loans were Term Loans and (y) any Debt Fund Affiliate (but not any Non-Debt Fund Affiliate) may provide any Replacement Revolving Facility.</w:t>
      </w:r>
    </w:p>
    <w:p>
      <w:pPr>
        <w:spacing w:after="0" w:line="190"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6"/>
          <w:szCs w:val="16"/>
          <w:color w:val="auto"/>
        </w:rPr>
        <w:t>Each party hereto hereby agrees that this Agreement may be amended by the Borrower, the Administrative Agent and the lenders providing the relevant Replacement Term Loans or the Replacement Revolving Facility, as applicable, to the extent (but only to the extent) necessary to reflect the existence and terms of such Replacement Term Loans or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and/or any Replacement Revolving Facility may elect or decline, in its sole discretion, to provide such Replacement Term Loans or Replacement Revolving Facility.</w:t>
      </w:r>
    </w:p>
    <w:p>
      <w:pPr>
        <w:spacing w:after="0" w:line="162" w:lineRule="exact"/>
        <w:rPr>
          <w:sz w:val="20"/>
          <w:szCs w:val="20"/>
          <w:color w:val="auto"/>
        </w:rPr>
      </w:pPr>
    </w:p>
    <w:p>
      <w:pPr>
        <w:ind w:firstLine="756"/>
        <w:spacing w:after="0" w:line="275" w:lineRule="auto"/>
        <w:tabs>
          <w:tab w:leader="none" w:pos="101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any other provision of this Agreement or any provision of any other Loan Document:</w:t>
      </w:r>
    </w:p>
    <w:p>
      <w:pPr>
        <w:spacing w:after="0" w:line="170" w:lineRule="exact"/>
        <w:rPr>
          <w:rFonts w:ascii="Arial" w:cs="Arial" w:eastAsia="Arial" w:hAnsi="Arial"/>
          <w:sz w:val="18"/>
          <w:szCs w:val="18"/>
          <w:color w:val="auto"/>
        </w:rPr>
      </w:pPr>
    </w:p>
    <w:p>
      <w:pPr>
        <w:jc w:val="both"/>
        <w:ind w:left="760" w:firstLine="1045"/>
        <w:spacing w:after="0" w:line="253" w:lineRule="auto"/>
        <w:tabs>
          <w:tab w:leader="none" w:pos="204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the Borrower and the Administrative Agent may, without the input or consent of any Lender, amend, supplement and/or waive any guaranty, collateral security agreement, pledge agreement and/or related document (if any) executed in connection with this Agreement to (A) comply with any Requirement of Law or the advice of counsel, (B) cause any such guaranty, collateral security agreement, pledge agreement or other document to be consistent with this Agreement and/or the relevant other Loan Documents or (C) add a benefit for solely the Lenders under any existing Credit Facility, including, but not limited to, increase in margin, interest rate floor, prepayment premium, call protection and reestablishment of or increase in amortization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or waiver that increases or accelerates the amortization schedule shall operate to cause the amounts subject to such increased or accelerated amortization schedule to not be subject to </w:t>
      </w:r>
      <w:r>
        <w:rPr>
          <w:rFonts w:ascii="Arial" w:cs="Arial" w:eastAsia="Arial" w:hAnsi="Arial"/>
          <w:sz w:val="18"/>
          <w:szCs w:val="18"/>
          <w:u w:val="single" w:color="auto"/>
          <w:color w:val="auto"/>
        </w:rPr>
        <w:t>Section 2.12(f)</w:t>
      </w:r>
      <w:r>
        <w:rPr>
          <w:rFonts w:ascii="Arial" w:cs="Arial" w:eastAsia="Arial" w:hAnsi="Arial"/>
          <w:sz w:val="18"/>
          <w:szCs w:val="18"/>
          <w:color w:val="auto"/>
        </w:rPr>
        <w:t>,</w:t>
      </w:r>
    </w:p>
    <w:p>
      <w:pPr>
        <w:spacing w:after="0" w:line="189" w:lineRule="exact"/>
        <w:rPr>
          <w:sz w:val="20"/>
          <w:szCs w:val="20"/>
          <w:color w:val="auto"/>
        </w:rPr>
      </w:pPr>
    </w:p>
    <w:p>
      <w:pPr>
        <w:jc w:val="both"/>
        <w:ind w:left="760" w:firstLine="1048"/>
        <w:spacing w:after="0" w:line="290" w:lineRule="auto"/>
        <w:rPr>
          <w:sz w:val="20"/>
          <w:szCs w:val="20"/>
          <w:color w:val="auto"/>
        </w:rPr>
      </w:pPr>
      <w:r>
        <w:rPr>
          <w:rFonts w:ascii="Arial" w:cs="Arial" w:eastAsia="Arial" w:hAnsi="Arial"/>
          <w:sz w:val="16"/>
          <w:szCs w:val="16"/>
          <w:color w:val="auto"/>
        </w:rPr>
        <w:t xml:space="preserve">(ii)the Borrower and the Administrative Agent may, without the input or consent of any other Lender (other than the relevant Lenders (including Additional Lenders) providing Loans under such Sections), effect amendments to this Agreement and the other Loan Documents as may be necessary in the reasonable opinion of the Borrower and the Administrative Agent to (1) effect the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5.12</w:t>
      </w:r>
      <w:r>
        <w:rPr>
          <w:rFonts w:ascii="Arial" w:cs="Arial" w:eastAsia="Arial" w:hAnsi="Arial"/>
          <w:sz w:val="16"/>
          <w:szCs w:val="16"/>
          <w:color w:val="auto"/>
        </w:rPr>
        <w:t xml:space="preserve">, </w:t>
      </w:r>
      <w:r>
        <w:rPr>
          <w:rFonts w:ascii="Arial" w:cs="Arial" w:eastAsia="Arial" w:hAnsi="Arial"/>
          <w:sz w:val="16"/>
          <w:szCs w:val="16"/>
          <w:u w:val="single" w:color="auto"/>
          <w:color w:val="auto"/>
        </w:rPr>
        <w:t>6.12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or any other provision specifying that any waiver, amendment or modification may be made with the consent or approval of the Administrative Agent and/or (2) to add terms (including representations and warranties, conditions, prepayments, covenants or events of default), in connection with the addition of any Additional Loan or Additional Commitment hereunder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9.02(c)</w:t>
      </w:r>
      <w:r>
        <w:rPr>
          <w:rFonts w:ascii="Arial" w:cs="Arial" w:eastAsia="Arial" w:hAnsi="Arial"/>
          <w:sz w:val="16"/>
          <w:szCs w:val="16"/>
          <w:color w:val="auto"/>
        </w:rPr>
        <w:t>, that are favorable to the then-existing Lenders, as reasonably determined by the Administrative Agent,</w:t>
      </w:r>
    </w:p>
    <w:p>
      <w:pPr>
        <w:spacing w:after="0" w:line="164"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(iii)if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2" w:name="page213"/>
    <w:bookmarkEnd w:id="212"/>
    <w:p>
      <w:pPr>
        <w:ind w:left="760"/>
        <w:spacing w:after="0" w:line="275" w:lineRule="auto"/>
        <w:rPr>
          <w:sz w:val="20"/>
          <w:szCs w:val="20"/>
          <w:color w:val="auto"/>
        </w:rPr>
      </w:pPr>
      <w:r>
        <w:rPr>
          <w:rFonts w:ascii="Arial" w:cs="Arial" w:eastAsia="Arial" w:hAnsi="Arial"/>
          <w:sz w:val="18"/>
          <w:szCs w:val="18"/>
          <w:color w:val="auto"/>
        </w:rPr>
        <w:t>Agent and the Borrower shall be permitted to amend such provision (without any further action or consent of any other party) solely to address such matter as reasonably determined by them acting jointly,</w:t>
      </w:r>
    </w:p>
    <w:p>
      <w:pPr>
        <w:spacing w:after="0" w:line="171" w:lineRule="exact"/>
        <w:rPr>
          <w:sz w:val="20"/>
          <w:szCs w:val="20"/>
          <w:color w:val="auto"/>
        </w:rPr>
      </w:pPr>
    </w:p>
    <w:p>
      <w:pPr>
        <w:ind w:left="760" w:firstLine="1048"/>
        <w:spacing w:after="0" w:line="275" w:lineRule="auto"/>
        <w:rPr>
          <w:sz w:val="20"/>
          <w:szCs w:val="20"/>
          <w:color w:val="auto"/>
        </w:rPr>
      </w:pPr>
      <w:r>
        <w:rPr>
          <w:rFonts w:ascii="Arial" w:cs="Arial" w:eastAsia="Arial" w:hAnsi="Arial"/>
          <w:sz w:val="18"/>
          <w:szCs w:val="18"/>
          <w:color w:val="auto"/>
        </w:rPr>
        <w:t>(iv)the Administrative Agent and the Borrower may amend, restate, amend and restate or otherwise modify any Acceptable Intercreditor Agreement as provided therein,</w:t>
      </w:r>
    </w:p>
    <w:p>
      <w:pPr>
        <w:spacing w:after="0" w:line="171" w:lineRule="exact"/>
        <w:rPr>
          <w:sz w:val="20"/>
          <w:szCs w:val="20"/>
          <w:color w:val="auto"/>
        </w:rPr>
      </w:pPr>
    </w:p>
    <w:p>
      <w:pPr>
        <w:jc w:val="both"/>
        <w:ind w:left="760" w:firstLine="1045"/>
        <w:spacing w:after="0" w:line="310" w:lineRule="auto"/>
        <w:tabs>
          <w:tab w:leader="none" w:pos="204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the Administrative Agent may amend the Commitment Schedule to reflect assignments entered into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Commitment reductions or terminations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implementations of Additional Commitments or incurrences of Additional Loans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 reductions or terminations of any such Additional Commitments or Additional Loans,</w:t>
      </w:r>
    </w:p>
    <w:p>
      <w:pPr>
        <w:spacing w:after="0" w:line="147" w:lineRule="exact"/>
        <w:rPr>
          <w:sz w:val="20"/>
          <w:szCs w:val="20"/>
          <w:color w:val="auto"/>
        </w:rPr>
      </w:pPr>
    </w:p>
    <w:p>
      <w:pPr>
        <w:jc w:val="both"/>
        <w:ind w:left="760" w:firstLine="1048"/>
        <w:spacing w:after="0" w:line="255" w:lineRule="auto"/>
        <w:rPr>
          <w:sz w:val="20"/>
          <w:szCs w:val="20"/>
          <w:color w:val="auto"/>
        </w:rPr>
      </w:pPr>
      <w:r>
        <w:rPr>
          <w:rFonts w:ascii="Arial" w:cs="Arial" w:eastAsia="Arial" w:hAnsi="Arial"/>
          <w:sz w:val="18"/>
          <w:szCs w:val="18"/>
          <w:color w:val="auto"/>
        </w:rPr>
        <w:t xml:space="preserve">(vi)no Defaulting Lender shall have any right to approve or disapprove any amendment, waiver or consent hereunder, except as permitted pursuant to </w:t>
      </w:r>
      <w:r>
        <w:rPr>
          <w:rFonts w:ascii="Arial" w:cs="Arial" w:eastAsia="Arial" w:hAnsi="Arial"/>
          <w:sz w:val="18"/>
          <w:szCs w:val="18"/>
          <w:u w:val="single" w:color="auto"/>
          <w:color w:val="auto"/>
        </w:rPr>
        <w:t>Section 2.21(b)</w:t>
      </w:r>
      <w:r>
        <w:rPr>
          <w:rFonts w:ascii="Arial" w:cs="Arial" w:eastAsia="Arial" w:hAnsi="Arial"/>
          <w:sz w:val="18"/>
          <w:szCs w:val="18"/>
          <w:color w:val="auto"/>
        </w:rPr>
        <w:t xml:space="preserve"> and except that the Commitment and any Additional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2.21(b)</w:t>
      </w:r>
      <w:r>
        <w:rPr>
          <w:rFonts w:ascii="Arial" w:cs="Arial" w:eastAsia="Arial" w:hAnsi="Arial"/>
          <w:sz w:val="18"/>
          <w:szCs w:val="18"/>
          <w:color w:val="auto"/>
        </w:rPr>
        <w:t>),</w:t>
      </w:r>
    </w:p>
    <w:p>
      <w:pPr>
        <w:spacing w:after="0" w:line="190" w:lineRule="exact"/>
        <w:rPr>
          <w:sz w:val="20"/>
          <w:szCs w:val="20"/>
          <w:color w:val="auto"/>
        </w:rPr>
      </w:pPr>
    </w:p>
    <w:p>
      <w:pPr>
        <w:jc w:val="both"/>
        <w:ind w:left="760" w:firstLine="1048"/>
        <w:spacing w:after="0" w:line="274" w:lineRule="auto"/>
        <w:rPr>
          <w:sz w:val="20"/>
          <w:szCs w:val="20"/>
          <w:color w:val="auto"/>
        </w:rPr>
      </w:pPr>
      <w:r>
        <w:rPr>
          <w:rFonts w:ascii="Arial" w:cs="Arial" w:eastAsia="Arial" w:hAnsi="Arial"/>
          <w:sz w:val="17"/>
          <w:szCs w:val="17"/>
          <w:color w:val="auto"/>
        </w:rPr>
        <w:t>(vii)this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 and</w:t>
      </w:r>
    </w:p>
    <w:p>
      <w:pPr>
        <w:spacing w:after="0" w:line="174"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(viii)any amendment, wavier or modification of any term or provision that directly affects Lenders under one or more Classes and does not directly affect Lenders under one or more other Classes may be effected by the consent of Lenders owning 50% of the aggregate Commitments and/or Loans of such directly affected Class in lieu of the consent of the Required Lenders.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9.03.Expenses; Indemnity</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82" w:lineRule="auto"/>
        <w:tabs>
          <w:tab w:leader="none" w:pos="1019"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relevant Arranger and/or the Administrative Agent), and</w:t>
      </w:r>
    </w:p>
    <w:p>
      <w:pPr>
        <w:spacing w:after="0" w:line="5" w:lineRule="exact"/>
        <w:rPr>
          <w:rFonts w:ascii="Arial" w:cs="Arial" w:eastAsia="Arial" w:hAnsi="Arial"/>
          <w:sz w:val="16"/>
          <w:szCs w:val="16"/>
          <w:color w:val="auto"/>
        </w:rPr>
      </w:pPr>
    </w:p>
    <w:p>
      <w:pPr>
        <w:jc w:val="both"/>
        <w:ind w:firstLine="7"/>
        <w:spacing w:after="0" w:line="250" w:lineRule="auto"/>
        <w:tabs>
          <w:tab w:leader="none" w:pos="27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all reasonable and documented out-of-pocket expenses incurred by the Administrative Agent, the Arrangers,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enforcement, collection or protection of their respective rights in connection with the Loan Documents, including their respective rights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or in connection with the Loans made and/or Letters of Credit issued hereunder. Except to the extent required to be paid on the Closing Date, all amounts due under this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95" w:lineRule="exact"/>
        <w:rPr>
          <w:rFonts w:ascii="Arial" w:cs="Arial" w:eastAsia="Arial" w:hAnsi="Arial"/>
          <w:sz w:val="18"/>
          <w:szCs w:val="18"/>
          <w:color w:val="auto"/>
        </w:rPr>
      </w:pPr>
    </w:p>
    <w:p>
      <w:pPr>
        <w:ind w:firstLine="756"/>
        <w:spacing w:after="0" w:line="275" w:lineRule="auto"/>
        <w:tabs>
          <w:tab w:leader="none" w:pos="1019"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Borrower shall indemnify each Arranger, the Administrative Agent, each Issuing Bank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3" w:name="page214"/>
    <w:bookmarkEnd w:id="213"/>
    <w:p>
      <w:pPr>
        <w:jc w:val="both"/>
        <w:spacing w:after="0" w:line="282" w:lineRule="auto"/>
        <w:rPr>
          <w:sz w:val="20"/>
          <w:szCs w:val="20"/>
          <w:color w:val="auto"/>
        </w:rPr>
      </w:pPr>
      <w:r>
        <w:rPr>
          <w:rFonts w:ascii="Arial" w:cs="Arial" w:eastAsia="Arial" w:hAnsi="Arial"/>
          <w:sz w:val="16"/>
          <w:szCs w:val="16"/>
          <w:color w:val="auto"/>
        </w:rPr>
        <w:t xml:space="preserve">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(x) one additional counsel to all affected Indemnitees, taken as a whole, and (y) one additional local counsel to all affected Indemnitees, taken as a whole, in each relevant jurisdiction),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to the extent such judgment finds (or any such settlement agreement acknowledges) that any such loss, claim, damage, or liability has resulted from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or any Arranger, acting in its capacity as the Administrative Agent or as an Arranger) that does not involve any act or omission of Holdings, the Borrower or any of its Subsidiaries. Each Indemnitee shall be obligated to refund or return any and all amounts paid by the Borrower pursuant to this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to such Indemnitee for any fees, expenses, or damages to the extent such Indemnitee is not entitled to payment thereof in accordance with the terms hereof. All amounts due under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This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shall not apply to Taxes other than any Taxes that represent losses, claims, damages or liabilities in respect of a non-Tax claim.</w:t>
      </w:r>
    </w:p>
    <w:p>
      <w:pPr>
        <w:spacing w:after="0" w:line="185" w:lineRule="exact"/>
        <w:rPr>
          <w:sz w:val="20"/>
          <w:szCs w:val="20"/>
          <w:color w:val="auto"/>
        </w:rPr>
      </w:pPr>
    </w:p>
    <w:p>
      <w:pPr>
        <w:jc w:val="both"/>
        <w:ind w:firstLine="756"/>
        <w:spacing w:after="0" w:line="290" w:lineRule="auto"/>
        <w:tabs>
          <w:tab w:leader="none" w:pos="101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Borrower shall not be liable for any settlement of any proceeding effected without the written consent of the Borrower (which consent shall not be unreasonably withheld, delayed or conditioned),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6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u w:val="single" w:color="auto"/>
          <w:color w:val="auto"/>
        </w:rPr>
        <w:t>Section 9.04.Waiver of Claim</w:t>
      </w:r>
      <w:r>
        <w:rPr>
          <w:rFonts w:ascii="Arial" w:cs="Arial" w:eastAsia="Arial" w:hAnsi="Arial"/>
          <w:sz w:val="18"/>
          <w:szCs w:val="18"/>
          <w:color w:val="auto"/>
        </w:rPr>
        <w:t xml:space="preserve">. To the extent permitted by applicable Requirements of Law, no party to this Agreement shall assert, and each hereby waives,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the terms of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9.05.Successors and Assigns</w:t>
      </w:r>
      <w:r>
        <w:rPr>
          <w:rFonts w:ascii="Arial" w:cs="Arial" w:eastAsia="Arial" w:hAnsi="Arial"/>
          <w:sz w:val="18"/>
          <w:szCs w:val="18"/>
          <w:color w:val="auto"/>
        </w:rPr>
        <w:t>.</w:t>
      </w:r>
    </w:p>
    <w:p>
      <w:pPr>
        <w:spacing w:after="0" w:line="223" w:lineRule="exact"/>
        <w:rPr>
          <w:sz w:val="20"/>
          <w:szCs w:val="20"/>
          <w:color w:val="auto"/>
        </w:rPr>
      </w:pPr>
    </w:p>
    <w:p>
      <w:pPr>
        <w:ind w:firstLine="756"/>
        <w:spacing w:after="0" w:line="275" w:lineRule="auto"/>
        <w:tabs>
          <w:tab w:leader="none" w:pos="101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except as provided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4" w:name="page215"/>
    <w:bookmarkEnd w:id="214"/>
    <w:p>
      <w:pPr>
        <w:jc w:val="both"/>
        <w:spacing w:after="0" w:line="269" w:lineRule="auto"/>
        <w:rPr>
          <w:sz w:val="20"/>
          <w:szCs w:val="20"/>
          <w:color w:val="auto"/>
        </w:rPr>
      </w:pPr>
      <w:r>
        <w:rPr>
          <w:rFonts w:ascii="Arial" w:cs="Arial" w:eastAsia="Arial" w:hAnsi="Arial"/>
          <w:sz w:val="17"/>
          <w:szCs w:val="17"/>
          <w:color w:val="auto"/>
        </w:rPr>
        <w:t xml:space="preserve">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the terms of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(any attempted assignment or transfer not complying with the terms of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shall be null and void and, with respect to attempted assignments or transfers to Disqualified Institutions, subject to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Nothing in this Agreement, expressed or implied, shall be construed to confer upon any Person (other than the parties hereto, their respective successors and permitted assigns, to the extent provided in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9.05</w:t>
      </w:r>
      <w:r>
        <w:rPr>
          <w:rFonts w:ascii="Arial" w:cs="Arial" w:eastAsia="Arial" w:hAnsi="Arial"/>
          <w:sz w:val="17"/>
          <w:szCs w:val="17"/>
          <w:color w:val="auto"/>
        </w:rPr>
        <w:t>, Participants and, to the extent expressly contemplated hereby, the Related Parties of each of the Arrangers, the Administrative Agent, the Issuing Banks and the Lenders) any legal or equitable right, remedy or claim under or by reason of this Agreement.</w:t>
      </w:r>
    </w:p>
    <w:p>
      <w:pPr>
        <w:spacing w:after="0" w:line="182" w:lineRule="exact"/>
        <w:rPr>
          <w:sz w:val="20"/>
          <w:szCs w:val="20"/>
          <w:color w:val="auto"/>
        </w:rPr>
      </w:pPr>
    </w:p>
    <w:p>
      <w:pPr>
        <w:jc w:val="both"/>
        <w:ind w:firstLine="756"/>
        <w:spacing w:after="0" w:line="289" w:lineRule="auto"/>
        <w:tabs>
          <w:tab w:leader="none" w:pos="101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paragraph (b)(ii)</w:t>
      </w:r>
      <w:r>
        <w:rPr>
          <w:rFonts w:ascii="Arial" w:cs="Arial" w:eastAsia="Arial" w:hAnsi="Arial"/>
          <w:sz w:val="16"/>
          <w:szCs w:val="16"/>
          <w:color w:val="auto"/>
        </w:rPr>
        <w:t xml:space="preserve"> below, any Lender may assign to one or more Eligible Assignees all or a portion of its rights and obligations under this Agreement (including all or a portion of any Additional Loan or Additional Commitment added pursuant to </w:t>
      </w:r>
      <w:r>
        <w:rPr>
          <w:rFonts w:ascii="Arial" w:cs="Arial" w:eastAsia="Arial" w:hAnsi="Arial"/>
          <w:sz w:val="16"/>
          <w:szCs w:val="16"/>
          <w:u w:val="single" w:color="auto"/>
          <w:color w:val="auto"/>
        </w:rPr>
        <w:t>Sections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9.02(c)</w:t>
      </w:r>
      <w:r>
        <w:rPr>
          <w:rFonts w:ascii="Arial" w:cs="Arial" w:eastAsia="Arial" w:hAnsi="Arial"/>
          <w:sz w:val="18"/>
          <w:szCs w:val="18"/>
          <w:color w:val="auto"/>
        </w:rPr>
        <w:t xml:space="preserve"> at the time owing to it) with the prior written consent of:</w:t>
      </w:r>
    </w:p>
    <w:p>
      <w:pPr>
        <w:spacing w:after="0" w:line="208" w:lineRule="exact"/>
        <w:rPr>
          <w:rFonts w:ascii="Arial" w:cs="Arial" w:eastAsia="Arial" w:hAnsi="Arial"/>
          <w:sz w:val="16"/>
          <w:szCs w:val="16"/>
          <w:color w:val="auto"/>
        </w:rPr>
      </w:pPr>
    </w:p>
    <w:p>
      <w:pPr>
        <w:jc w:val="both"/>
        <w:ind w:left="760" w:firstLine="745"/>
        <w:spacing w:after="0" w:line="287" w:lineRule="auto"/>
        <w:tabs>
          <w:tab w:leader="none" w:pos="183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other than in connection with the primary syndication of the Initial Term Loans, the Borrower (such consent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shall be deemed to have consented to any assignment of Term Loans unless it has objected thereto by written notice to the Administrative Agent within 10 Business Days after receipt of written notice thereof, (y) the consent of the Borrower shall not be required for any assignment at any time when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7.01(f)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(with respect to the Borrower) exists and (z) the consent of the Borrower shall not be required (1) for any assignment of Term Loans or Term Commitments to any Term Lender or any Affiliate of any Term Lender or an Approved Fund or (2) for any assignment of Revolving Credit Commitments or Revolving Loans to any Revolving Lender or any Affiliate of any Revolving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foregoing, the Borrower may withhold its consent to any assignment to any Person (other than a Bona Fide Debt Fund that is a Company Competitor) that is not a Disqualified Institution but is known by the Borrower to be an Affiliate of a Disqualified Institution regardless of whether such Person is identifiable as an Affiliate of a Disqualified Institution on the basis of such Affiliate’s name;</w:t>
      </w:r>
    </w:p>
    <w:p>
      <w:pPr>
        <w:spacing w:after="0" w:line="164" w:lineRule="exact"/>
        <w:rPr>
          <w:rFonts w:ascii="Arial" w:cs="Arial" w:eastAsia="Arial" w:hAnsi="Arial"/>
          <w:sz w:val="16"/>
          <w:szCs w:val="16"/>
          <w:color w:val="auto"/>
        </w:rPr>
      </w:pPr>
    </w:p>
    <w:p>
      <w:pPr>
        <w:ind w:left="760" w:firstLine="745"/>
        <w:spacing w:after="0" w:line="305" w:lineRule="auto"/>
        <w:tabs>
          <w:tab w:leader="none" w:pos="1839" w:val="left"/>
        </w:tabs>
        <w:numPr>
          <w:ilvl w:val="1"/>
          <w:numId w:val="264"/>
        </w:numPr>
        <w:rPr>
          <w:rFonts w:ascii="Arial" w:cs="Arial" w:eastAsia="Arial" w:hAnsi="Arial"/>
          <w:sz w:val="17"/>
          <w:szCs w:val="17"/>
          <w:color w:val="auto"/>
        </w:rPr>
      </w:pPr>
      <w:r>
        <w:rPr>
          <w:rFonts w:ascii="Arial" w:cs="Arial" w:eastAsia="Arial" w:hAnsi="Arial"/>
          <w:sz w:val="17"/>
          <w:szCs w:val="17"/>
          <w:color w:val="auto"/>
        </w:rPr>
        <w:t xml:space="preserve">the Administrative Agent (such consent not to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that no consent of the Administrative Agent shall be required for any assignment to another Lender, any Affiliate of a Lender or any Approved Fund; and</w:t>
      </w:r>
    </w:p>
    <w:p>
      <w:pPr>
        <w:spacing w:after="0" w:line="148" w:lineRule="exact"/>
        <w:rPr>
          <w:rFonts w:ascii="Arial" w:cs="Arial" w:eastAsia="Arial" w:hAnsi="Arial"/>
          <w:sz w:val="17"/>
          <w:szCs w:val="17"/>
          <w:color w:val="auto"/>
        </w:rPr>
      </w:pPr>
    </w:p>
    <w:p>
      <w:pPr>
        <w:jc w:val="both"/>
        <w:ind w:left="760" w:firstLine="745"/>
        <w:spacing w:after="0" w:line="262" w:lineRule="auto"/>
        <w:tabs>
          <w:tab w:leader="none" w:pos="184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in the case of any Revolving Facility, each Issuing Bank and the Swingline Lender, in each case,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any Issuing Bank or Swingline Lender shall be required for any assignment to another Revolving Lender or any Affiliate of a Revolving Lender.</w:t>
      </w:r>
    </w:p>
    <w:p>
      <w:pPr>
        <w:spacing w:after="0" w:line="182" w:lineRule="exact"/>
        <w:rPr>
          <w:sz w:val="20"/>
          <w:szCs w:val="20"/>
          <w:color w:val="auto"/>
        </w:rPr>
      </w:pPr>
    </w:p>
    <w:p>
      <w:pPr>
        <w:ind w:left="1080" w:hanging="3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2" w:lineRule="exact"/>
        <w:rPr>
          <w:rFonts w:ascii="Arial" w:cs="Arial" w:eastAsia="Arial" w:hAnsi="Arial"/>
          <w:sz w:val="18"/>
          <w:szCs w:val="18"/>
          <w:color w:val="auto"/>
        </w:rPr>
      </w:pPr>
    </w:p>
    <w:p>
      <w:pPr>
        <w:jc w:val="both"/>
        <w:ind w:left="760" w:firstLine="745"/>
        <w:spacing w:after="0" w:line="253" w:lineRule="auto"/>
        <w:tabs>
          <w:tab w:leader="none" w:pos="184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and Assumption with respect to such assignment is delivered to the Administrative Agent and determined on an aggregate basis in the event of concurrent assignments to Related Funds of the assignee or by Related Funds of the assigning Lender) shall not be less than (x) $1,000,000, in the case of Term Loans and Term Commitments and (y) $5,000,000 in the case of Revolving Loans and Revolving Credit Commitments, unless the Borrower and the Administrative Agent otherwise consent;</w:t>
      </w:r>
    </w:p>
    <w:p>
      <w:pPr>
        <w:spacing w:after="0" w:line="192" w:lineRule="exact"/>
        <w:rPr>
          <w:rFonts w:ascii="Arial" w:cs="Arial" w:eastAsia="Arial" w:hAnsi="Arial"/>
          <w:sz w:val="18"/>
          <w:szCs w:val="18"/>
          <w:color w:val="auto"/>
        </w:rPr>
      </w:pPr>
    </w:p>
    <w:p>
      <w:pPr>
        <w:ind w:left="760" w:firstLine="745"/>
        <w:spacing w:after="0" w:line="275" w:lineRule="auto"/>
        <w:tabs>
          <w:tab w:leader="none" w:pos="185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partial assignment shall be made as an assignment of a proportionate part of all the relevant assigning Lender’s rights and obligations under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5" w:name="page216"/>
    <w:bookmarkEnd w:id="215"/>
    <w:p>
      <w:pPr>
        <w:jc w:val="both"/>
        <w:ind w:left="760" w:firstLine="745"/>
        <w:spacing w:after="0" w:line="277" w:lineRule="auto"/>
        <w:tabs>
          <w:tab w:leader="none" w:pos="1867"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Administrative Agent an Assignment and Assumption via an electronic settlement system acceptable to the Administrative Agent (or, if previously agreed with the Administrative Agent, manually), and shall pay to the Administrative Agent a processing and recordation fee of $3,500 (which fee (i) shall not apply to an assignment by a Lender to its controlled Affiliates and (ii) may otherwise be waived or reduced in the sole discretion of the Administrative Agent); and</w:t>
      </w:r>
    </w:p>
    <w:p>
      <w:pPr>
        <w:spacing w:after="0" w:line="172" w:lineRule="exact"/>
        <w:rPr>
          <w:rFonts w:ascii="Arial" w:cs="Arial" w:eastAsia="Arial" w:hAnsi="Arial"/>
          <w:sz w:val="17"/>
          <w:szCs w:val="17"/>
          <w:color w:val="auto"/>
        </w:rPr>
      </w:pPr>
    </w:p>
    <w:p>
      <w:pPr>
        <w:ind w:left="760" w:firstLine="745"/>
        <w:spacing w:after="0" w:line="305" w:lineRule="auto"/>
        <w:tabs>
          <w:tab w:leader="none" w:pos="186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 xml:space="preserve">the relevant Eligible Assignee, if it is not a Lender, shall deliver on or prior to the effective date of such assignment, to the Administrative Agent (1) an Administrative Questionnaire and (2) any IRS form and/or other documentation required under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jc w:val="both"/>
        <w:ind w:firstLine="756"/>
        <w:spacing w:after="0" w:line="286" w:lineRule="auto"/>
        <w:tabs>
          <w:tab w:leader="none" w:pos="10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Subject to the acceptance and recording thereof pursuant to </w:t>
      </w:r>
      <w:r>
        <w:rPr>
          <w:rFonts w:ascii="Arial" w:cs="Arial" w:eastAsia="Arial" w:hAnsi="Arial"/>
          <w:sz w:val="16"/>
          <w:szCs w:val="16"/>
          <w:u w:val="single" w:color="auto"/>
          <w:color w:val="auto"/>
        </w:rPr>
        <w:t>paragraph (b)(iv)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from and after the effective date specified in any Assignment and Assumption, the Eligible Assignee thereunder shall be a party hereto and, to the extent of the interest assigned pursuant to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(A)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on or prior to the effective date of such assignment and (B) subject to its obligations thereunder and under </w:t>
      </w:r>
      <w:r>
        <w:rPr>
          <w:rFonts w:ascii="Arial" w:cs="Arial" w:eastAsia="Arial" w:hAnsi="Arial"/>
          <w:sz w:val="16"/>
          <w:szCs w:val="16"/>
          <w:u w:val="single" w:color="auto"/>
          <w:color w:val="auto"/>
        </w:rPr>
        <w:t>Section 9.13</w:t>
      </w:r>
      <w:r>
        <w:rPr>
          <w:rFonts w:ascii="Arial" w:cs="Arial" w:eastAsia="Arial" w:hAnsi="Arial"/>
          <w:sz w:val="16"/>
          <w:szCs w:val="16"/>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168" w:lineRule="exact"/>
        <w:rPr>
          <w:rFonts w:ascii="Arial" w:cs="Arial" w:eastAsia="Arial" w:hAnsi="Arial"/>
          <w:sz w:val="16"/>
          <w:szCs w:val="16"/>
          <w:color w:val="auto"/>
        </w:rPr>
      </w:pPr>
    </w:p>
    <w:p>
      <w:pPr>
        <w:jc w:val="both"/>
        <w:ind w:firstLine="756"/>
        <w:spacing w:after="0" w:line="252" w:lineRule="auto"/>
        <w:tabs>
          <w:tab w:leader="none" w:pos="107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notice.</w:t>
      </w:r>
    </w:p>
    <w:p>
      <w:pPr>
        <w:spacing w:after="0" w:line="193" w:lineRule="exact"/>
        <w:rPr>
          <w:rFonts w:ascii="Arial" w:cs="Arial" w:eastAsia="Arial" w:hAnsi="Arial"/>
          <w:sz w:val="18"/>
          <w:szCs w:val="18"/>
          <w:color w:val="auto"/>
        </w:rPr>
      </w:pPr>
    </w:p>
    <w:p>
      <w:pPr>
        <w:jc w:val="both"/>
        <w:ind w:firstLine="756"/>
        <w:spacing w:after="0" w:line="254" w:lineRule="auto"/>
        <w:tabs>
          <w:tab w:leader="none" w:pos="10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Assumption executed by an assigning Lender and an Eligible Assignee, the Eligible Assignee’s completed Administrative Questionnaire and any tax certification required by </w:t>
      </w:r>
      <w:r>
        <w:rPr>
          <w:rFonts w:ascii="Arial" w:cs="Arial" w:eastAsia="Arial" w:hAnsi="Arial"/>
          <w:sz w:val="18"/>
          <w:szCs w:val="18"/>
          <w:u w:val="single" w:color="auto"/>
          <w:color w:val="auto"/>
        </w:rPr>
        <w:t>Section 9.05(b)(ii)(D)(2)</w:t>
      </w:r>
      <w:r>
        <w:rPr>
          <w:rFonts w:ascii="Arial" w:cs="Arial" w:eastAsia="Arial" w:hAnsi="Arial"/>
          <w:sz w:val="18"/>
          <w:szCs w:val="18"/>
          <w:color w:val="auto"/>
        </w:rPr>
        <w:t xml:space="preserve"> (unless the assignee is already a Lender hereunder), the processing and recordation fee referred to in </w:t>
      </w:r>
      <w:r>
        <w:rPr>
          <w:rFonts w:ascii="Arial" w:cs="Arial" w:eastAsia="Arial" w:hAnsi="Arial"/>
          <w:sz w:val="18"/>
          <w:szCs w:val="18"/>
          <w:u w:val="single" w:color="auto"/>
          <w:color w:val="auto"/>
        </w:rPr>
        <w:t>Section 9.05(b)(ii)(C)</w:t>
      </w:r>
      <w:r>
        <w:rPr>
          <w:rFonts w:ascii="Arial" w:cs="Arial" w:eastAsia="Arial" w:hAnsi="Arial"/>
          <w:sz w:val="18"/>
          <w:szCs w:val="18"/>
          <w:color w:val="auto"/>
        </w:rPr>
        <w:t xml:space="preserve">, if applicable, and any written consent to the relevant assignment required by </w:t>
      </w:r>
      <w:r>
        <w:rPr>
          <w:rFonts w:ascii="Arial" w:cs="Arial" w:eastAsia="Arial" w:hAnsi="Arial"/>
          <w:sz w:val="18"/>
          <w:szCs w:val="18"/>
          <w:u w:val="single" w:color="auto"/>
          <w:color w:val="auto"/>
        </w:rPr>
        <w:t>Section 9.05(b)(i)</w:t>
      </w:r>
      <w:r>
        <w:rPr>
          <w:rFonts w:ascii="Arial" w:cs="Arial" w:eastAsia="Arial" w:hAnsi="Arial"/>
          <w:sz w:val="18"/>
          <w:szCs w:val="18"/>
          <w:color w:val="auto"/>
        </w:rPr>
        <w:t>, the Administrative Agent shall promptly accept such Assignment and Assumption and record the information contained therein in the Register. No assignment shall be effective for purposes of this Agreement unless it has been recorded in the Register as provided in this paragraph.</w:t>
      </w:r>
    </w:p>
    <w:p>
      <w:pPr>
        <w:spacing w:after="0" w:line="190" w:lineRule="exact"/>
        <w:rPr>
          <w:rFonts w:ascii="Arial" w:cs="Arial" w:eastAsia="Arial" w:hAnsi="Arial"/>
          <w:sz w:val="18"/>
          <w:szCs w:val="18"/>
          <w:color w:val="auto"/>
        </w:rPr>
      </w:pPr>
    </w:p>
    <w:p>
      <w:pPr>
        <w:jc w:val="both"/>
        <w:ind w:firstLine="756"/>
        <w:spacing w:after="0" w:line="290" w:lineRule="auto"/>
        <w:tabs>
          <w:tab w:leader="none" w:pos="108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By executing and delivering an Assignment and Assumption,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and Assumption, (B) except as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6" w:name="page217"/>
    <w:bookmarkEnd w:id="216"/>
    <w:p>
      <w:pPr>
        <w:jc w:val="both"/>
        <w:spacing w:after="0" w:line="287" w:lineRule="auto"/>
        <w:rPr>
          <w:sz w:val="20"/>
          <w:szCs w:val="20"/>
          <w:color w:val="auto"/>
        </w:rPr>
      </w:pPr>
      <w:r>
        <w:rPr>
          <w:rFonts w:ascii="Arial" w:cs="Arial" w:eastAsia="Arial" w:hAnsi="Arial"/>
          <w:sz w:val="16"/>
          <w:szCs w:val="16"/>
          <w:color w:val="auto"/>
        </w:rPr>
        <w:t xml:space="preserve">financial condition of Holdings,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an Eligible Assignee, legally authorized to enter into such Assignment and Assumption; (D) the assignee confirms that it has received a copy of this Agreement, the most recent financial statements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and Assumption;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w:t>
      </w:r>
    </w:p>
    <w:p>
      <w:pPr>
        <w:spacing w:after="0" w:line="165" w:lineRule="exact"/>
        <w:rPr>
          <w:sz w:val="20"/>
          <w:szCs w:val="20"/>
          <w:color w:val="auto"/>
        </w:rPr>
      </w:pPr>
    </w:p>
    <w:p>
      <w:pPr>
        <w:jc w:val="both"/>
        <w:ind w:firstLine="756"/>
        <w:spacing w:after="0" w:line="283" w:lineRule="auto"/>
        <w:tabs>
          <w:tab w:leader="none" w:pos="101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Borrower, the Administrative Agent, any Issuing Bank or any other Lender, sell participations to any bank or other entity (other than to any Disqualified Institution, any natural Person or, other than with respect to any participation to any Debt Fund Affiliate (any such participations to a Debt Fund Affiliate being subject to the limitation set forth in the first proviso of the penultimate paragraph set forth in </w:t>
      </w:r>
      <w:r>
        <w:rPr>
          <w:rFonts w:ascii="Arial" w:cs="Arial" w:eastAsia="Arial" w:hAnsi="Arial"/>
          <w:sz w:val="16"/>
          <w:szCs w:val="16"/>
          <w:u w:val="single" w:color="auto"/>
          <w:color w:val="auto"/>
        </w:rPr>
        <w:t>Section 9.05(g)</w:t>
      </w:r>
      <w:r>
        <w:rPr>
          <w:rFonts w:ascii="Arial" w:cs="Arial" w:eastAsia="Arial" w:hAnsi="Arial"/>
          <w:sz w:val="16"/>
          <w:szCs w:val="16"/>
          <w:color w:val="auto"/>
        </w:rPr>
        <w:t>, as if the limitation applied to such participations), the Borrower or any of its Affiliates)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relevant Participant, agree to any amendment, modification or waiver described in (x)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directly and adversely affects the Loans or Commitments in which such Participant has an interest and (y) </w:t>
      </w:r>
      <w:r>
        <w:rPr>
          <w:rFonts w:ascii="Arial" w:cs="Arial" w:eastAsia="Arial" w:hAnsi="Arial"/>
          <w:sz w:val="16"/>
          <w:szCs w:val="16"/>
          <w:u w:val="single" w:color="auto"/>
          <w:color w:val="auto"/>
        </w:rPr>
        <w:t>clauses (B)(1)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the first proviso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9.02(b)</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paragraph (c)(ii)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(subject to the limitations and requirements of such Sections and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and it being understood that the documentation required under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be delivered to the participating Lender, and if additional amounts are required to be paid pursuant to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by the participating Lender to the Borrower and the Administrative Agent. To the extent permitted by applicable Requirements of Law, each Participant also shall be entitled to the benefits of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w:t>
      </w:r>
    </w:p>
    <w:p>
      <w:pPr>
        <w:spacing w:after="0" w:line="179" w:lineRule="exact"/>
        <w:rPr>
          <w:rFonts w:ascii="Arial" w:cs="Arial" w:eastAsia="Arial" w:hAnsi="Arial"/>
          <w:sz w:val="16"/>
          <w:szCs w:val="16"/>
          <w:color w:val="auto"/>
        </w:rPr>
      </w:pPr>
    </w:p>
    <w:p>
      <w:pPr>
        <w:jc w:val="both"/>
        <w:ind w:firstLine="1505"/>
        <w:spacing w:after="0" w:line="277" w:lineRule="auto"/>
        <w:tabs>
          <w:tab w:leader="none" w:pos="1792" w:val="left"/>
        </w:tabs>
        <w:numPr>
          <w:ilvl w:val="1"/>
          <w:numId w:val="268"/>
        </w:numPr>
        <w:rPr>
          <w:rFonts w:ascii="Arial" w:cs="Arial" w:eastAsia="Arial" w:hAnsi="Arial"/>
          <w:sz w:val="17"/>
          <w:szCs w:val="17"/>
          <w:color w:val="auto"/>
        </w:rPr>
      </w:pPr>
      <w:r>
        <w:rPr>
          <w:rFonts w:ascii="Arial" w:cs="Arial" w:eastAsia="Arial" w:hAnsi="Arial"/>
          <w:sz w:val="17"/>
          <w:szCs w:val="17"/>
          <w:color w:val="auto"/>
        </w:rPr>
        <w:t xml:space="preserve">No Participant shall be entitled to receive any greater payment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than the participating Lender would have been entitled to receive with respect to the participation sold to such Participant, unless the sale of the participation to such Participant is made with the Borrower’s prior written consent (in its sole discretion), expressly acknowledging that such Participant’s entitlement to benefits under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is not limited to what the participating Lender would have been entitled to receive absent the participation.</w:t>
      </w:r>
    </w:p>
    <w:p>
      <w:pPr>
        <w:spacing w:after="0" w:line="17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their respective successors and registered assigns, and the principal and interest amounts of each Participant’s interest in the Loans or other obligations under the Loan Documents (a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any Participant Register (including the identity of any Participant or any 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of the Treasury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7" w:name="page218"/>
    <w:bookmarkEnd w:id="217"/>
    <w:p>
      <w:pPr>
        <w:jc w:val="both"/>
        <w:spacing w:after="0" w:line="310" w:lineRule="auto"/>
        <w:rPr>
          <w:sz w:val="20"/>
          <w:szCs w:val="20"/>
          <w:color w:val="auto"/>
        </w:rPr>
      </w:pPr>
      <w:r>
        <w:rPr>
          <w:rFonts w:ascii="Arial" w:cs="Arial" w:eastAsia="Arial" w:hAnsi="Arial"/>
          <w:sz w:val="16"/>
          <w:szCs w:val="16"/>
          <w:color w:val="auto"/>
        </w:rPr>
        <w:t>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7" w:lineRule="exact"/>
        <w:rPr>
          <w:sz w:val="20"/>
          <w:szCs w:val="20"/>
          <w:color w:val="auto"/>
        </w:rPr>
      </w:pPr>
    </w:p>
    <w:p>
      <w:pPr>
        <w:jc w:val="both"/>
        <w:ind w:firstLine="756"/>
        <w:spacing w:after="0" w:line="255" w:lineRule="auto"/>
        <w:tabs>
          <w:tab w:leader="none" w:pos="101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 Any Lender may at any time pledge or assign a security interest in all or any portion of its rights under this Agreement (other than to any Disqualified Institution or any natural person) to secure obligations of such Lender, including, without limitation, any pledge or assignment to secure obligations to any Federal Reserve Bank or other central bank having jurisdiction over such Lender, and this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any Lender from any of its obligations hereunder or substitute any such pledgee or assignee for such Lender as a party hereto.</w:t>
      </w:r>
    </w:p>
    <w:p>
      <w:pPr>
        <w:spacing w:after="0" w:line="190" w:lineRule="exact"/>
        <w:rPr>
          <w:rFonts w:ascii="Arial" w:cs="Arial" w:eastAsia="Arial" w:hAnsi="Arial"/>
          <w:sz w:val="18"/>
          <w:szCs w:val="18"/>
          <w:color w:val="auto"/>
        </w:rPr>
      </w:pPr>
    </w:p>
    <w:p>
      <w:pPr>
        <w:ind w:firstLine="1505"/>
        <w:spacing w:after="0" w:line="275" w:lineRule="auto"/>
        <w:tabs>
          <w:tab w:leader="none" w:pos="182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No Lender may at any time enter into a total return swap, total rate of return swap, credit default swap or other derivative instrument under which any Secured Obligation is a reference obligation with any counterparty that is a Disqualified Institution.</w:t>
      </w:r>
    </w:p>
    <w:p>
      <w:pPr>
        <w:spacing w:after="0" w:line="170" w:lineRule="exact"/>
        <w:rPr>
          <w:rFonts w:ascii="Arial" w:cs="Arial" w:eastAsia="Arial" w:hAnsi="Arial"/>
          <w:sz w:val="18"/>
          <w:szCs w:val="18"/>
          <w:color w:val="auto"/>
        </w:rPr>
      </w:pPr>
    </w:p>
    <w:p>
      <w:pPr>
        <w:jc w:val="both"/>
        <w:ind w:firstLine="756"/>
        <w:spacing w:after="0" w:line="283" w:lineRule="auto"/>
        <w:tabs>
          <w:tab w:leader="none" w:pos="101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no SPC shall be entitled to any greater amount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Arial" w:cs="Arial" w:eastAsia="Arial" w:hAnsi="Arial"/>
          <w:sz w:val="16"/>
          <w:szCs w:val="16"/>
          <w:u w:val="single" w:color="auto"/>
          <w:color w:val="auto"/>
        </w:rPr>
        <w:t>Section 9.05</w:t>
      </w:r>
      <w:r>
        <w:rPr>
          <w:rFonts w:ascii="Arial" w:cs="Arial" w:eastAsia="Arial" w:hAnsi="Arial"/>
          <w:sz w:val="16"/>
          <w:szCs w:val="16"/>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384" w:lineRule="exact"/>
        <w:rPr>
          <w:rFonts w:ascii="Arial" w:cs="Arial" w:eastAsia="Arial" w:hAnsi="Arial"/>
          <w:sz w:val="16"/>
          <w:szCs w:val="16"/>
          <w:color w:val="auto"/>
        </w:rPr>
      </w:pPr>
    </w:p>
    <w:p>
      <w:pPr>
        <w:jc w:val="both"/>
        <w:ind w:firstLine="756"/>
        <w:spacing w:after="0" w:line="254" w:lineRule="auto"/>
        <w:tabs>
          <w:tab w:leader="none" w:pos="101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 Any assignment or participation by a Lender without the Borrower’s consent to any Disqualified Institution or any Affiliate thereof shall be subject to the provisions of this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and the Borrower shall be entitled to seek specific performance to enforce this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in addition to injunctive relief (without posting a bond or presenting evidence of irreparable harm) or any other remedies available to the Borrower at law or in equity; it being understood and agreed that Holdings, the Borrower and its Subsidiaries will suffer irreparable harm if any Lender breaches any obligation under this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as it relates to any assignment, participation or pledge of any Loan or Commitment to any Disqualified Institution or any Affiliate thereof or any other Person to whom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8" w:name="page219"/>
    <w:bookmarkEnd w:id="218"/>
    <w:p>
      <w:pPr>
        <w:jc w:val="both"/>
        <w:spacing w:after="0" w:line="272" w:lineRule="auto"/>
        <w:rPr>
          <w:sz w:val="20"/>
          <w:szCs w:val="20"/>
          <w:color w:val="auto"/>
        </w:rPr>
      </w:pPr>
      <w:r>
        <w:rPr>
          <w:rFonts w:ascii="Arial" w:cs="Arial" w:eastAsia="Arial" w:hAnsi="Arial"/>
          <w:sz w:val="17"/>
          <w:szCs w:val="17"/>
          <w:color w:val="auto"/>
        </w:rPr>
        <w:t xml:space="preserve">Borrower’s consent is required but not obtained. Nothing in this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shall be deemed to prejudice any right or remedy that Holdings or the Borrower may otherwise have at law or equity. Upon the request of any Lender, the Administrative Agent and the Borrower may make the list of Disqualified Institutions (other than any Disqualified Institution that is a reasonably identifiable Affiliate of another Disqualified Institution on the basis of such Person’s name) available to such Lender so long as such Lender agrees to keep the list of Disqualified Institutions confidential in accordance with the terms hereof and such Lender may provide such list of Disqualified Institutions to any potential assignee or participant on a confidential basis, solely for the purpose pf permitting such potential assignee or participant to verify whether such Person constitutes a Disqualified Institution.</w:t>
      </w:r>
    </w:p>
    <w:p>
      <w:pPr>
        <w:spacing w:after="0" w:line="176" w:lineRule="exact"/>
        <w:rPr>
          <w:sz w:val="20"/>
          <w:szCs w:val="20"/>
          <w:color w:val="auto"/>
        </w:rPr>
      </w:pPr>
    </w:p>
    <w:p>
      <w:pPr>
        <w:jc w:val="both"/>
        <w:ind w:firstLine="1505"/>
        <w:spacing w:after="0" w:line="282" w:lineRule="auto"/>
        <w:tabs>
          <w:tab w:leader="none" w:pos="1804"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is made to any Affiliate of any Disqualified Institution (other than any Bona Fide Debt Fund) without the Borrower’s prior written consent (any such person, a “</w:t>
      </w:r>
      <w:r>
        <w:rPr>
          <w:rFonts w:ascii="Arial" w:cs="Arial" w:eastAsia="Arial" w:hAnsi="Arial"/>
          <w:sz w:val="16"/>
          <w:szCs w:val="16"/>
          <w:u w:val="single" w:color="auto"/>
          <w:color w:val="auto"/>
        </w:rPr>
        <w:t>Disqualified Person</w:t>
      </w:r>
      <w:r>
        <w:rPr>
          <w:rFonts w:ascii="Arial" w:cs="Arial" w:eastAsia="Arial" w:hAnsi="Arial"/>
          <w:sz w:val="16"/>
          <w:szCs w:val="16"/>
          <w:color w:val="auto"/>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lesser of (x) par and (y) the amount that such Disqualified Person paid to acquire such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all of its interests, rights and obligations under this Agreement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the applicable Disqualified Person has received payment of an amount equal to the lesser of</w:t>
      </w:r>
    </w:p>
    <w:p>
      <w:pPr>
        <w:spacing w:after="0" w:line="5" w:lineRule="exact"/>
        <w:rPr>
          <w:rFonts w:ascii="Arial" w:cs="Arial" w:eastAsia="Arial" w:hAnsi="Arial"/>
          <w:sz w:val="16"/>
          <w:szCs w:val="16"/>
          <w:color w:val="auto"/>
        </w:rPr>
      </w:pPr>
    </w:p>
    <w:p>
      <w:pPr>
        <w:jc w:val="both"/>
        <w:ind w:firstLine="7"/>
        <w:spacing w:after="0" w:line="280" w:lineRule="auto"/>
        <w:tabs>
          <w:tab w:leader="none" w:pos="27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par and (2) the amount that such Disqualified Person paid for the applicable Loans and participations in Letters of Credit and Swingline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from the Borrower, (II)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Borrower shall not be liable to the relevant Disqualified Person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any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Loan owing to such Disqualified Person is repaid or purchased other than on the last day of the Interest Period relating thereto, (III)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the relevant assignment shall otherwise comply with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(except that (x) no registration and processing fee required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aggregate principal amount of Term Loans held by Affiliated Lenders exceeds the Affiliated Lender Cap on the 91st day following such transfer, then such excess amount shall either be (x) contributed to Holdings, the Borrower or any of its Subsidiaries and retired and cancelled immediately upon such contribution or (y) automatically cancelled) and (IV) in no event shall such Disqualified Person be entitled to receive amounts set forth in </w:t>
      </w:r>
      <w:r>
        <w:rPr>
          <w:rFonts w:ascii="Arial" w:cs="Arial" w:eastAsia="Arial" w:hAnsi="Arial"/>
          <w:sz w:val="16"/>
          <w:szCs w:val="16"/>
          <w:u w:val="single" w:color="auto"/>
          <w:color w:val="auto"/>
        </w:rPr>
        <w:t>Section 2.13(d)</w:t>
      </w:r>
      <w:r>
        <w:rPr>
          <w:rFonts w:ascii="Arial" w:cs="Arial" w:eastAsia="Arial" w:hAnsi="Arial"/>
          <w:sz w:val="16"/>
          <w:szCs w:val="16"/>
          <w:color w:val="auto"/>
        </w:rPr>
        <w:t>. Further, the Borrower may, upon notice to the Administrative Agent, require that such Disqualified Person (A) will not receive information or reporting provided by any Loan Party, the Administrative Agent or any Lender and will not be permitted to attend or participate in conference calls or meetings attended solely by the Lenders and the Administrative Agent, (B) (x)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shall not have any right to consent (or not consent), otherwise act or direct or require the Administrative Agent or any Lender to take (or refrain from taking) any such action, and all Loans held by any Disqualified Person shall be deemed to be not outstanding for all purposes of calculating whether the Required Lenders, majority Lenders under any Class or all Lenders have taken any actions, and (y) hereby agrees that if a proceeding under any Debtor Relief Law shall be commenced by or against the Borrower or any other Loan Party, such Disqualified Person will be deemed to vote in the same proportion as Lenders that are not Disqualified Persons and</w:t>
      </w:r>
    </w:p>
    <w:p>
      <w:pPr>
        <w:spacing w:after="0" w:line="6"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7"/>
          <w:szCs w:val="17"/>
          <w:color w:val="auto"/>
        </w:rPr>
        <w:t xml:space="preserve">(C) hereby agrees that the provisions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not apply in favor of such Disqualified Persons. For the sake of clarity, the provisions in this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shall not apply to any Person that is an assignee of a Disqualified Persons, if such assignee is not a Disqualified Person.</w:t>
      </w:r>
    </w:p>
    <w:p>
      <w:pPr>
        <w:spacing w:after="0" w:line="162" w:lineRule="exact"/>
        <w:rPr>
          <w:rFonts w:ascii="Arial" w:cs="Arial" w:eastAsia="Arial" w:hAnsi="Arial"/>
          <w:sz w:val="16"/>
          <w:szCs w:val="16"/>
          <w:color w:val="auto"/>
        </w:rPr>
      </w:pPr>
    </w:p>
    <w:p>
      <w:pPr>
        <w:jc w:val="both"/>
        <w:ind w:firstLine="1505"/>
        <w:spacing w:after="0" w:line="255" w:lineRule="auto"/>
        <w:tabs>
          <w:tab w:leader="none" w:pos="180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Notwithstanding anything to the contrary herein, each of Holdings, the Borrower and each Lender acknowledges and agrees that the Administrative Agent, in its capacity as such, shall not be responsible or have any liability for, or have any duty to ascertain, inquire into, monitor or enforce, compliance with the provisions hereof relating to Disqualified Institutions or Disqualified Persons, including whether any Lender or potential Lender is a Disqualified Institution or Disqualified Person. Without limiting the generality of the foregoing, the Administrative Agent, in its capacity as such, shall not (x)‎ be obligated to ascertain, monitor or inquire as to whether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19" w:name="page220"/>
    <w:bookmarkEnd w:id="219"/>
    <w:p>
      <w:pPr>
        <w:jc w:val="both"/>
        <w:spacing w:after="0" w:line="258" w:lineRule="auto"/>
        <w:rPr>
          <w:sz w:val="20"/>
          <w:szCs w:val="20"/>
          <w:color w:val="auto"/>
        </w:rPr>
      </w:pPr>
      <w:r>
        <w:rPr>
          <w:rFonts w:ascii="Arial" w:cs="Arial" w:eastAsia="Arial" w:hAnsi="Arial"/>
          <w:sz w:val="18"/>
          <w:szCs w:val="18"/>
          <w:color w:val="auto"/>
        </w:rPr>
        <w:t>any Lender or participant or prospective Lender or participant is a Disqualified Institution or a Disqualified Person or (y) have any liability with respect to or arising out of any assignment or participation of Loans or Commitments, or disclosure of confidential information, to any ‎Disqualified Institution or Disqualified Person (regardless of whether the consent of the Administrative Agent is required thereto), and none of the Borrower, any Lender or their respective Affiliates will bring any claim to such effect.</w:t>
      </w:r>
    </w:p>
    <w:p>
      <w:pPr>
        <w:spacing w:after="0" w:line="185" w:lineRule="exact"/>
        <w:rPr>
          <w:sz w:val="20"/>
          <w:szCs w:val="20"/>
          <w:color w:val="auto"/>
        </w:rPr>
      </w:pPr>
    </w:p>
    <w:p>
      <w:pPr>
        <w:jc w:val="both"/>
        <w:ind w:firstLine="756"/>
        <w:spacing w:after="0" w:line="258" w:lineRule="auto"/>
        <w:tabs>
          <w:tab w:leader="none" w:pos="101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without the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rFonts w:ascii="Arial" w:cs="Arial" w:eastAsia="Arial" w:hAnsi="Arial"/>
          <w:sz w:val="18"/>
          <w:szCs w:val="18"/>
          <w:color w:val="auto"/>
        </w:rPr>
      </w:pPr>
    </w:p>
    <w:p>
      <w:pPr>
        <w:jc w:val="both"/>
        <w:ind w:left="760" w:firstLine="1045"/>
        <w:spacing w:after="0" w:line="254" w:lineRule="auto"/>
        <w:tabs>
          <w:tab w:leader="none" w:pos="204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any Term Loans acquired by Holdings, the Borrower or any of their respective Restricted Subsidiaries shall, to the extent permitted by applicable Requirements of Law, be retired and cancelled immediately upon the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shall be reduced on a pro rata basis by the full par value of the aggregate principal amount of Term Loans so cancelled;</w:t>
      </w:r>
    </w:p>
    <w:p>
      <w:pPr>
        <w:spacing w:after="0" w:line="191" w:lineRule="exact"/>
        <w:rPr>
          <w:sz w:val="20"/>
          <w:szCs w:val="20"/>
          <w:color w:val="auto"/>
        </w:rPr>
      </w:pPr>
    </w:p>
    <w:p>
      <w:pPr>
        <w:jc w:val="both"/>
        <w:ind w:left="760" w:firstLine="1048"/>
        <w:spacing w:after="0" w:line="292" w:lineRule="auto"/>
        <w:rPr>
          <w:sz w:val="20"/>
          <w:szCs w:val="20"/>
          <w:color w:val="auto"/>
        </w:rPr>
      </w:pPr>
      <w:r>
        <w:rPr>
          <w:rFonts w:ascii="Arial" w:cs="Arial" w:eastAsia="Arial" w:hAnsi="Arial"/>
          <w:sz w:val="16"/>
          <w:szCs w:val="16"/>
          <w:color w:val="auto"/>
        </w:rPr>
        <w:t xml:space="preserve">(ii)any Term Loans acquired by any Non-Debt Fund Affiliate may (but shall not be required to) be contributed to Holdings, the Borrower or any of their Subsidiaries (it being understood that any such Term Loans shall, to the extent permitted by applicable Requirements of Law, be retired and cancelled promptly upon such contribution);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2.10(a)</w:t>
      </w:r>
      <w:r>
        <w:rPr>
          <w:rFonts w:ascii="Arial" w:cs="Arial" w:eastAsia="Arial" w:hAnsi="Arial"/>
          <w:sz w:val="16"/>
          <w:szCs w:val="16"/>
          <w:color w:val="auto"/>
        </w:rPr>
        <w:t xml:space="preserve"> shall be reduced pro rata by the full par value of the aggregate principal amount of Initial Term Loans so contributed and cancelled;</w:t>
      </w:r>
    </w:p>
    <w:p>
      <w:pPr>
        <w:spacing w:after="0" w:line="162"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(iii)the relevant Affiliated Lender and assigning Lender shall have executed an Affiliated Lender Assignment and Assumption;</w:t>
      </w:r>
    </w:p>
    <w:p>
      <w:pPr>
        <w:spacing w:after="0" w:line="234" w:lineRule="exact"/>
        <w:rPr>
          <w:sz w:val="20"/>
          <w:szCs w:val="20"/>
          <w:color w:val="auto"/>
        </w:rPr>
      </w:pPr>
    </w:p>
    <w:p>
      <w:pPr>
        <w:jc w:val="both"/>
        <w:ind w:left="760" w:firstLine="1048"/>
        <w:spacing w:after="0" w:line="286" w:lineRule="auto"/>
        <w:rPr>
          <w:sz w:val="20"/>
          <w:szCs w:val="20"/>
          <w:color w:val="auto"/>
        </w:rPr>
      </w:pPr>
      <w:r>
        <w:rPr>
          <w:rFonts w:ascii="Arial" w:cs="Arial" w:eastAsia="Arial" w:hAnsi="Arial"/>
          <w:sz w:val="16"/>
          <w:szCs w:val="16"/>
          <w:color w:val="auto"/>
        </w:rPr>
        <w:t>(iv)after giving effect to the relevant assignment and to all other assignments to all Affiliated Lenders, the aggregate principal amount of all Term Loans then held by all Affiliated Lenders shall not exceed 25% of the aggregate principal amount of the Term Loans then outstanding (after giving effect to any substantially simultaneous cancellations thereof) (the “</w:t>
      </w:r>
      <w:r>
        <w:rPr>
          <w:rFonts w:ascii="Arial" w:cs="Arial" w:eastAsia="Arial" w:hAnsi="Arial"/>
          <w:sz w:val="16"/>
          <w:szCs w:val="16"/>
          <w:u w:val="single" w:color="auto"/>
          <w:color w:val="auto"/>
        </w:rPr>
        <w:t>Affiliated Lender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Arial" w:cs="Arial" w:eastAsia="Arial" w:hAnsi="Arial"/>
          <w:sz w:val="16"/>
          <w:szCs w:val="16"/>
          <w:u w:val="single" w:color="auto"/>
          <w:color w:val="auto"/>
        </w:rPr>
        <w:t>clause (g)(iv)</w:t>
      </w:r>
      <w:r>
        <w:rPr>
          <w:rFonts w:ascii="Arial" w:cs="Arial" w:eastAsia="Arial" w:hAnsi="Arial"/>
          <w:sz w:val="16"/>
          <w:szCs w:val="16"/>
          <w:color w:val="auto"/>
        </w:rPr>
        <w:t xml:space="preserve"> or any purported assignment exceeding the Affiliated Lender Cap (it being understood and agreed that the Affiliated Lender Cap is intended to apply to any Term Loans made available to Affiliated Lenders by means other than formal assignment (e.g., as a result of an acquisition of another Lender (other than any Debt Fund Affiliate)) by any Affiliated Lender or the provision of Additional Term Loans by any Affiliated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w:t>
      </w:r>
    </w:p>
    <w:p>
      <w:pPr>
        <w:spacing w:after="0" w:line="168" w:lineRule="exact"/>
        <w:rPr>
          <w:sz w:val="20"/>
          <w:szCs w:val="20"/>
          <w:color w:val="auto"/>
        </w:rPr>
      </w:pPr>
    </w:p>
    <w:p>
      <w:pPr>
        <w:jc w:val="both"/>
        <w:ind w:left="760" w:firstLine="1045"/>
        <w:spacing w:after="0" w:line="258" w:lineRule="auto"/>
        <w:tabs>
          <w:tab w:leader="none" w:pos="204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connection with any assignment effected pursuant to a Dutch Auction and/or open market purchase conducted by Holdings, the Borrower or any of its Restricted Subsidiaries, (A) the relevant Person may not use the proceeds of any Revolving Loans or Swingline Loans to fund such assignment and (B) no Default or Event of Default exists at the time of acceptance of bids for the Dutch Auction or the confirmation of such open market purchase, as applicable; and</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(vi)by its acquisition of Term Loans, each relevant Affiliated Lender shall be deemed to have acknowledged and agreed that: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0" w:name="page221"/>
    <w:bookmarkEnd w:id="220"/>
    <w:p>
      <w:pPr>
        <w:jc w:val="both"/>
        <w:ind w:left="1500" w:firstLine="754"/>
        <w:spacing w:after="0" w:line="269" w:lineRule="auto"/>
        <w:tabs>
          <w:tab w:leader="none" w:pos="258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the Term Loans held by such Affiliated Lender shall be disregarded in both the numerator and denominator in the calculation of any Required Lender or other Lender vote (and the Term Loans held by such Affiliated Lender shall be deemed to be voted pro rata along with the other Lenders that are not Affiliated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payments which the Lenders are entitled to share on a pro rata basis hereunder, in each case without the consent of such Affiliated Lender; and</w:t>
      </w:r>
    </w:p>
    <w:p>
      <w:pPr>
        <w:spacing w:after="0" w:line="178" w:lineRule="exact"/>
        <w:rPr>
          <w:rFonts w:ascii="Arial" w:cs="Arial" w:eastAsia="Arial" w:hAnsi="Arial"/>
          <w:sz w:val="17"/>
          <w:szCs w:val="17"/>
          <w:color w:val="auto"/>
        </w:rPr>
      </w:pPr>
    </w:p>
    <w:p>
      <w:pPr>
        <w:jc w:val="both"/>
        <w:ind w:left="1500" w:firstLine="754"/>
        <w:spacing w:after="0" w:line="290" w:lineRule="auto"/>
        <w:tabs>
          <w:tab w:leader="none" w:pos="26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to </w:t>
      </w:r>
      <w:r>
        <w:rPr>
          <w:rFonts w:ascii="Arial" w:cs="Arial" w:eastAsia="Arial" w:hAnsi="Arial"/>
          <w:sz w:val="16"/>
          <w:szCs w:val="16"/>
          <w:u w:val="single" w:color="auto"/>
          <w:color w:val="auto"/>
        </w:rPr>
        <w:t>Article 2</w:t>
      </w:r>
      <w:r>
        <w:rPr>
          <w:rFonts w:ascii="Arial" w:cs="Arial" w:eastAsia="Arial" w:hAnsi="Arial"/>
          <w:sz w:val="16"/>
          <w:szCs w:val="16"/>
          <w:color w:val="auto"/>
        </w:rPr>
        <w:t>);</w:t>
      </w:r>
    </w:p>
    <w:p>
      <w:pPr>
        <w:spacing w:after="0" w:line="164" w:lineRule="exact"/>
        <w:rPr>
          <w:sz w:val="20"/>
          <w:szCs w:val="20"/>
          <w:color w:val="auto"/>
        </w:rPr>
      </w:pPr>
    </w:p>
    <w:p>
      <w:pPr>
        <w:jc w:val="both"/>
        <w:ind w:left="760" w:firstLine="1048"/>
        <w:spacing w:after="0" w:line="262" w:lineRule="auto"/>
        <w:rPr>
          <w:sz w:val="20"/>
          <w:szCs w:val="20"/>
          <w:color w:val="auto"/>
        </w:rPr>
      </w:pPr>
      <w:r>
        <w:rPr>
          <w:rFonts w:ascii="Arial" w:cs="Arial" w:eastAsia="Arial" w:hAnsi="Arial"/>
          <w:sz w:val="18"/>
          <w:szCs w:val="18"/>
          <w:color w:val="auto"/>
        </w:rPr>
        <w:t xml:space="preserve">(vii)no Affiliated Lender shall be required to represent or warrant that it is not in possession of material non-public information with respect to Holdings, the Borrower and/or any Subsidiary thereof and/or their respective securities in connection with any assignment permitted by this </w:t>
      </w:r>
      <w:r>
        <w:rPr>
          <w:rFonts w:ascii="Arial" w:cs="Arial" w:eastAsia="Arial" w:hAnsi="Arial"/>
          <w:sz w:val="18"/>
          <w:szCs w:val="18"/>
          <w:u w:val="single" w:color="auto"/>
          <w:color w:val="auto"/>
        </w:rPr>
        <w:t>Section 9.05(g)</w:t>
      </w:r>
      <w:r>
        <w:rPr>
          <w:rFonts w:ascii="Arial" w:cs="Arial" w:eastAsia="Arial" w:hAnsi="Arial"/>
          <w:sz w:val="18"/>
          <w:szCs w:val="18"/>
          <w:color w:val="auto"/>
        </w:rPr>
        <w:t>; and</w:t>
      </w:r>
    </w:p>
    <w:p>
      <w:pPr>
        <w:spacing w:after="0" w:line="182" w:lineRule="exact"/>
        <w:rPr>
          <w:sz w:val="20"/>
          <w:szCs w:val="20"/>
          <w:color w:val="auto"/>
        </w:rPr>
      </w:pPr>
    </w:p>
    <w:p>
      <w:pPr>
        <w:jc w:val="both"/>
        <w:ind w:left="760" w:firstLine="1048"/>
        <w:spacing w:after="0" w:line="274" w:lineRule="auto"/>
        <w:rPr>
          <w:sz w:val="20"/>
          <w:szCs w:val="20"/>
          <w:color w:val="auto"/>
        </w:rPr>
      </w:pPr>
      <w:r>
        <w:rPr>
          <w:rFonts w:ascii="Arial" w:cs="Arial" w:eastAsia="Arial" w:hAnsi="Arial"/>
          <w:sz w:val="17"/>
          <w:szCs w:val="17"/>
          <w:color w:val="auto"/>
        </w:rPr>
        <w:t xml:space="preserve">(viii)in any proceeding under any Debtor Relief Law, the interest of any Affiliated Lender in any Term Loan will be deemed to be voted in the same proportion as the vote of Lenders that are not Affiliated Lenders on the relevant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Affiliated Lender will be entitled to vote its interest in any Term Loan to the extent that any plan of reorganization or other arrangement with respect to which the relevant vote is sought proposes to treat the interest of such Affiliated Lender in such Term Loan in a manner that is less favorable to such Affiliated Lender than the proposed treatment of Term Loans held by other Term Lenders.</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non-pro rata basis through Dutch Auctions open to all applicable Lenders or (y) on a non-pro rata basis through open market purchases without the consent of the Administrative Agent, in each case, notwithstanding the requirements set forth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Loans and Commitments held by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Loans acquired by any Debt Fund Affiliate may (but shall not be required to) be contributed to the Borrower or any of its Subsidiaries for purposes of cancelling such Indebtedness (it being understood that any Loans so contributed shall be retired and cancelled immediately upon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w:t>
      </w:r>
      <w:r>
        <w:rPr>
          <w:rFonts w:ascii="Arial" w:cs="Arial" w:eastAsia="Arial" w:hAnsi="Arial"/>
          <w:sz w:val="16"/>
          <w:szCs w:val="16"/>
          <w:u w:val="single" w:color="auto"/>
          <w:color w:val="auto"/>
        </w:rPr>
        <w:t>Section 2.10(a)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1" w:name="page222"/>
    <w:bookmarkEnd w:id="221"/>
    <w:p>
      <w:pPr>
        <w:ind w:left="60"/>
        <w:spacing w:after="0"/>
        <w:rPr>
          <w:sz w:val="20"/>
          <w:szCs w:val="20"/>
          <w:color w:val="auto"/>
        </w:rPr>
      </w:pPr>
      <w:r>
        <w:rPr>
          <w:rFonts w:ascii="Arial" w:cs="Arial" w:eastAsia="Arial" w:hAnsi="Arial"/>
          <w:sz w:val="18"/>
          <w:szCs w:val="18"/>
          <w:color w:val="auto"/>
        </w:rPr>
        <w:t>shall be reduced pro rata by the full par value of the aggregate principal amount of any applicable Term Loans so contributed and cancelled.</w:t>
      </w:r>
    </w:p>
    <w:p>
      <w:pPr>
        <w:spacing w:after="0" w:line="22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u w:val="single" w:color="auto"/>
          <w:color w:val="auto"/>
        </w:rPr>
        <w:t>Section 9.06.Survival</w:t>
      </w:r>
      <w:r>
        <w:rPr>
          <w:rFonts w:ascii="Arial" w:cs="Arial" w:eastAsia="Arial" w:hAnsi="Arial"/>
          <w:sz w:val="17"/>
          <w:szCs w:val="17"/>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Revolving Credit Commitment, the occurrence of the Termination Date or the termination of this Agreement or any provision hereof but in each case, subject to the limitations set forth in this Agreement.</w:t>
      </w:r>
    </w:p>
    <w:p>
      <w:pPr>
        <w:spacing w:after="0" w:line="178"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6"/>
          <w:szCs w:val="16"/>
          <w:u w:val="single" w:color="auto"/>
          <w:color w:val="auto"/>
        </w:rPr>
        <w:t>Section 9.07.Electronic Execution; Electronic Records; Counterparts; Integration; Effectiveness</w:t>
      </w:r>
      <w:r>
        <w:rPr>
          <w:rFonts w:ascii="Arial" w:cs="Arial" w:eastAsia="Arial" w:hAnsi="Arial"/>
          <w:sz w:val="16"/>
          <w:szCs w:val="16"/>
          <w:color w:val="auto"/>
        </w:rPr>
        <w:t xml:space="preserve">. This Agreement, the other Loan Documents and the Engagement Letter and any separate letter agreements with respect to fees payable to the Administrative Agent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Issuing Banks nor Swingline Lender is under any obligation to accept an Electronic Signature in any form or in any format unless expressly agreed to by such Person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(a) to the extent the Administrative Agent, Issuing Banks or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reasonable request of the Administrative Agent , any Electronic Signature shall be promptly followed by a manually executed counterpart.</w:t>
      </w:r>
    </w:p>
    <w:p>
      <w:pPr>
        <w:spacing w:after="0" w:line="16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Neither the Administrative Agent, Issuing Banks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Issuing Banks’ nor Swingline Lender’s reliance on any Electronic Signature transmitted by telecopy, emailed .pdf or any other electronic means). The Administrative Agent, Issuing Banks nor Swingline Lender shall be entitled to rely on, and shall incur no liability under or in respect of this Agreement or any other Loan Document by acting upon, any Communication (which writing may be a fax, any electronic message, Internet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2" w:name="page223"/>
    <w:bookmarkEnd w:id="222"/>
    <w:p>
      <w:pPr>
        <w:jc w:val="both"/>
        <w:spacing w:after="0" w:line="262" w:lineRule="auto"/>
        <w:rPr>
          <w:sz w:val="20"/>
          <w:szCs w:val="20"/>
          <w:color w:val="auto"/>
        </w:rPr>
      </w:pPr>
      <w:r>
        <w:rPr>
          <w:rFonts w:ascii="Arial" w:cs="Arial" w:eastAsia="Arial" w:hAnsi="Arial"/>
          <w:sz w:val="18"/>
          <w:szCs w:val="18"/>
          <w:color w:val="auto"/>
        </w:rPr>
        <w:t>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2" w:lineRule="exact"/>
        <w:rPr>
          <w:sz w:val="20"/>
          <w:szCs w:val="20"/>
          <w:color w:val="auto"/>
        </w:rPr>
      </w:pPr>
    </w:p>
    <w:p>
      <w:pPr>
        <w:jc w:val="both"/>
        <w:ind w:firstLine="749"/>
        <w:spacing w:after="0" w:line="295" w:lineRule="auto"/>
        <w:rPr>
          <w:sz w:val="20"/>
          <w:szCs w:val="20"/>
          <w:color w:val="auto"/>
        </w:rPr>
      </w:pPr>
      <w:r>
        <w:rPr>
          <w:rFonts w:ascii="Arial" w:cs="Arial" w:eastAsia="Arial" w:hAnsi="Arial"/>
          <w:sz w:val="16"/>
          <w:szCs w:val="16"/>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5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u w:val="single" w:color="auto"/>
          <w:color w:val="auto"/>
        </w:rPr>
        <w:t>Section 9.08.Severability</w:t>
      </w:r>
      <w:r>
        <w:rPr>
          <w:rFonts w:ascii="Arial" w:cs="Arial" w:eastAsia="Arial" w:hAnsi="Arial"/>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u w:val="single" w:color="auto"/>
          <w:color w:val="auto"/>
        </w:rPr>
        <w:t>Section 9.09.Right of Setoff</w:t>
      </w:r>
      <w:r>
        <w:rPr>
          <w:rFonts w:ascii="Arial" w:cs="Arial" w:eastAsia="Arial" w:hAnsi="Arial"/>
          <w:sz w:val="17"/>
          <w:szCs w:val="17"/>
          <w:color w:val="auto"/>
        </w:rPr>
        <w:t xml:space="preserve">. At any time when an Event of Default exists, the Administrative Agent and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Any applicable Lender or Issuing Bank shall promptly notify the Borrower and the Administrative Agent of such set-off or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The rights of each Lender, each Issuing Bank and the Administrative Agent under this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are in addition to other rights and remedies (including other rights of setoff) which such Lender, such Issuing Bank or the Administrative Agent may have.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9.10.Governing Law; Jurisdiction; Consent to Service of Process</w:t>
      </w:r>
      <w:r>
        <w:rPr>
          <w:rFonts w:ascii="Arial" w:cs="Arial" w:eastAsia="Arial" w:hAnsi="Arial"/>
          <w:sz w:val="18"/>
          <w:szCs w:val="18"/>
          <w:color w:val="auto"/>
        </w:rPr>
        <w:t>.</w:t>
      </w:r>
    </w:p>
    <w:p>
      <w:pPr>
        <w:spacing w:after="0" w:line="223" w:lineRule="exact"/>
        <w:rPr>
          <w:sz w:val="20"/>
          <w:szCs w:val="20"/>
          <w:color w:val="auto"/>
        </w:rPr>
      </w:pPr>
    </w:p>
    <w:p>
      <w:pPr>
        <w:jc w:val="both"/>
        <w:ind w:firstLine="756"/>
        <w:spacing w:after="0" w:line="258" w:lineRule="auto"/>
        <w:tabs>
          <w:tab w:leader="none" w:pos="101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SHALL BE GOVERNED BY, AND CONSTRUED AND INTERPRETED IN ACCORDANCE WITH, THE LAWS OF THE STATE OF NEW YORK.</w:t>
      </w:r>
    </w:p>
    <w:p>
      <w:pPr>
        <w:spacing w:after="0" w:line="184" w:lineRule="exact"/>
        <w:rPr>
          <w:rFonts w:ascii="Arial" w:cs="Arial" w:eastAsia="Arial" w:hAnsi="Arial"/>
          <w:sz w:val="18"/>
          <w:szCs w:val="18"/>
          <w:color w:val="auto"/>
        </w:rPr>
      </w:pPr>
    </w:p>
    <w:p>
      <w:pPr>
        <w:jc w:val="both"/>
        <w:ind w:firstLine="756"/>
        <w:spacing w:after="0" w:line="251" w:lineRule="auto"/>
        <w:tabs>
          <w:tab w:leader="none" w:pos="101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3" w:name="page224"/>
    <w:bookmarkEnd w:id="223"/>
    <w:p>
      <w:pPr>
        <w:spacing w:after="0" w:line="275" w:lineRule="auto"/>
        <w:rPr>
          <w:sz w:val="20"/>
          <w:szCs w:val="20"/>
          <w:color w:val="auto"/>
        </w:rPr>
      </w:pPr>
      <w:r>
        <w:rPr>
          <w:rFonts w:ascii="Arial" w:cs="Arial" w:eastAsia="Arial" w:hAnsi="Arial"/>
          <w:sz w:val="18"/>
          <w:szCs w:val="18"/>
          <w:color w:val="auto"/>
        </w:rPr>
        <w:t>PROCEEDINGS AGAINST ANY LOAN PARTY IN THE COURTS OF ANY OTHER JURISDICTION SOLELY IN CONNECTION WITH THE EXERCISE OF ITS RIGHTS UNDER ANY COLLATERAL DOCUMENT.</w:t>
      </w:r>
    </w:p>
    <w:p>
      <w:pPr>
        <w:spacing w:after="0" w:line="171" w:lineRule="exact"/>
        <w:rPr>
          <w:sz w:val="20"/>
          <w:szCs w:val="20"/>
          <w:color w:val="auto"/>
        </w:rPr>
      </w:pPr>
    </w:p>
    <w:p>
      <w:pPr>
        <w:jc w:val="both"/>
        <w:ind w:firstLine="756"/>
        <w:spacing w:after="0" w:line="254" w:lineRule="auto"/>
        <w:tabs>
          <w:tab w:leader="none" w:pos="101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9.10</w:t>
      </w:r>
      <w:r>
        <w:rPr>
          <w:rFonts w:ascii="Arial" w:cs="Arial" w:eastAsia="Arial" w:hAnsi="Arial"/>
          <w:sz w:val="18"/>
          <w:szCs w:val="18"/>
          <w:color w:val="auto"/>
        </w:rPr>
        <w:t>. EACH PARTY HERETO HEREBY IRREVOCABLY WAIVES, TO THE FULLEST EXTENT PERMITTED BY APPLICABLE REQUIREMENTS OF LAW, ANY CLAIM OR DEFENSE OF AN INCONVENIENT FORUM TO THE MAINTENANCE OF SUCH ACTION, SUIT OR PROCEEDING IN ANY SUCH COURT.</w:t>
      </w:r>
    </w:p>
    <w:p>
      <w:pPr>
        <w:spacing w:after="0" w:line="190" w:lineRule="exact"/>
        <w:rPr>
          <w:rFonts w:ascii="Arial" w:cs="Arial" w:eastAsia="Arial" w:hAnsi="Arial"/>
          <w:sz w:val="18"/>
          <w:szCs w:val="18"/>
          <w:color w:val="auto"/>
        </w:rPr>
      </w:pPr>
    </w:p>
    <w:p>
      <w:pPr>
        <w:jc w:val="both"/>
        <w:ind w:firstLine="756"/>
        <w:spacing w:after="0" w:line="253" w:lineRule="auto"/>
        <w:tabs>
          <w:tab w:leader="none" w:pos="101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Arial" w:cs="Arial" w:eastAsia="Arial" w:hAnsi="Arial"/>
          <w:sz w:val="18"/>
          <w:szCs w:val="18"/>
          <w:u w:val="single" w:color="auto"/>
          <w:color w:val="auto"/>
        </w:rPr>
        <w:t>SECTION 9.01</w:t>
      </w:r>
      <w:r>
        <w:rPr>
          <w:rFonts w:ascii="Arial" w:cs="Arial" w:eastAsia="Arial" w:hAnsi="Arial"/>
          <w:sz w:val="18"/>
          <w:szCs w:val="18"/>
          <w:color w:val="auto"/>
        </w:rPr>
        <w:t>. EACH PARTY HERETO HEREBY WAIVES ANY OBJECTION TO SUCH SERVICE OF PROCESS AND FURTHER IRREVOCABLY WAIVES AND AGREES NOT TO PLEAD OR CLAIM IN ANY ACTION OR PROCEEDING COMMENCED HEREUNDER OR UNDER ANY OTHER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8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u w:val="single" w:color="auto"/>
          <w:color w:val="auto"/>
        </w:rPr>
        <w:t>Section 9.11.Waiver of Jury Trial</w:t>
      </w:r>
      <w:r>
        <w:rPr>
          <w:rFonts w:ascii="Arial" w:cs="Arial" w:eastAsia="Arial" w:hAnsi="Arial"/>
          <w:sz w:val="17"/>
          <w:szCs w:val="17"/>
          <w:color w:val="auto"/>
        </w:rPr>
        <w:t xml:space="preserve">.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7"/>
          <w:szCs w:val="17"/>
          <w:u w:val="single" w:color="auto"/>
          <w:color w:val="auto"/>
        </w:rPr>
        <w:t>SECTION 9.11</w:t>
      </w:r>
      <w:r>
        <w:rPr>
          <w:rFonts w:ascii="Arial" w:cs="Arial" w:eastAsia="Arial" w:hAnsi="Arial"/>
          <w:sz w:val="17"/>
          <w:szCs w:val="17"/>
          <w:color w:val="auto"/>
        </w:rPr>
        <w:t>.</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Section 9.12.Headings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u w:val="single" w:color="auto"/>
          <w:color w:val="auto"/>
        </w:rPr>
        <w:t>Section 9.13.Confidentiality</w:t>
      </w:r>
      <w:r>
        <w:rPr>
          <w:rFonts w:ascii="Arial" w:cs="Arial" w:eastAsia="Arial" w:hAnsi="Arial"/>
          <w:sz w:val="17"/>
          <w:szCs w:val="17"/>
          <w:color w:val="auto"/>
        </w:rPr>
        <w:t>. Each of the Administrative Agent, each Lender, each Issuing Bank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shall be responsible for its Affiliates’ and their Representatives’ compliance with this paragraph;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unless the Borrower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 (b)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applicable Requirements of Law, inform the Borrower promptly in advance thereof and (ii) use commercially reasonable efforts to ensure that any such information so disclosed is accorded confidential treatment), (c) upon the demand or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4" w:name="page225"/>
    <w:bookmarkEnd w:id="224"/>
    <w:p>
      <w:pPr>
        <w:jc w:val="both"/>
        <w:spacing w:after="0" w:line="282" w:lineRule="auto"/>
        <w:rPr>
          <w:sz w:val="20"/>
          <w:szCs w:val="20"/>
          <w:color w:val="auto"/>
        </w:rPr>
      </w:pPr>
      <w:r>
        <w:rPr>
          <w:rFonts w:ascii="Arial" w:cs="Arial" w:eastAsia="Arial" w:hAnsi="Arial"/>
          <w:sz w:val="16"/>
          <w:szCs w:val="16"/>
          <w:color w:val="auto"/>
        </w:rPr>
        <w:t xml:space="preserve">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including as set forth in the Information Memorandum)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(iii) any actual or prospective, direct or indirect contractual counterparty (or its advisors) to any Derivative Transaction (including any credit default swap) or similar derivative product to which any Loan Party is a party and (iv) subject to the Borrower’s prior approval of the information to be disclosed, (x) to Moody’s or S&amp;P on a confidential basis in connection with obtaining or maintaining ratings as required under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or (y) to the CUSIP Service Bureau or any similar agency in connection with the issuance and monitoring of CUSIP numbers with respect to the facilities or, on a confidential basis, market data collectors and service providers to the Administrative Agent in connection with the administration and management of this Agreement and the Loan Documents, (f) with the prior written consent of the Borrower and (g) to the extent the Confidential Information becomes publicly available other than as a result of a breach of this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by such Person, its Affiliates or their respective Representatives. For purposes of this </w:t>
      </w:r>
      <w:r>
        <w:rPr>
          <w:rFonts w:ascii="Arial" w:cs="Arial" w:eastAsia="Arial" w:hAnsi="Arial"/>
          <w:sz w:val="16"/>
          <w:szCs w:val="16"/>
          <w:u w:val="single" w:color="auto"/>
          <w:color w:val="auto"/>
        </w:rPr>
        <w:t>Section 9.13</w:t>
      </w:r>
      <w:r>
        <w:rPr>
          <w:rFonts w:ascii="Arial" w:cs="Arial" w:eastAsia="Arial" w:hAnsi="Arial"/>
          <w:sz w:val="16"/>
          <w:szCs w:val="16"/>
          <w:color w:val="auto"/>
        </w:rPr>
        <w: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relating to Holdings, the Borrower and/or any of its Subsidiaries and their respective businesses or the Transactions (including any information obtained by the Administrative Agent, any Issuing Bank, any Lender or any Arranger, or any of their respective Affiliates or Representatives, based on a review of any books and records relating to Holdings, the Borrower and/or any of its Subsidiaries and their respective Affiliates from time to time, including prior to the date hereof) other than any such information that is publicly available to the Administrative Agent or any Arranger, Issuing Bank, or Lender on a non-confidential basis prior to disclosure by Holdings, the Borrower or any of its Subsidiaries. For the avoidance of doubt, in no event shall any disclosure of any Confidential Information be made to a Person that is a Disqualified Institution at the time of disclosure (other than any Excluded Party that is a senior employee of a Lead Arranger who is required, in accordance with industry regulations or such Lead Arranger’s internal policies and procedures, to act in a supervisory capacity and such Lead Arranger’s internal, legal, compliance, risk management, credit or investment committee members).</w:t>
      </w:r>
    </w:p>
    <w:p>
      <w:pPr>
        <w:spacing w:after="0" w:line="18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7"/>
          <w:szCs w:val="17"/>
          <w:u w:val="single" w:color="auto"/>
          <w:color w:val="auto"/>
        </w:rPr>
        <w:t>Section 9.14.No Fiduciary Duty</w:t>
      </w:r>
      <w:r>
        <w:rPr>
          <w:rFonts w:ascii="Arial" w:cs="Arial" w:eastAsia="Arial" w:hAnsi="Arial"/>
          <w:sz w:val="17"/>
          <w:szCs w:val="17"/>
          <w:color w:val="auto"/>
        </w:rPr>
        <w:t>. Each of the Administrative Agent, the Arrangers, each Lender, each Issuing Bank and their respective Affiliates (collectively, solely for purposes of this paragraph, the “Lenders”),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the Administrative Agent, any Arranger, any Lender, any Issuing Bank or their respective Affiliates,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 To the fullest extent permitted by the applicable Requirements of Law, each Loan Party hereby waives any claim that it may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5" w:name="page226"/>
    <w:bookmarkEnd w:id="225"/>
    <w:p>
      <w:pPr>
        <w:jc w:val="both"/>
        <w:spacing w:after="0" w:line="275" w:lineRule="auto"/>
        <w:rPr>
          <w:sz w:val="20"/>
          <w:szCs w:val="20"/>
          <w:color w:val="auto"/>
        </w:rPr>
      </w:pPr>
      <w:r>
        <w:rPr>
          <w:rFonts w:ascii="Arial" w:cs="Arial" w:eastAsia="Arial" w:hAnsi="Arial"/>
          <w:sz w:val="18"/>
          <w:szCs w:val="18"/>
          <w:color w:val="auto"/>
        </w:rPr>
        <w:t>have against the Administrative Agent, the Issuing Banks, the Swingline Lender, the Arrangers, any Lender or any of their respective Affiliates with respect to any breach or alleged breach of fiduciary duty arising solely by virtue of this Agreement.</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auto"/>
        </w:rPr>
        <w:t>Section 9.15.Several Obligations</w:t>
      </w:r>
      <w:r>
        <w:rPr>
          <w:rFonts w:ascii="Arial" w:cs="Arial" w:eastAsia="Arial" w:hAnsi="Arial"/>
          <w:sz w:val="18"/>
          <w:szCs w:val="18"/>
          <w:color w:val="auto"/>
        </w:rPr>
        <w:t>.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8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u w:val="single" w:color="auto"/>
          <w:color w:val="auto"/>
        </w:rPr>
        <w:t>Section 9.16.USA PATRIOT Act</w:t>
      </w:r>
      <w:r>
        <w:rPr>
          <w:rFonts w:ascii="Arial" w:cs="Arial" w:eastAsia="Arial" w:hAnsi="Arial"/>
          <w:sz w:val="18"/>
          <w:szCs w:val="18"/>
          <w:color w:val="auto"/>
        </w:rPr>
        <w:t>. Each Lender that is subject to the requirements of the USA PATRIOT Act hereby notifies the Loan Parties that pursuant to the requirements of the USA PATRIOT Act, it is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spacing w:after="0" w:line="18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8"/>
          <w:szCs w:val="18"/>
          <w:u w:val="single" w:color="auto"/>
          <w:color w:val="auto"/>
        </w:rPr>
        <w:t>Section 9.17.Disclosure of Agent Conflicts</w:t>
      </w:r>
      <w:r>
        <w:rPr>
          <w:rFonts w:ascii="Arial" w:cs="Arial" w:eastAsia="Arial" w:hAnsi="Arial"/>
          <w:sz w:val="18"/>
          <w:szCs w:val="18"/>
          <w:color w:val="auto"/>
        </w:rPr>
        <w:t>.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w:t>
      </w:r>
    </w:p>
    <w:p>
      <w:pPr>
        <w:spacing w:after="0" w:line="18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u w:val="single" w:color="auto"/>
          <w:color w:val="auto"/>
        </w:rPr>
        <w:t>Section 9.18.Appointment for Perfection</w:t>
      </w:r>
      <w:r>
        <w:rPr>
          <w:rFonts w:ascii="Arial" w:cs="Arial" w:eastAsia="Arial" w:hAnsi="Arial"/>
          <w:sz w:val="16"/>
          <w:szCs w:val="16"/>
          <w:color w:val="auto"/>
        </w:rPr>
        <w:t>.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Issuing Bank shall notify the Administrative Agent thereof and, promptly upon the Administrative Agent’s request therefor shall deliver such Collateral to the Administrative Agent or otherwise deal with such Collateral in accordance with the Administrative Agent’s instructions. The Lenders hereby acknowledge and agree that the Administrative Agent may act, subject to and in accordance with the terms of any Acceptable Intercreditor Agreement, and any other applicable intercreditor or subordination agreement, as the collateral agent for the Lenders.</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8"/>
          <w:szCs w:val="18"/>
          <w:u w:val="single" w:color="auto"/>
          <w:color w:val="auto"/>
        </w:rPr>
        <w:t>Section 9.19.Interest Rate Limitation</w:t>
      </w:r>
      <w:r>
        <w:rPr>
          <w:rFonts w:ascii="Arial" w:cs="Arial" w:eastAsia="Arial" w:hAnsi="Arial"/>
          <w:sz w:val="18"/>
          <w:szCs w:val="18"/>
          <w:color w:val="auto"/>
        </w:rPr>
        <w:t>.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Arial" w:cs="Arial" w:eastAsia="Arial" w:hAnsi="Arial"/>
          <w:sz w:val="18"/>
          <w:szCs w:val="18"/>
          <w:u w:val="single" w:color="auto"/>
          <w:color w:val="auto"/>
        </w:rPr>
        <w:t>Charged Amounts</w:t>
      </w:r>
      <w:r>
        <w:rPr>
          <w:rFonts w:ascii="Arial" w:cs="Arial" w:eastAsia="Arial" w:hAnsi="Arial"/>
          <w:sz w:val="18"/>
          <w:szCs w:val="18"/>
          <w:color w:val="auto"/>
        </w:rPr>
        <w:t>”),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w:t>
      </w:r>
      <w:r>
        <w:rPr>
          <w:rFonts w:ascii="Arial" w:cs="Arial" w:eastAsia="Arial" w:hAnsi="Arial"/>
          <w:sz w:val="18"/>
          <w:szCs w:val="18"/>
          <w:u w:val="single" w:color="auto"/>
          <w:color w:val="auto"/>
        </w:rPr>
        <w:t>Section 9.19</w:t>
      </w:r>
      <w:r>
        <w:rPr>
          <w:rFonts w:ascii="Arial" w:cs="Arial" w:eastAsia="Arial" w:hAnsi="Arial"/>
          <w:sz w:val="18"/>
          <w:szCs w:val="18"/>
          <w:color w:val="auto"/>
        </w:rPr>
        <w:t xml:space="preserve">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9.20.[Reserved]</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u w:val="single" w:color="auto"/>
          <w:color w:val="auto"/>
        </w:rPr>
        <w:t>Section 9.21.Conflicts</w:t>
      </w:r>
      <w:r>
        <w:rPr>
          <w:rFonts w:ascii="Arial" w:cs="Arial" w:eastAsia="Arial" w:hAnsi="Arial"/>
          <w:sz w:val="18"/>
          <w:szCs w:val="18"/>
          <w:color w:val="auto"/>
        </w:rPr>
        <w:t xml:space="preserve">. Notwithstanding anything to the contrary contained herein or in any other Loan Document, in the event of any conflict or inconsistency between this Agreement and any other Loan Document, the terms of this Agreement shall govern and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conflict or inconsistency between any Acceptable Intercreditor Agreement and any Loan Document, the terms of the Intercreditor Agreement shall govern and control.</w:t>
      </w:r>
    </w:p>
    <w:p>
      <w:pPr>
        <w:spacing w:after="0" w:line="18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7"/>
          <w:szCs w:val="17"/>
          <w:u w:val="single" w:color="auto"/>
          <w:color w:val="auto"/>
        </w:rPr>
        <w:t>Section 9.22.Release of Guarantors</w:t>
      </w:r>
      <w:r>
        <w:rPr>
          <w:rFonts w:ascii="Arial" w:cs="Arial" w:eastAsia="Arial" w:hAnsi="Arial"/>
          <w:sz w:val="17"/>
          <w:szCs w:val="17"/>
          <w:color w:val="auto"/>
        </w:rPr>
        <w:t xml:space="preserve">. Notwithstanding anything in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to the contrary, (a) any Subsidiary Guarantor shall automatically be released from its obligations hereunder (and its Loan Guaranty shall be automatically released) (i) upon the consummation of any permitted transaction or series of related transactions if as a result thereof such Subsidiary Guarantor ceases to be a Restricted Subsidiary or becomes an Excluded Subsidiary as a result of a single transaction or series of related transactions permitted hereunder and/or (ii) upon the occurrence of the Termination Date and (b) any Subsidiary Guarantor that meets the definition of an “Excluded Subsidiary” (if 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6" w:name="page227"/>
    <w:bookmarkEnd w:id="226"/>
    <w:p>
      <w:pPr>
        <w:jc w:val="both"/>
        <w:spacing w:after="0" w:line="270" w:lineRule="auto"/>
        <w:rPr>
          <w:sz w:val="20"/>
          <w:szCs w:val="20"/>
          <w:color w:val="auto"/>
        </w:rPr>
      </w:pPr>
      <w:r>
        <w:rPr>
          <w:rFonts w:ascii="Arial" w:cs="Arial" w:eastAsia="Arial" w:hAnsi="Arial"/>
          <w:sz w:val="17"/>
          <w:szCs w:val="17"/>
          <w:color w:val="auto"/>
        </w:rPr>
        <w:t xml:space="preserve">automatically released pursuant to clause (a)(i) above) shall be released by the Administrative Agent promptly following the request therefor by the Borrower (in each case, subject to the Specified Guarantor Release Provision). In connection with any such release, the Administrative Agent shall promptly execute and deliver to the relevant Loan Party, at such Loan Party’s expense, all documents that such Loan Party shall reasonably request to evidence termination or release;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request of the Administrative Agent, the Borrower shall deliver a certificate of a Responsible Officer certifying that the relevant transaction has been consummated in compliance with the terms of this Agreement. Any execution and delivery of any document pursuant to the preceding sentence of this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shall be without recourse to or warranty by the Administrative Agent (other than as to the Administrative Agent’s authority to execute and deliver such documents).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9.23.[Reserved]</w:t>
      </w:r>
      <w:r>
        <w:rPr>
          <w:rFonts w:ascii="Arial" w:cs="Arial" w:eastAsia="Arial" w:hAnsi="Arial"/>
          <w:sz w:val="18"/>
          <w:szCs w:val="18"/>
          <w:color w:val="auto"/>
        </w:rPr>
        <w:t>.</w:t>
      </w:r>
    </w:p>
    <w:p>
      <w:pPr>
        <w:spacing w:after="0" w:line="22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7"/>
          <w:szCs w:val="17"/>
          <w:u w:val="single" w:color="auto"/>
          <w:color w:val="auto"/>
        </w:rPr>
        <w:t>Section 9.24.Acknowledgment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756"/>
        <w:spacing w:after="0" w:line="275" w:lineRule="auto"/>
        <w:tabs>
          <w:tab w:leader="none" w:pos="101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020" w:hanging="264"/>
        <w:spacing w:after="0"/>
        <w:tabs>
          <w:tab w:leader="none" w:pos="10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2" w:lineRule="exact"/>
        <w:rPr>
          <w:rFonts w:ascii="Arial" w:cs="Arial" w:eastAsia="Arial" w:hAnsi="Arial"/>
          <w:sz w:val="18"/>
          <w:szCs w:val="18"/>
          <w:color w:val="auto"/>
        </w:rPr>
      </w:pPr>
    </w:p>
    <w:p>
      <w:pPr>
        <w:ind w:left="2040" w:hanging="235"/>
        <w:spacing w:after="0"/>
        <w:tabs>
          <w:tab w:leader="none" w:pos="20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3" w:lineRule="exact"/>
        <w:rPr>
          <w:sz w:val="20"/>
          <w:szCs w:val="20"/>
          <w:color w:val="auto"/>
        </w:rPr>
      </w:pPr>
    </w:p>
    <w:p>
      <w:pPr>
        <w:jc w:val="both"/>
        <w:ind w:left="760" w:firstLine="1048"/>
        <w:spacing w:after="0" w:line="258" w:lineRule="auto"/>
        <w:rPr>
          <w:sz w:val="20"/>
          <w:szCs w:val="20"/>
          <w:color w:val="auto"/>
        </w:rPr>
      </w:pPr>
      <w:r>
        <w:rPr>
          <w:rFonts w:ascii="Arial" w:cs="Arial" w:eastAsia="Arial" w:hAnsi="Arial"/>
          <w:sz w:val="18"/>
          <w:szCs w:val="18"/>
          <w:color w:val="auto"/>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sz w:val="20"/>
          <w:szCs w:val="20"/>
          <w:color w:val="auto"/>
        </w:rPr>
      </w:pPr>
    </w:p>
    <w:p>
      <w:pPr>
        <w:jc w:val="both"/>
        <w:ind w:left="760" w:firstLine="1048"/>
        <w:spacing w:after="0" w:line="275" w:lineRule="auto"/>
        <w:rPr>
          <w:sz w:val="20"/>
          <w:szCs w:val="20"/>
          <w:color w:val="auto"/>
        </w:rPr>
      </w:pPr>
      <w:r>
        <w:rPr>
          <w:rFonts w:ascii="Arial" w:cs="Arial" w:eastAsia="Arial" w:hAnsi="Arial"/>
          <w:sz w:val="18"/>
          <w:szCs w:val="18"/>
          <w:color w:val="auto"/>
        </w:rPr>
        <w:t>(iii)the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u w:val="single" w:color="auto"/>
          <w:color w:val="auto"/>
        </w:rPr>
        <w:t>Section 9.25.Acknowledgment Regarding any Supported QFCs</w:t>
      </w:r>
      <w:r>
        <w:rPr>
          <w:rFonts w:ascii="Arial" w:cs="Arial" w:eastAsia="Arial" w:hAnsi="Arial"/>
          <w:sz w:val="18"/>
          <w:szCs w:val="18"/>
          <w:color w:val="auto"/>
        </w:rPr>
        <w:t>. To the extent that the Loan Documents provide support, through a guarantee or otherwise, of Swap Obligations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3" w:lineRule="exact"/>
        <w:rPr>
          <w:sz w:val="20"/>
          <w:szCs w:val="20"/>
          <w:color w:val="auto"/>
        </w:rPr>
      </w:pPr>
    </w:p>
    <w:p>
      <w:pPr>
        <w:jc w:val="both"/>
        <w:ind w:firstLine="756"/>
        <w:spacing w:after="0" w:line="269" w:lineRule="auto"/>
        <w:tabs>
          <w:tab w:leader="none" w:pos="101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w:t>
      </w:r>
      <w:r>
        <w:rPr>
          <w:rFonts w:ascii="Arial" w:cs="Arial" w:eastAsia="Arial" w:hAnsi="Arial"/>
          <w:sz w:val="17"/>
          <w:szCs w:val="17"/>
          <w:color w:val="FF0000"/>
          <w:strike w:val="1"/>
        </w:rPr>
        <w:t>Credit</w:t>
      </w:r>
      <w:r>
        <w:rPr>
          <w:rFonts w:ascii="Arial" w:cs="Arial" w:eastAsia="Arial" w:hAnsi="Arial"/>
          <w:sz w:val="17"/>
          <w:szCs w:val="17"/>
          <w:u w:val="single" w:color="auto"/>
          <w:color w:val="0000FF"/>
        </w:rPr>
        <w:t>Loan</w:t>
      </w:r>
      <w:r>
        <w:rPr>
          <w:rFonts w:ascii="Arial" w:cs="Arial" w:eastAsia="Arial" w:hAnsi="Arial"/>
          <w:sz w:val="17"/>
          <w:szCs w:val="17"/>
          <w:color w:val="FF0000"/>
        </w:rPr>
        <w:t xml:space="preserve"> </w:t>
      </w:r>
      <w:r>
        <w:rPr>
          <w:rFonts w:ascii="Arial" w:cs="Arial" w:eastAsia="Arial" w:hAnsi="Arial"/>
          <w:sz w:val="17"/>
          <w:szCs w:val="17"/>
          <w:color w:val="000000"/>
        </w:rPr>
        <w:t>Documents were governed by the laws of the United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7" w:name="page228"/>
    <w:bookmarkEnd w:id="227"/>
    <w:p>
      <w:pPr>
        <w:spacing w:after="0" w:line="305" w:lineRule="auto"/>
        <w:rPr>
          <w:sz w:val="20"/>
          <w:szCs w:val="20"/>
          <w:color w:val="auto"/>
        </w:rPr>
      </w:pPr>
      <w:r>
        <w:rPr>
          <w:rFonts w:ascii="Arial" w:cs="Arial" w:eastAsia="Arial" w:hAnsi="Arial"/>
          <w:sz w:val="17"/>
          <w:szCs w:val="17"/>
          <w:color w:val="auto"/>
        </w:rPr>
        <w:t>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(b) As used in this </w:t>
      </w:r>
      <w:r>
        <w:rPr>
          <w:rFonts w:ascii="Arial" w:cs="Arial" w:eastAsia="Arial" w:hAnsi="Arial"/>
          <w:sz w:val="18"/>
          <w:szCs w:val="18"/>
          <w:u w:val="single" w:color="auto"/>
          <w:color w:val="auto"/>
        </w:rPr>
        <w:t>Section 9.25</w:t>
      </w:r>
      <w:r>
        <w:rPr>
          <w:rFonts w:ascii="Arial" w:cs="Arial" w:eastAsia="Arial" w:hAnsi="Arial"/>
          <w:sz w:val="18"/>
          <w:szCs w:val="18"/>
          <w:color w:val="auto"/>
        </w:rPr>
        <w:t>, the following terms shall have the following meanings:</w:t>
      </w:r>
    </w:p>
    <w:p>
      <w:pPr>
        <w:spacing w:after="0" w:line="223" w:lineRule="exact"/>
        <w:rPr>
          <w:sz w:val="20"/>
          <w:szCs w:val="20"/>
          <w:color w:val="auto"/>
        </w:rPr>
      </w:pPr>
    </w:p>
    <w:p>
      <w:pPr>
        <w:ind w:left="1500"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3" w:lineRule="exact"/>
        <w:rPr>
          <w:sz w:val="20"/>
          <w:szCs w:val="20"/>
          <w:color w:val="auto"/>
        </w:rPr>
      </w:pPr>
    </w:p>
    <w:p>
      <w:pPr>
        <w:ind w:left="3580" w:hanging="577"/>
        <w:spacing w:after="0"/>
        <w:tabs>
          <w:tab w:leader="none" w:pos="35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 “covered entity” as that term is defined in, and interpreted in accordance with, 12 C.F.R. § 252.82(b);</w:t>
      </w:r>
    </w:p>
    <w:p>
      <w:pPr>
        <w:spacing w:after="0" w:line="245" w:lineRule="exact"/>
        <w:rPr>
          <w:rFonts w:ascii="Arial" w:cs="Arial" w:eastAsia="Arial" w:hAnsi="Arial"/>
          <w:sz w:val="16"/>
          <w:szCs w:val="16"/>
          <w:color w:val="auto"/>
        </w:rPr>
      </w:pPr>
    </w:p>
    <w:p>
      <w:pPr>
        <w:ind w:left="3580" w:hanging="577"/>
        <w:spacing w:after="0"/>
        <w:tabs>
          <w:tab w:leader="none" w:pos="35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 “covered bank” as that term is defined in, and interpreted in accordance with, 12 C.F.R. § 47.3(b); or</w:t>
      </w:r>
    </w:p>
    <w:p>
      <w:pPr>
        <w:spacing w:after="0" w:line="245" w:lineRule="exact"/>
        <w:rPr>
          <w:rFonts w:ascii="Arial" w:cs="Arial" w:eastAsia="Arial" w:hAnsi="Arial"/>
          <w:sz w:val="16"/>
          <w:szCs w:val="16"/>
          <w:color w:val="auto"/>
        </w:rPr>
      </w:pPr>
    </w:p>
    <w:p>
      <w:pPr>
        <w:ind w:left="3580" w:hanging="577"/>
        <w:spacing w:after="0"/>
        <w:tabs>
          <w:tab w:leader="none" w:pos="35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234" w:lineRule="exact"/>
        <w:rPr>
          <w:sz w:val="20"/>
          <w:szCs w:val="20"/>
          <w:color w:val="auto"/>
        </w:rPr>
      </w:pPr>
    </w:p>
    <w:p>
      <w:pPr>
        <w:ind w:left="1500"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1" w:lineRule="exact"/>
        <w:rPr>
          <w:sz w:val="20"/>
          <w:szCs w:val="20"/>
          <w:color w:val="auto"/>
        </w:rPr>
      </w:pPr>
    </w:p>
    <w:p>
      <w:pPr>
        <w:ind w:left="1500"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Pages </w:t>
      </w:r>
      <w:r>
        <w:rPr>
          <w:rFonts w:ascii="Arial" w:cs="Arial" w:eastAsia="Arial" w:hAnsi="Arial"/>
          <w:sz w:val="18"/>
          <w:szCs w:val="18"/>
          <w:color w:val="FF0000"/>
          <w:strike w:val="1"/>
        </w:rPr>
        <w:t>Follow</w:t>
      </w:r>
      <w:r>
        <w:rPr>
          <w:rFonts w:ascii="Arial" w:cs="Arial" w:eastAsia="Arial" w:hAnsi="Arial"/>
          <w:sz w:val="18"/>
          <w:szCs w:val="18"/>
          <w:u w:val="single" w:color="auto"/>
          <w:color w:val="0000FF"/>
        </w:rPr>
        <w:t>Intentionally Omitted</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213995</wp:posOffset>
            </wp:positionV>
            <wp:extent cx="71583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21"/>
          <w:szCs w:val="21"/>
          <w:u w:val="single" w:color="auto"/>
          <w:color w:val="auto"/>
        </w:rPr>
        <w:t>EXHIBIT B</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Amended Form of Borrowing Request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1016635</wp:posOffset>
            </wp:positionV>
            <wp:extent cx="71583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29" w:name="page230"/>
    <w:bookmarkEnd w:id="229"/>
    <w:p>
      <w:pPr>
        <w:ind w:left="10180"/>
        <w:spacing w:after="0"/>
        <w:rPr>
          <w:sz w:val="20"/>
          <w:szCs w:val="20"/>
          <w:color w:val="auto"/>
        </w:rPr>
      </w:pPr>
      <w:r>
        <w:rPr>
          <w:rFonts w:ascii="Arial" w:cs="Arial" w:eastAsia="Arial" w:hAnsi="Arial"/>
          <w:sz w:val="21"/>
          <w:szCs w:val="21"/>
          <w:u w:val="single" w:color="auto"/>
          <w:color w:val="auto"/>
        </w:rPr>
        <w:t>EXHIBIT B</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1"/>
          <w:szCs w:val="21"/>
          <w:color w:val="auto"/>
        </w:rPr>
        <w:t>[FORM OF]</w:t>
      </w:r>
    </w:p>
    <w:p>
      <w:pPr>
        <w:spacing w:after="0" w:line="18" w:lineRule="exact"/>
        <w:rPr>
          <w:sz w:val="20"/>
          <w:szCs w:val="20"/>
          <w:color w:val="auto"/>
        </w:rPr>
      </w:pPr>
    </w:p>
    <w:p>
      <w:pPr>
        <w:jc w:val="center"/>
        <w:ind w:left="740"/>
        <w:spacing w:after="0"/>
        <w:rPr>
          <w:sz w:val="20"/>
          <w:szCs w:val="20"/>
          <w:color w:val="auto"/>
        </w:rPr>
      </w:pPr>
      <w:r>
        <w:rPr>
          <w:rFonts w:ascii="Arial" w:cs="Arial" w:eastAsia="Arial" w:hAnsi="Arial"/>
          <w:sz w:val="21"/>
          <w:szCs w:val="21"/>
          <w:color w:val="auto"/>
        </w:rPr>
        <w:t>BORROWING REQUEST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Bank of America, N. A.</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as Administrative Agent for the Lenders referred to below</w:t>
      </w:r>
    </w:p>
    <w:p>
      <w:pPr>
        <w:spacing w:after="0"/>
        <w:rPr>
          <w:sz w:val="20"/>
          <w:szCs w:val="20"/>
          <w:color w:val="auto"/>
        </w:rPr>
      </w:pPr>
      <w:r>
        <w:rPr>
          <w:rFonts w:ascii="Arial" w:cs="Arial" w:eastAsia="Arial" w:hAnsi="Arial"/>
          <w:sz w:val="21"/>
          <w:szCs w:val="21"/>
          <w:color w:val="auto"/>
        </w:rPr>
        <w:t>900 W. Trade Street</w:t>
      </w:r>
    </w:p>
    <w:p>
      <w:pPr>
        <w:spacing w:after="0"/>
        <w:rPr>
          <w:sz w:val="20"/>
          <w:szCs w:val="20"/>
          <w:color w:val="auto"/>
        </w:rPr>
      </w:pPr>
      <w:r>
        <w:rPr>
          <w:rFonts w:ascii="Arial" w:cs="Arial" w:eastAsia="Arial" w:hAnsi="Arial"/>
          <w:sz w:val="21"/>
          <w:szCs w:val="21"/>
          <w:color w:val="auto"/>
        </w:rPr>
        <w:t>Mail Code: NC1-001-05-46</w:t>
      </w:r>
    </w:p>
    <w:p>
      <w:pPr>
        <w:spacing w:after="0"/>
        <w:rPr>
          <w:sz w:val="20"/>
          <w:szCs w:val="20"/>
          <w:color w:val="auto"/>
        </w:rPr>
      </w:pPr>
      <w:r>
        <w:rPr>
          <w:rFonts w:ascii="Arial" w:cs="Arial" w:eastAsia="Arial" w:hAnsi="Arial"/>
          <w:sz w:val="21"/>
          <w:szCs w:val="21"/>
          <w:color w:val="auto"/>
        </w:rPr>
        <w:t>Charlotte, North Carolina 28255-0001</w:t>
      </w:r>
    </w:p>
    <w:p>
      <w:pPr>
        <w:spacing w:after="0"/>
        <w:rPr>
          <w:sz w:val="20"/>
          <w:szCs w:val="20"/>
          <w:color w:val="auto"/>
        </w:rPr>
      </w:pPr>
      <w:r>
        <w:rPr>
          <w:rFonts w:ascii="Arial" w:cs="Arial" w:eastAsia="Arial" w:hAnsi="Arial"/>
          <w:sz w:val="21"/>
          <w:szCs w:val="21"/>
          <w:color w:val="auto"/>
        </w:rPr>
        <w:t>Attn: Charles Hensley</w:t>
      </w:r>
    </w:p>
    <w:p>
      <w:pPr>
        <w:spacing w:after="0"/>
        <w:rPr>
          <w:sz w:val="20"/>
          <w:szCs w:val="20"/>
          <w:color w:val="auto"/>
        </w:rPr>
      </w:pPr>
      <w:r>
        <w:rPr>
          <w:rFonts w:ascii="Arial" w:cs="Arial" w:eastAsia="Arial" w:hAnsi="Arial"/>
          <w:sz w:val="21"/>
          <w:szCs w:val="21"/>
          <w:color w:val="auto"/>
        </w:rPr>
        <w:t>Telephone: 980-388-3225</w:t>
      </w:r>
    </w:p>
    <w:p>
      <w:pPr>
        <w:spacing w:after="0"/>
        <w:rPr>
          <w:sz w:val="20"/>
          <w:szCs w:val="20"/>
          <w:color w:val="auto"/>
        </w:rPr>
      </w:pPr>
      <w:r>
        <w:rPr>
          <w:rFonts w:ascii="Arial" w:cs="Arial" w:eastAsia="Arial" w:hAnsi="Arial"/>
          <w:sz w:val="21"/>
          <w:szCs w:val="21"/>
          <w:color w:val="auto"/>
        </w:rPr>
        <w:t>Telecopier: 704-719-5362</w:t>
      </w:r>
    </w:p>
    <w:p>
      <w:pPr>
        <w:spacing w:after="0"/>
        <w:rPr>
          <w:sz w:val="20"/>
          <w:szCs w:val="20"/>
          <w:color w:val="auto"/>
        </w:rPr>
      </w:pPr>
      <w:r>
        <w:rPr>
          <w:rFonts w:ascii="Arial" w:cs="Arial" w:eastAsia="Arial" w:hAnsi="Arial"/>
          <w:sz w:val="21"/>
          <w:szCs w:val="21"/>
          <w:color w:val="auto"/>
        </w:rPr>
        <w:t>E-Mail: charles.hensley@bofa.com</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 [●], 20[●]</w:t>
      </w:r>
      <w:r>
        <w:rPr>
          <w:rFonts w:ascii="Arial" w:cs="Arial" w:eastAsia="Arial" w:hAnsi="Arial"/>
          <w:sz w:val="28"/>
          <w:szCs w:val="28"/>
          <w:color w:val="auto"/>
          <w:vertAlign w:val="superscript"/>
        </w:rPr>
        <w:t>1</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Reference is hereby made to that certain Credit Agreement, dated as of September 21, 2021 (as amended, restated, amended and restated, supplemented or otherwise modified and in effect on the date hereof, the “</w:t>
      </w:r>
      <w:r>
        <w:rPr>
          <w:rFonts w:ascii="Arial" w:cs="Arial" w:eastAsia="Arial" w:hAnsi="Arial"/>
          <w:sz w:val="20"/>
          <w:szCs w:val="20"/>
          <w:b w:val="1"/>
          <w:bCs w:val="1"/>
          <w:color w:val="auto"/>
        </w:rPr>
        <w:t>Credit Agreement</w:t>
      </w:r>
      <w:r>
        <w:rPr>
          <w:rFonts w:ascii="Arial" w:cs="Arial" w:eastAsia="Arial" w:hAnsi="Arial"/>
          <w:sz w:val="20"/>
          <w:szCs w:val="20"/>
          <w:color w:val="auto"/>
        </w:rPr>
        <w:t xml:space="preserve">”), by and among, </w:t>
      </w:r>
      <w:r>
        <w:rPr>
          <w:rFonts w:ascii="Arial" w:cs="Arial" w:eastAsia="Arial" w:hAnsi="Arial"/>
          <w:sz w:val="20"/>
          <w:szCs w:val="20"/>
          <w:i w:val="1"/>
          <w:iCs w:val="1"/>
          <w:color w:val="auto"/>
        </w:rPr>
        <w:t>inter</w:t>
      </w:r>
      <w:r>
        <w:rPr>
          <w:rFonts w:ascii="Arial" w:cs="Arial" w:eastAsia="Arial" w:hAnsi="Arial"/>
          <w:sz w:val="20"/>
          <w:szCs w:val="20"/>
          <w:color w:val="auto"/>
        </w:rPr>
        <w:t xml:space="preserve"> </w:t>
      </w:r>
      <w:r>
        <w:rPr>
          <w:rFonts w:ascii="Arial" w:cs="Arial" w:eastAsia="Arial" w:hAnsi="Arial"/>
          <w:sz w:val="20"/>
          <w:szCs w:val="20"/>
          <w:i w:val="1"/>
          <w:iCs w:val="1"/>
          <w:color w:val="auto"/>
        </w:rPr>
        <w:t>alios</w:t>
      </w:r>
      <w:r>
        <w:rPr>
          <w:rFonts w:ascii="Arial" w:cs="Arial" w:eastAsia="Arial" w:hAnsi="Arial"/>
          <w:sz w:val="20"/>
          <w:szCs w:val="20"/>
          <w:color w:val="auto"/>
        </w:rPr>
        <w:t>, CCC Intelligent Solutions Inc.,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Cypress Intermediate Holdings II, Inc., a</w:t>
      </w:r>
      <w:r>
        <w:rPr>
          <w:rFonts w:ascii="Arial" w:cs="Arial" w:eastAsia="Arial" w:hAnsi="Arial"/>
          <w:sz w:val="20"/>
          <w:szCs w:val="20"/>
          <w:i w:val="1"/>
          <w:iCs w:val="1"/>
          <w:color w:val="auto"/>
        </w:rPr>
        <w:t xml:space="preserve"> </w:t>
      </w:r>
      <w:r>
        <w:rPr>
          <w:rFonts w:ascii="Arial" w:cs="Arial" w:eastAsia="Arial" w:hAnsi="Arial"/>
          <w:sz w:val="20"/>
          <w:szCs w:val="20"/>
          <w:color w:val="auto"/>
        </w:rPr>
        <w:t>Delaware corporation (“</w:t>
      </w:r>
      <w:r>
        <w:rPr>
          <w:rFonts w:ascii="Arial" w:cs="Arial" w:eastAsia="Arial" w:hAnsi="Arial"/>
          <w:sz w:val="20"/>
          <w:szCs w:val="20"/>
          <w:b w:val="1"/>
          <w:bCs w:val="1"/>
          <w:color w:val="auto"/>
        </w:rPr>
        <w:t>Holdings</w:t>
      </w:r>
      <w:r>
        <w:rPr>
          <w:rFonts w:ascii="Arial" w:cs="Arial" w:eastAsia="Arial" w:hAnsi="Arial"/>
          <w:sz w:val="20"/>
          <w:szCs w:val="20"/>
          <w:color w:val="auto"/>
        </w:rPr>
        <w:t>”), the Lenders and Issuing Banks from time to time party thereto and Bank of America, N. A. (“</w:t>
      </w:r>
      <w:r>
        <w:rPr>
          <w:rFonts w:ascii="Arial" w:cs="Arial" w:eastAsia="Arial" w:hAnsi="Arial"/>
          <w:sz w:val="20"/>
          <w:szCs w:val="20"/>
          <w:b w:val="1"/>
          <w:bCs w:val="1"/>
          <w:color w:val="auto"/>
        </w:rPr>
        <w:t>BofA</w:t>
      </w:r>
      <w:r>
        <w:rPr>
          <w:rFonts w:ascii="Arial" w:cs="Arial" w:eastAsia="Arial" w:hAnsi="Arial"/>
          <w:sz w:val="20"/>
          <w:szCs w:val="20"/>
          <w:color w:val="auto"/>
        </w:rPr>
        <w:t>”), in its capacities as administrative agent for the Lenders and collateral agent for the Secured Parties (in such capacities and together with its successors and assigns, the “</w:t>
      </w:r>
      <w:r>
        <w:rPr>
          <w:rFonts w:ascii="Arial" w:cs="Arial" w:eastAsia="Arial" w:hAnsi="Arial"/>
          <w:sz w:val="20"/>
          <w:szCs w:val="20"/>
          <w:b w:val="1"/>
          <w:bCs w:val="1"/>
          <w:color w:val="auto"/>
        </w:rPr>
        <w:t>Administrative Agent</w:t>
      </w:r>
      <w:r>
        <w:rPr>
          <w:rFonts w:ascii="Arial" w:cs="Arial" w:eastAsia="Arial" w:hAnsi="Arial"/>
          <w:sz w:val="20"/>
          <w:szCs w:val="20"/>
          <w:color w:val="auto"/>
        </w:rPr>
        <w:t>”). Issuing Bank and Swingline Lender. Terms defined in the Credit Agreement are used herein with the same meanings unless otherwise defined herein.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The undersigned hereby gives you notice pursuant to Section [2,03] [2,04] of the Credit Agreement that it requests Borrowings under the Credit Agreement to be made on [●] [●], 20[●], and in that connection sets forth below the terms on which such Borrowings are requested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23806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22" w:lineRule="exact"/>
        <w:rPr>
          <w:sz w:val="20"/>
          <w:szCs w:val="20"/>
          <w:color w:val="auto"/>
        </w:rPr>
      </w:pPr>
    </w:p>
    <w:p>
      <w:pPr>
        <w:jc w:val="both"/>
        <w:ind w:left="380" w:hanging="373"/>
        <w:spacing w:after="0" w:line="274" w:lineRule="auto"/>
        <w:tabs>
          <w:tab w:leader="none" w:pos="380" w:val="left"/>
        </w:tabs>
        <w:numPr>
          <w:ilvl w:val="0"/>
          <w:numId w:val="280"/>
        </w:numPr>
        <w:rPr>
          <w:rFonts w:ascii="Arial" w:cs="Arial" w:eastAsia="Arial" w:hAnsi="Arial"/>
          <w:sz w:val="21"/>
          <w:szCs w:val="21"/>
          <w:color w:val="auto"/>
          <w:vertAlign w:val="superscript"/>
        </w:rPr>
      </w:pPr>
      <w:r>
        <w:rPr>
          <w:rFonts w:ascii="Arial" w:cs="Arial" w:eastAsia="Arial" w:hAnsi="Arial"/>
          <w:sz w:val="16"/>
          <w:szCs w:val="16"/>
          <w:color w:val="auto"/>
        </w:rPr>
        <w:t xml:space="preserve">The Administrative Agent must be notified in writing or by telephone (with such telephonic notification to be immediately confirmed in writing). In the case of Loans other than Swingline Loans, such notice must be received by the Administrative Agent (by hand delivery, fax or other electronic transmission (including “.pdf’ or “.tif’)) not later than (i) 11:00 a.m. two (2) Business Days prior to the requested day of any Borrowing, conversion to or continuation of Term SOFR Loans denominated in Dollars, (ii) 11:00 a.m. four (4) Business Days prior to the requested day of any Borrowing, conversion to or continuation of LIBO Rate Loans or RFR Loans denominated in a Revolving Alternative Currency and (iii) 11:00 a.m. on the requested date of any Borrowing of ABR Loans (other than Swingline Loans) (or, in each case, such later time as is reasonably acceptable to the Administrative Agent); </w:t>
      </w:r>
      <w:r>
        <w:rPr>
          <w:rFonts w:ascii="Arial" w:cs="Arial" w:eastAsia="Arial" w:hAnsi="Arial"/>
          <w:sz w:val="16"/>
          <w:szCs w:val="16"/>
          <w:b w:val="1"/>
          <w:bCs w:val="1"/>
          <w:color w:val="auto"/>
        </w:rPr>
        <w:t>provided, however</w:t>
      </w:r>
      <w:r>
        <w:rPr>
          <w:rFonts w:ascii="Arial" w:cs="Arial" w:eastAsia="Arial" w:hAnsi="Arial"/>
          <w:sz w:val="16"/>
          <w:szCs w:val="16"/>
          <w:color w:val="auto"/>
        </w:rPr>
        <w:t>, that if the Borrower wishes to request LIBO Rate Loans or Term SOFR Loans, as applicable, having an Interest Period of other than one, three or six months in duration as provided in the definition of “Interest Period,” (A) the applicable notice from the Borrower must be received by the Administrative Agent not later than 11:00 a.m. four (4) Business Days prior to the requested date of the relevant Borrowing (or such later time as is reasonably acceptable to the Administrative Agent), conversion or continuation, whereupon the Administrative Agent shall give prompt notice to the appropriate Lenders of such request and determine whether the requested Interest Period is available to them and</w:t>
      </w:r>
    </w:p>
    <w:p>
      <w:pPr>
        <w:spacing w:after="0" w:line="3" w:lineRule="exact"/>
        <w:rPr>
          <w:rFonts w:ascii="Arial" w:cs="Arial" w:eastAsia="Arial" w:hAnsi="Arial"/>
          <w:sz w:val="21"/>
          <w:szCs w:val="21"/>
          <w:color w:val="auto"/>
          <w:vertAlign w:val="superscript"/>
        </w:rPr>
      </w:pPr>
    </w:p>
    <w:p>
      <w:pPr>
        <w:jc w:val="both"/>
        <w:ind w:left="380" w:firstLine="2"/>
        <w:spacing w:after="0" w:line="262" w:lineRule="auto"/>
        <w:tabs>
          <w:tab w:leader="none" w:pos="67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Administrative Agent shall promptly notify the Borrower whether or not the requested Interest Period is available to the appropriate Lenders. With respect to Swingline Loans, the Swingline Lender and the Administrative Agent must be notified in writing by hand delivery, fax or other electronic transmission (including “.pdf’ or “.tif’) not later than 1:00 p.m. on the day of the proposed Swingline Loan.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1583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ind w:left="760" w:hanging="753"/>
        <w:spacing w:after="0"/>
        <w:tabs>
          <w:tab w:leader="none" w:pos="760" w:val="left"/>
        </w:tabs>
        <w:numPr>
          <w:ilvl w:val="0"/>
          <w:numId w:val="281"/>
        </w:numPr>
        <w:rPr>
          <w:rFonts w:ascii="Arial" w:cs="Arial" w:eastAsia="Arial" w:hAnsi="Arial"/>
          <w:sz w:val="21"/>
          <w:szCs w:val="21"/>
          <w:color w:val="auto"/>
        </w:rPr>
      </w:pPr>
      <w:r>
        <w:rPr>
          <w:rFonts w:ascii="Arial" w:cs="Arial" w:eastAsia="Arial" w:hAnsi="Arial"/>
          <w:sz w:val="21"/>
          <w:szCs w:val="21"/>
          <w:color w:val="auto"/>
        </w:rPr>
        <w:t>Borrower [CCC Intelligent Solutions Inc.]</w:t>
      </w:r>
    </w:p>
    <w:p>
      <w:pPr>
        <w:spacing w:after="0" w:line="215" w:lineRule="exact"/>
        <w:rPr>
          <w:sz w:val="20"/>
          <w:szCs w:val="20"/>
          <w:color w:val="auto"/>
        </w:rPr>
      </w:pPr>
    </w:p>
    <w:p>
      <w:pPr>
        <w:spacing w:after="0"/>
        <w:tabs>
          <w:tab w:leader="none" w:pos="740" w:val="left"/>
          <w:tab w:leader="none" w:pos="552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Date of Borrowing (which shall be a Business Day)</w:t>
      </w:r>
      <w:r>
        <w:rPr>
          <w:sz w:val="20"/>
          <w:szCs w:val="20"/>
          <w:color w:val="auto"/>
        </w:rPr>
        <w:tab/>
      </w:r>
      <w:r>
        <w:rPr>
          <w:rFonts w:ascii="Arial" w:cs="Arial" w:eastAsia="Arial" w:hAnsi="Arial"/>
          <w:sz w:val="21"/>
          <w:szCs w:val="21"/>
          <w:color w:val="auto"/>
        </w:rPr>
        <w:t>[●] [●], 20[●]</w:t>
      </w:r>
    </w:p>
    <w:p>
      <w:pPr>
        <w:spacing w:after="0" w:line="231" w:lineRule="exact"/>
        <w:rPr>
          <w:sz w:val="20"/>
          <w:szCs w:val="20"/>
          <w:color w:val="auto"/>
        </w:rPr>
      </w:pPr>
    </w:p>
    <w:p>
      <w:pPr>
        <w:ind w:left="760" w:hanging="753"/>
        <w:spacing w:after="0"/>
        <w:tabs>
          <w:tab w:leader="none" w:pos="76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Aggregate Amount of Borrowing</w:t>
      </w:r>
      <w:r>
        <w:rPr>
          <w:rFonts w:ascii="Arial" w:cs="Arial" w:eastAsia="Arial" w:hAnsi="Arial"/>
          <w:sz w:val="28"/>
          <w:szCs w:val="28"/>
          <w:color w:val="auto"/>
          <w:vertAlign w:val="superscript"/>
        </w:rPr>
        <w:t>2</w:t>
      </w:r>
      <w:r>
        <w:rPr>
          <w:rFonts w:ascii="Arial" w:cs="Arial" w:eastAsia="Arial" w:hAnsi="Arial"/>
          <w:sz w:val="21"/>
          <w:szCs w:val="21"/>
          <w:color w:val="auto"/>
        </w:rPr>
        <w:t xml:space="preserve"> $[●]</w:t>
      </w:r>
    </w:p>
    <w:p>
      <w:pPr>
        <w:spacing w:after="0" w:line="162" w:lineRule="exact"/>
        <w:rPr>
          <w:sz w:val="20"/>
          <w:szCs w:val="20"/>
          <w:color w:val="auto"/>
        </w:rPr>
      </w:pPr>
    </w:p>
    <w:p>
      <w:pPr>
        <w:spacing w:after="0"/>
        <w:tabs>
          <w:tab w:leader="none" w:pos="740" w:val="left"/>
          <w:tab w:leader="none" w:pos="294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Type of Borrowing</w:t>
      </w:r>
      <w:r>
        <w:rPr>
          <w:rFonts w:ascii="Arial" w:cs="Arial" w:eastAsia="Arial" w:hAnsi="Arial"/>
          <w:sz w:val="28"/>
          <w:szCs w:val="28"/>
          <w:color w:val="auto"/>
          <w:vertAlign w:val="superscript"/>
        </w:rPr>
        <w:t>3</w:t>
      </w:r>
      <w:r>
        <w:rPr>
          <w:sz w:val="20"/>
          <w:szCs w:val="20"/>
          <w:color w:val="auto"/>
        </w:rPr>
        <w:tab/>
      </w:r>
      <w:r>
        <w:rPr>
          <w:rFonts w:ascii="Arial" w:cs="Arial" w:eastAsia="Arial" w:hAnsi="Arial"/>
          <w:sz w:val="21"/>
          <w:szCs w:val="21"/>
          <w:color w:val="auto"/>
        </w:rPr>
        <w:t>[●]</w:t>
      </w:r>
    </w:p>
    <w:p>
      <w:pPr>
        <w:spacing w:after="0" w:line="160" w:lineRule="exact"/>
        <w:rPr>
          <w:sz w:val="20"/>
          <w:szCs w:val="20"/>
          <w:color w:val="auto"/>
        </w:rPr>
      </w:pPr>
    </w:p>
    <w:p>
      <w:pPr>
        <w:ind w:left="760" w:hanging="753"/>
        <w:spacing w:after="0"/>
        <w:tabs>
          <w:tab w:leader="none" w:pos="760" w:val="left"/>
        </w:tabs>
        <w:numPr>
          <w:ilvl w:val="0"/>
          <w:numId w:val="283"/>
        </w:numPr>
        <w:rPr>
          <w:rFonts w:ascii="Arial" w:cs="Arial" w:eastAsia="Arial" w:hAnsi="Arial"/>
          <w:sz w:val="21"/>
          <w:szCs w:val="21"/>
          <w:color w:val="auto"/>
        </w:rPr>
      </w:pPr>
      <w:r>
        <w:rPr>
          <w:rFonts w:ascii="Arial" w:cs="Arial" w:eastAsia="Arial" w:hAnsi="Arial"/>
          <w:sz w:val="21"/>
          <w:szCs w:val="21"/>
          <w:color w:val="auto"/>
        </w:rPr>
        <w:t>Class of Borrowing [●]</w:t>
      </w:r>
    </w:p>
    <w:p>
      <w:pPr>
        <w:spacing w:after="0" w:line="180" w:lineRule="exact"/>
        <w:rPr>
          <w:rFonts w:ascii="Arial" w:cs="Arial" w:eastAsia="Arial" w:hAnsi="Arial"/>
          <w:sz w:val="21"/>
          <w:szCs w:val="21"/>
          <w:color w:val="auto"/>
        </w:rPr>
      </w:pPr>
    </w:p>
    <w:p>
      <w:pPr>
        <w:ind w:left="760" w:hanging="753"/>
        <w:spacing w:after="0"/>
        <w:tabs>
          <w:tab w:leader="none" w:pos="760" w:val="left"/>
        </w:tabs>
        <w:numPr>
          <w:ilvl w:val="0"/>
          <w:numId w:val="283"/>
        </w:numPr>
        <w:rPr>
          <w:rFonts w:ascii="Arial" w:cs="Arial" w:eastAsia="Arial" w:hAnsi="Arial"/>
          <w:sz w:val="21"/>
          <w:szCs w:val="21"/>
          <w:color w:val="auto"/>
        </w:rPr>
      </w:pPr>
      <w:r>
        <w:rPr>
          <w:rFonts w:ascii="Arial" w:cs="Arial" w:eastAsia="Arial" w:hAnsi="Arial"/>
          <w:sz w:val="21"/>
          <w:szCs w:val="21"/>
          <w:color w:val="auto"/>
        </w:rPr>
        <w:t>Interest Period</w:t>
      </w:r>
      <w:r>
        <w:rPr>
          <w:rFonts w:ascii="Arial" w:cs="Arial" w:eastAsia="Arial" w:hAnsi="Arial"/>
          <w:sz w:val="28"/>
          <w:szCs w:val="28"/>
          <w:color w:val="auto"/>
          <w:vertAlign w:val="superscript"/>
        </w:rPr>
        <w:t>4</w:t>
      </w:r>
      <w:r>
        <w:rPr>
          <w:rFonts w:ascii="Arial" w:cs="Arial" w:eastAsia="Arial" w:hAnsi="Arial"/>
          <w:sz w:val="21"/>
          <w:szCs w:val="21"/>
          <w:color w:val="auto"/>
        </w:rPr>
        <w:t xml:space="preserve"> (in the case of a Term SOFR Borrowing</w:t>
      </w:r>
    </w:p>
    <w:p>
      <w:pPr>
        <w:ind w:left="760"/>
        <w:spacing w:after="0"/>
        <w:tabs>
          <w:tab w:leader="none" w:pos="3320" w:val="left"/>
        </w:tabs>
        <w:rPr>
          <w:sz w:val="20"/>
          <w:szCs w:val="20"/>
          <w:color w:val="auto"/>
        </w:rPr>
      </w:pPr>
      <w:r>
        <w:rPr>
          <w:rFonts w:ascii="Arial" w:cs="Arial" w:eastAsia="Arial" w:hAnsi="Arial"/>
          <w:sz w:val="21"/>
          <w:szCs w:val="21"/>
          <w:color w:val="auto"/>
        </w:rPr>
        <w:t>or LIBO Rate Borrowing)</w:t>
      </w:r>
      <w:r>
        <w:rPr>
          <w:sz w:val="20"/>
          <w:szCs w:val="20"/>
          <w:color w:val="auto"/>
        </w:rPr>
        <w:tab/>
      </w:r>
      <w:r>
        <w:rPr>
          <w:rFonts w:ascii="Arial" w:cs="Arial" w:eastAsia="Arial" w:hAnsi="Arial"/>
          <w:sz w:val="21"/>
          <w:szCs w:val="21"/>
          <w:color w:val="auto"/>
        </w:rPr>
        <w:t>[●]</w:t>
      </w:r>
    </w:p>
    <w:p>
      <w:pPr>
        <w:spacing w:after="0" w:line="197" w:lineRule="exact"/>
        <w:rPr>
          <w:sz w:val="20"/>
          <w:szCs w:val="20"/>
          <w:color w:val="auto"/>
        </w:rPr>
      </w:pPr>
    </w:p>
    <w:p>
      <w:pPr>
        <w:ind w:right="3880" w:firstLine="7"/>
        <w:spacing w:after="0" w:line="426" w:lineRule="auto"/>
        <w:tabs>
          <w:tab w:leader="none" w:pos="749" w:val="left"/>
        </w:tabs>
        <w:numPr>
          <w:ilvl w:val="0"/>
          <w:numId w:val="284"/>
        </w:numPr>
        <w:rPr>
          <w:rFonts w:ascii="Arial" w:cs="Arial" w:eastAsia="Arial" w:hAnsi="Arial"/>
          <w:sz w:val="21"/>
          <w:szCs w:val="21"/>
          <w:color w:val="auto"/>
        </w:rPr>
      </w:pPr>
      <w:r>
        <w:rPr>
          <w:rFonts w:ascii="Arial" w:cs="Arial" w:eastAsia="Arial" w:hAnsi="Arial"/>
          <w:sz w:val="21"/>
          <w:szCs w:val="21"/>
          <w:color w:val="auto"/>
        </w:rPr>
        <w:t>The Loans are to be borrowed under the [Term Facility] [Revolving Facility] [(G) Currency [●]</w:t>
      </w:r>
      <w:r>
        <w:rPr>
          <w:rFonts w:ascii="Arial" w:cs="Arial" w:eastAsia="Arial" w:hAnsi="Arial"/>
          <w:sz w:val="28"/>
          <w:szCs w:val="28"/>
          <w:color w:val="auto"/>
          <w:vertAlign w:val="superscript"/>
        </w:rPr>
        <w:t>5</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3806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ind w:left="380" w:hanging="373"/>
        <w:spacing w:after="0" w:line="200" w:lineRule="auto"/>
        <w:tabs>
          <w:tab w:leader="none" w:pos="380" w:val="left"/>
        </w:tabs>
        <w:numPr>
          <w:ilvl w:val="0"/>
          <w:numId w:val="285"/>
        </w:numPr>
        <w:rPr>
          <w:rFonts w:ascii="Arial" w:cs="Arial" w:eastAsia="Arial" w:hAnsi="Arial"/>
          <w:sz w:val="24"/>
          <w:szCs w:val="24"/>
          <w:color w:val="auto"/>
          <w:vertAlign w:val="superscript"/>
        </w:rPr>
      </w:pPr>
      <w:r>
        <w:rPr>
          <w:rFonts w:ascii="Arial" w:cs="Arial" w:eastAsia="Arial" w:hAnsi="Arial"/>
          <w:sz w:val="18"/>
          <w:szCs w:val="18"/>
          <w:color w:val="auto"/>
        </w:rPr>
        <w:t>Subject to Section 2.02(c) and 2.04(a) of Credit Agreement.</w:t>
      </w:r>
    </w:p>
    <w:p>
      <w:pPr>
        <w:spacing w:after="0" w:line="93" w:lineRule="exact"/>
        <w:rPr>
          <w:rFonts w:ascii="Arial" w:cs="Arial" w:eastAsia="Arial" w:hAnsi="Arial"/>
          <w:sz w:val="24"/>
          <w:szCs w:val="24"/>
          <w:color w:val="auto"/>
          <w:vertAlign w:val="superscript"/>
        </w:rPr>
      </w:pPr>
    </w:p>
    <w:p>
      <w:pPr>
        <w:jc w:val="both"/>
        <w:ind w:left="380" w:hanging="373"/>
        <w:spacing w:after="0" w:line="250" w:lineRule="auto"/>
        <w:tabs>
          <w:tab w:leader="none" w:pos="380" w:val="left"/>
        </w:tabs>
        <w:numPr>
          <w:ilvl w:val="0"/>
          <w:numId w:val="285"/>
        </w:numPr>
        <w:rPr>
          <w:rFonts w:ascii="Arial" w:cs="Arial" w:eastAsia="Arial" w:hAnsi="Arial"/>
          <w:sz w:val="21"/>
          <w:szCs w:val="21"/>
          <w:color w:val="auto"/>
          <w:vertAlign w:val="superscript"/>
        </w:rPr>
      </w:pPr>
      <w:r>
        <w:rPr>
          <w:rFonts w:ascii="Arial" w:cs="Arial" w:eastAsia="Arial" w:hAnsi="Arial"/>
          <w:sz w:val="16"/>
          <w:szCs w:val="16"/>
          <w:color w:val="auto"/>
        </w:rPr>
        <w:t>State whether a LIBO Rate Borrowing (with respect to a Revolving Loan Borrowing denominated in Euro), Term SOFR Borrowing, RFR Borrowing or ABR Borrowing. If no Type of Borrowing is specified, then the requested Borrowing shall be (x) with respect to a Loan in Dollars, an ABR Loan,</w:t>
      </w:r>
    </w:p>
    <w:p>
      <w:pPr>
        <w:spacing w:after="0" w:line="1" w:lineRule="exact"/>
        <w:rPr>
          <w:rFonts w:ascii="Arial" w:cs="Arial" w:eastAsia="Arial" w:hAnsi="Arial"/>
          <w:sz w:val="21"/>
          <w:szCs w:val="21"/>
          <w:color w:val="auto"/>
          <w:vertAlign w:val="superscript"/>
        </w:rPr>
      </w:pPr>
    </w:p>
    <w:p>
      <w:pPr>
        <w:jc w:val="both"/>
        <w:ind w:left="380"/>
        <w:spacing w:after="0" w:line="253" w:lineRule="auto"/>
        <w:rPr>
          <w:rFonts w:ascii="Arial" w:cs="Arial" w:eastAsia="Arial" w:hAnsi="Arial"/>
          <w:sz w:val="21"/>
          <w:szCs w:val="21"/>
          <w:color w:val="auto"/>
          <w:vertAlign w:val="superscript"/>
        </w:rPr>
      </w:pPr>
      <w:r>
        <w:rPr>
          <w:rFonts w:ascii="Arial" w:cs="Arial" w:eastAsia="Arial" w:hAnsi="Arial"/>
          <w:sz w:val="18"/>
          <w:szCs w:val="18"/>
          <w:color w:val="auto"/>
        </w:rPr>
        <w:t>(y) with respect to a Loan in any Revolving Alternative Currency other than British Pounds Sterling, a Relevant Rate Loan Borrowing or LIBO Rate Loan Borrowing, as applicable, with a one month Interest Period and (z) with respect to a Loan in British Pounds Sterling, an RFR Borrowing. A Borrowing of Swingline Loans shall be an ABR Borrowing.</w:t>
      </w:r>
    </w:p>
    <w:p>
      <w:pPr>
        <w:spacing w:after="0" w:line="16" w:lineRule="exact"/>
        <w:rPr>
          <w:rFonts w:ascii="Arial" w:cs="Arial" w:eastAsia="Arial" w:hAnsi="Arial"/>
          <w:sz w:val="21"/>
          <w:szCs w:val="21"/>
          <w:color w:val="auto"/>
          <w:vertAlign w:val="superscript"/>
        </w:rPr>
      </w:pPr>
    </w:p>
    <w:p>
      <w:pPr>
        <w:ind w:left="380" w:hanging="373"/>
        <w:spacing w:after="0" w:line="220" w:lineRule="auto"/>
        <w:tabs>
          <w:tab w:leader="none" w:pos="380" w:val="left"/>
        </w:tabs>
        <w:numPr>
          <w:ilvl w:val="0"/>
          <w:numId w:val="285"/>
        </w:numPr>
        <w:rPr>
          <w:rFonts w:ascii="Arial" w:cs="Arial" w:eastAsia="Arial" w:hAnsi="Arial"/>
          <w:sz w:val="24"/>
          <w:szCs w:val="24"/>
          <w:color w:val="auto"/>
          <w:vertAlign w:val="superscript"/>
        </w:rPr>
      </w:pPr>
      <w:r>
        <w:rPr>
          <w:rFonts w:ascii="Arial" w:cs="Arial" w:eastAsia="Arial" w:hAnsi="Arial"/>
          <w:sz w:val="18"/>
          <w:szCs w:val="18"/>
          <w:color w:val="auto"/>
        </w:rPr>
        <w:t>Must be a period contemplated by the definition of “Interest Period”. If no Interest Period is specified, then the Interest Period shall be of one month’s duration.</w:t>
      </w:r>
    </w:p>
    <w:p>
      <w:pPr>
        <w:spacing w:after="0" w:line="94" w:lineRule="exact"/>
        <w:rPr>
          <w:rFonts w:ascii="Arial" w:cs="Arial" w:eastAsia="Arial" w:hAnsi="Arial"/>
          <w:sz w:val="24"/>
          <w:szCs w:val="24"/>
          <w:color w:val="auto"/>
          <w:vertAlign w:val="superscript"/>
        </w:rPr>
      </w:pPr>
    </w:p>
    <w:p>
      <w:pPr>
        <w:jc w:val="both"/>
        <w:ind w:left="380" w:hanging="373"/>
        <w:spacing w:after="0" w:line="241" w:lineRule="auto"/>
        <w:tabs>
          <w:tab w:leader="none" w:pos="380" w:val="left"/>
        </w:tabs>
        <w:numPr>
          <w:ilvl w:val="0"/>
          <w:numId w:val="285"/>
        </w:numPr>
        <w:rPr>
          <w:rFonts w:ascii="Arial" w:cs="Arial" w:eastAsia="Arial" w:hAnsi="Arial"/>
          <w:sz w:val="23"/>
          <w:szCs w:val="23"/>
          <w:color w:val="auto"/>
          <w:vertAlign w:val="superscript"/>
        </w:rPr>
      </w:pPr>
      <w:r>
        <w:rPr>
          <w:rFonts w:ascii="Arial" w:cs="Arial" w:eastAsia="Arial" w:hAnsi="Arial"/>
          <w:sz w:val="17"/>
          <w:szCs w:val="17"/>
          <w:color w:val="auto"/>
        </w:rPr>
        <w:t>For Borrowing of Revolving Loans (other than Swingline Loans), please specify the currency, which shall be one of the following: (i) Dollars, (ii) British Pounds Sterling, (iii) Euro or (iv) any other currencies as shall be agreed from time to time among the Administrative Agent, each Revolving Lender, each applicable Issuing Bank and the Borrower. If no currency is specified, then the loan shall be issued in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71583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31" w:name="page232"/>
    <w:bookmarkEnd w:id="231"/>
    <w:p>
      <w:pPr>
        <w:ind w:left="760" w:hanging="753"/>
        <w:spacing w:after="0"/>
        <w:tabs>
          <w:tab w:leader="none" w:pos="760" w:val="left"/>
        </w:tabs>
        <w:numPr>
          <w:ilvl w:val="0"/>
          <w:numId w:val="286"/>
        </w:numPr>
        <w:rPr>
          <w:rFonts w:ascii="Arial" w:cs="Arial" w:eastAsia="Arial" w:hAnsi="Arial"/>
          <w:sz w:val="21"/>
          <w:szCs w:val="21"/>
          <w:color w:val="auto"/>
        </w:rPr>
      </w:pPr>
      <w:r>
        <w:rPr>
          <w:rFonts w:ascii="Arial" w:cs="Arial" w:eastAsia="Arial" w:hAnsi="Arial"/>
          <w:sz w:val="21"/>
          <w:szCs w:val="21"/>
          <w:color w:val="auto"/>
        </w:rPr>
        <w:t>Amount. Account Number and Location</w:t>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360"/>
        </w:trPr>
        <w:tc>
          <w:tcPr>
            <w:tcW w:w="2820" w:type="dxa"/>
            <w:vAlign w:val="bottom"/>
            <w:shd w:val="clear" w:color="auto" w:fill="D9D9D9"/>
          </w:tcPr>
          <w:p>
            <w:pPr>
              <w:spacing w:after="0"/>
              <w:rPr>
                <w:sz w:val="24"/>
                <w:szCs w:val="24"/>
                <w:color w:val="auto"/>
              </w:rPr>
            </w:pPr>
          </w:p>
        </w:tc>
        <w:tc>
          <w:tcPr>
            <w:tcW w:w="7400" w:type="dxa"/>
            <w:vAlign w:val="bottom"/>
            <w:shd w:val="clear" w:color="auto" w:fill="D9D9D9"/>
          </w:tcPr>
          <w:p>
            <w:pPr>
              <w:ind w:left="1440"/>
              <w:spacing w:after="0"/>
              <w:rPr>
                <w:sz w:val="20"/>
                <w:szCs w:val="20"/>
                <w:color w:val="auto"/>
              </w:rPr>
            </w:pPr>
            <w:r>
              <w:rPr>
                <w:rFonts w:ascii="Arial" w:cs="Arial" w:eastAsia="Arial" w:hAnsi="Arial"/>
                <w:sz w:val="21"/>
                <w:szCs w:val="21"/>
                <w:i w:val="1"/>
                <w:iCs w:val="1"/>
                <w:color w:val="auto"/>
              </w:rPr>
              <w:t>Wire Transfer Instructions:</w:t>
            </w:r>
          </w:p>
        </w:tc>
      </w:tr>
      <w:tr>
        <w:trPr>
          <w:trHeight w:val="97"/>
        </w:trPr>
        <w:tc>
          <w:tcPr>
            <w:tcW w:w="2820" w:type="dxa"/>
            <w:vAlign w:val="bottom"/>
            <w:shd w:val="clear" w:color="auto" w:fill="D9D9D9"/>
          </w:tcPr>
          <w:p>
            <w:pPr>
              <w:spacing w:after="0"/>
              <w:rPr>
                <w:sz w:val="8"/>
                <w:szCs w:val="8"/>
                <w:color w:val="auto"/>
              </w:rPr>
            </w:pPr>
          </w:p>
        </w:tc>
        <w:tc>
          <w:tcPr>
            <w:tcW w:w="7400" w:type="dxa"/>
            <w:vAlign w:val="bottom"/>
            <w:shd w:val="clear" w:color="auto" w:fill="D9D9D9"/>
          </w:tcPr>
          <w:p>
            <w:pPr>
              <w:spacing w:after="0"/>
              <w:rPr>
                <w:sz w:val="8"/>
                <w:szCs w:val="8"/>
                <w:color w:val="auto"/>
              </w:rPr>
            </w:pPr>
          </w:p>
        </w:tc>
      </w:tr>
      <w:tr>
        <w:trPr>
          <w:trHeight w:val="373"/>
        </w:trPr>
        <w:tc>
          <w:tcPr>
            <w:tcW w:w="2820" w:type="dxa"/>
            <w:vAlign w:val="bottom"/>
          </w:tcPr>
          <w:p>
            <w:pPr>
              <w:ind w:left="160"/>
              <w:spacing w:after="0"/>
              <w:rPr>
                <w:sz w:val="20"/>
                <w:szCs w:val="20"/>
                <w:color w:val="auto"/>
              </w:rPr>
            </w:pPr>
            <w:r>
              <w:rPr>
                <w:rFonts w:ascii="Arial" w:cs="Arial" w:eastAsia="Arial" w:hAnsi="Arial"/>
                <w:sz w:val="21"/>
                <w:szCs w:val="21"/>
                <w:color w:val="auto"/>
              </w:rPr>
              <w:t>Amount</w:t>
            </w:r>
          </w:p>
        </w:tc>
        <w:tc>
          <w:tcPr>
            <w:tcW w:w="7400" w:type="dxa"/>
            <w:vAlign w:val="bottom"/>
          </w:tcPr>
          <w:p>
            <w:pPr>
              <w:ind w:left="2780"/>
              <w:spacing w:after="0"/>
              <w:rPr>
                <w:sz w:val="20"/>
                <w:szCs w:val="20"/>
                <w:color w:val="auto"/>
              </w:rPr>
            </w:pPr>
            <w:r>
              <w:rPr>
                <w:rFonts w:ascii="Arial" w:cs="Arial" w:eastAsia="Arial" w:hAnsi="Arial"/>
                <w:sz w:val="21"/>
                <w:szCs w:val="21"/>
                <w:color w:val="auto"/>
              </w:rPr>
              <w:t>$[●]</w:t>
            </w:r>
          </w:p>
        </w:tc>
      </w:tr>
      <w:tr>
        <w:trPr>
          <w:trHeight w:val="457"/>
        </w:trPr>
        <w:tc>
          <w:tcPr>
            <w:tcW w:w="2820" w:type="dxa"/>
            <w:vAlign w:val="bottom"/>
          </w:tcPr>
          <w:p>
            <w:pPr>
              <w:spacing w:after="0"/>
              <w:rPr>
                <w:sz w:val="20"/>
                <w:szCs w:val="20"/>
                <w:color w:val="auto"/>
              </w:rPr>
            </w:pPr>
            <w:r>
              <w:rPr>
                <w:rFonts w:ascii="Arial" w:cs="Arial" w:eastAsia="Arial" w:hAnsi="Arial"/>
                <w:sz w:val="21"/>
                <w:szCs w:val="21"/>
                <w:color w:val="auto"/>
              </w:rPr>
              <w:t>Bank:</w:t>
            </w:r>
          </w:p>
        </w:tc>
        <w:tc>
          <w:tcPr>
            <w:tcW w:w="7400" w:type="dxa"/>
            <w:vAlign w:val="bottom"/>
          </w:tcPr>
          <w:p>
            <w:pPr>
              <w:ind w:left="2780"/>
              <w:spacing w:after="0"/>
              <w:rPr>
                <w:sz w:val="20"/>
                <w:szCs w:val="20"/>
                <w:color w:val="auto"/>
              </w:rPr>
            </w:pPr>
            <w:r>
              <w:rPr>
                <w:rFonts w:ascii="Arial" w:cs="Arial" w:eastAsia="Arial" w:hAnsi="Arial"/>
                <w:sz w:val="21"/>
                <w:szCs w:val="21"/>
                <w:color w:val="auto"/>
              </w:rPr>
              <w:t>[●]</w:t>
            </w:r>
          </w:p>
        </w:tc>
      </w:tr>
      <w:tr>
        <w:trPr>
          <w:trHeight w:val="457"/>
        </w:trPr>
        <w:tc>
          <w:tcPr>
            <w:tcW w:w="2820" w:type="dxa"/>
            <w:vAlign w:val="bottom"/>
          </w:tcPr>
          <w:p>
            <w:pPr>
              <w:spacing w:after="0"/>
              <w:rPr>
                <w:sz w:val="20"/>
                <w:szCs w:val="20"/>
                <w:color w:val="auto"/>
              </w:rPr>
            </w:pPr>
            <w:r>
              <w:rPr>
                <w:rFonts w:ascii="Arial" w:cs="Arial" w:eastAsia="Arial" w:hAnsi="Arial"/>
                <w:sz w:val="21"/>
                <w:szCs w:val="21"/>
                <w:color w:val="auto"/>
              </w:rPr>
              <w:t>ABA No.:</w:t>
            </w:r>
          </w:p>
        </w:tc>
        <w:tc>
          <w:tcPr>
            <w:tcW w:w="7400" w:type="dxa"/>
            <w:vAlign w:val="bottom"/>
          </w:tcPr>
          <w:p>
            <w:pPr>
              <w:ind w:left="2780"/>
              <w:spacing w:after="0"/>
              <w:rPr>
                <w:sz w:val="20"/>
                <w:szCs w:val="20"/>
                <w:color w:val="auto"/>
              </w:rPr>
            </w:pPr>
            <w:r>
              <w:rPr>
                <w:rFonts w:ascii="Arial" w:cs="Arial" w:eastAsia="Arial" w:hAnsi="Arial"/>
                <w:sz w:val="21"/>
                <w:szCs w:val="21"/>
                <w:color w:val="auto"/>
              </w:rPr>
              <w:t>[●]</w:t>
            </w:r>
          </w:p>
        </w:tc>
      </w:tr>
      <w:tr>
        <w:trPr>
          <w:trHeight w:val="470"/>
        </w:trPr>
        <w:tc>
          <w:tcPr>
            <w:tcW w:w="2820" w:type="dxa"/>
            <w:vAlign w:val="bottom"/>
          </w:tcPr>
          <w:p>
            <w:pPr>
              <w:spacing w:after="0"/>
              <w:rPr>
                <w:sz w:val="20"/>
                <w:szCs w:val="20"/>
                <w:color w:val="auto"/>
              </w:rPr>
            </w:pPr>
            <w:r>
              <w:rPr>
                <w:rFonts w:ascii="Arial" w:cs="Arial" w:eastAsia="Arial" w:hAnsi="Arial"/>
                <w:sz w:val="21"/>
                <w:szCs w:val="21"/>
                <w:color w:val="auto"/>
              </w:rPr>
              <w:t>Account No.:</w:t>
            </w:r>
          </w:p>
        </w:tc>
        <w:tc>
          <w:tcPr>
            <w:tcW w:w="7400" w:type="dxa"/>
            <w:vAlign w:val="bottom"/>
          </w:tcPr>
          <w:p>
            <w:pPr>
              <w:ind w:left="2780"/>
              <w:spacing w:after="0"/>
              <w:rPr>
                <w:sz w:val="20"/>
                <w:szCs w:val="20"/>
                <w:color w:val="auto"/>
              </w:rPr>
            </w:pPr>
            <w:r>
              <w:rPr>
                <w:rFonts w:ascii="Arial" w:cs="Arial" w:eastAsia="Arial" w:hAnsi="Arial"/>
                <w:sz w:val="21"/>
                <w:szCs w:val="21"/>
                <w:color w:val="auto"/>
              </w:rPr>
              <w:t>[●]</w:t>
            </w:r>
          </w:p>
        </w:tc>
      </w:tr>
      <w:tr>
        <w:trPr>
          <w:trHeight w:val="457"/>
        </w:trPr>
        <w:tc>
          <w:tcPr>
            <w:tcW w:w="2820" w:type="dxa"/>
            <w:vAlign w:val="bottom"/>
          </w:tcPr>
          <w:p>
            <w:pPr>
              <w:spacing w:after="0"/>
              <w:rPr>
                <w:sz w:val="20"/>
                <w:szCs w:val="20"/>
                <w:color w:val="auto"/>
              </w:rPr>
            </w:pPr>
            <w:r>
              <w:rPr>
                <w:rFonts w:ascii="Arial" w:cs="Arial" w:eastAsia="Arial" w:hAnsi="Arial"/>
                <w:sz w:val="21"/>
                <w:szCs w:val="21"/>
                <w:color w:val="auto"/>
              </w:rPr>
              <w:t>Account Name:</w:t>
            </w:r>
          </w:p>
        </w:tc>
        <w:tc>
          <w:tcPr>
            <w:tcW w:w="7400" w:type="dxa"/>
            <w:vAlign w:val="bottom"/>
          </w:tcPr>
          <w:p>
            <w:pPr>
              <w:ind w:left="2780"/>
              <w:spacing w:after="0"/>
              <w:rPr>
                <w:sz w:val="20"/>
                <w:szCs w:val="20"/>
                <w:color w:val="auto"/>
              </w:rPr>
            </w:pPr>
            <w:r>
              <w:rPr>
                <w:rFonts w:ascii="Arial" w:cs="Arial" w:eastAsia="Arial" w:hAnsi="Arial"/>
                <w:sz w:val="21"/>
                <w:szCs w:val="21"/>
                <w:color w:val="auto"/>
              </w:rPr>
              <w:t>[●]</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certifies that the following statements are true on the date hereof and will be true on the date of the</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Borrowing:</w:t>
      </w:r>
    </w:p>
    <w:p>
      <w:pPr>
        <w:spacing w:after="0" w:line="197" w:lineRule="exact"/>
        <w:rPr>
          <w:sz w:val="20"/>
          <w:szCs w:val="20"/>
          <w:color w:val="auto"/>
        </w:rPr>
      </w:pPr>
    </w:p>
    <w:p>
      <w:pPr>
        <w:jc w:val="both"/>
        <w:ind w:left="760" w:hanging="753"/>
        <w:spacing w:after="0" w:line="245" w:lineRule="auto"/>
        <w:tabs>
          <w:tab w:leader="none" w:pos="76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Loan Parties set forth in the Credit Agreement and the other Loan Documents are true and correct in all material respects on and as of the date of the Borrowing with the same effect as though such representations and warranties had been made on and as of the date of such Borrowing; </w:t>
      </w:r>
      <w:r>
        <w:rPr>
          <w:rFonts w:ascii="Arial" w:cs="Arial" w:eastAsia="Arial" w:hAnsi="Arial"/>
          <w:sz w:val="21"/>
          <w:szCs w:val="21"/>
          <w:b w:val="1"/>
          <w:bCs w:val="1"/>
          <w:color w:val="auto"/>
        </w:rPr>
        <w:t>provided</w:t>
      </w:r>
      <w:r>
        <w:rPr>
          <w:rFonts w:ascii="Arial" w:cs="Arial" w:eastAsia="Arial" w:hAnsi="Arial"/>
          <w:sz w:val="21"/>
          <w:szCs w:val="21"/>
          <w:color w:val="auto"/>
        </w:rPr>
        <w:t xml:space="preserve"> that to the extent that any representation and warranty specifically refers to an earlier date, it is true and correct in all material respects as of such earlier date; </w:t>
      </w:r>
      <w:r>
        <w:rPr>
          <w:rFonts w:ascii="Arial" w:cs="Arial" w:eastAsia="Arial" w:hAnsi="Arial"/>
          <w:sz w:val="21"/>
          <w:szCs w:val="21"/>
          <w:b w:val="1"/>
          <w:bCs w:val="1"/>
          <w:color w:val="auto"/>
        </w:rPr>
        <w:t>provided, further</w:t>
      </w:r>
      <w:r>
        <w:rPr>
          <w:rFonts w:ascii="Arial" w:cs="Arial" w:eastAsia="Arial" w:hAnsi="Arial"/>
          <w:sz w:val="21"/>
          <w:szCs w:val="21"/>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97" w:lineRule="exact"/>
        <w:rPr>
          <w:rFonts w:ascii="Arial" w:cs="Arial" w:eastAsia="Arial" w:hAnsi="Arial"/>
          <w:sz w:val="21"/>
          <w:szCs w:val="21"/>
          <w:color w:val="auto"/>
        </w:rPr>
      </w:pPr>
    </w:p>
    <w:p>
      <w:pPr>
        <w:ind w:left="760" w:hanging="753"/>
        <w:spacing w:after="0"/>
        <w:tabs>
          <w:tab w:leader="none" w:pos="76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the Borrowing, no Default or Event of Default exists.]</w:t>
      </w:r>
      <w:r>
        <w:rPr>
          <w:rFonts w:ascii="Arial" w:cs="Arial" w:eastAsia="Arial" w:hAnsi="Arial"/>
          <w:sz w:val="28"/>
          <w:szCs w:val="28"/>
          <w:color w:val="auto"/>
          <w:vertAlign w:val="superscript"/>
        </w:rPr>
        <w:t>6</w:t>
      </w:r>
    </w:p>
    <w:p>
      <w:pPr>
        <w:spacing w:after="0" w:line="160"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23806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380" w:hanging="373"/>
        <w:spacing w:after="0" w:line="250" w:lineRule="auto"/>
        <w:tabs>
          <w:tab w:leader="none" w:pos="380" w:val="left"/>
        </w:tabs>
        <w:numPr>
          <w:ilvl w:val="0"/>
          <w:numId w:val="288"/>
        </w:numPr>
        <w:rPr>
          <w:rFonts w:ascii="Arial" w:cs="Arial" w:eastAsia="Arial" w:hAnsi="Arial"/>
          <w:sz w:val="21"/>
          <w:szCs w:val="21"/>
          <w:color w:val="auto"/>
          <w:vertAlign w:val="superscript"/>
        </w:rPr>
      </w:pPr>
      <w:r>
        <w:rPr>
          <w:rFonts w:ascii="Arial" w:cs="Arial" w:eastAsia="Arial" w:hAnsi="Arial"/>
          <w:sz w:val="16"/>
          <w:szCs w:val="16"/>
          <w:color w:val="auto"/>
        </w:rPr>
        <w:t>Include bracketed language only for Borrowings after Closing Date other than (A) Incremental Loans made in connection with any acquisition, other Investment or irrevocable repayment, repurchase or redemption of Indebtedness and/or (B) any Credit Extension under any Refinancing Amendment</w:t>
      </w:r>
    </w:p>
    <w:p>
      <w:pPr>
        <w:spacing w:after="0" w:line="1" w:lineRule="exact"/>
        <w:rPr>
          <w:sz w:val="20"/>
          <w:szCs w:val="20"/>
          <w:color w:val="auto"/>
        </w:rPr>
      </w:pPr>
    </w:p>
    <w:p>
      <w:pPr>
        <w:ind w:left="380"/>
        <w:spacing w:after="0" w:line="249" w:lineRule="auto"/>
        <w:rPr>
          <w:sz w:val="20"/>
          <w:szCs w:val="20"/>
          <w:color w:val="auto"/>
        </w:rPr>
      </w:pPr>
      <w:r>
        <w:rPr>
          <w:rFonts w:ascii="Arial" w:cs="Arial" w:eastAsia="Arial" w:hAnsi="Arial"/>
          <w:sz w:val="18"/>
          <w:szCs w:val="18"/>
          <w:color w:val="auto"/>
        </w:rPr>
        <w:t>and/or Extension Amendment unless in each case the lenders in respect thereof have required satisfaction of such conditions in the applicable Incremental Amendment, Refinancing Amendment or Extension Amendment, as applicable.</w:t>
      </w: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71583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32" w:name="page233"/>
    <w:bookmarkEnd w:id="232"/>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CCC INTELLIGENT SOLUTIONS INC.</w:t>
      </w:r>
      <w:r>
        <w:rPr>
          <w:rFonts w:ascii="Arial" w:cs="Arial" w:eastAsia="Arial" w:hAnsi="Arial"/>
          <w:sz w:val="21"/>
          <w:szCs w:val="2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_______________________________</w:t>
      </w:r>
    </w:p>
    <w:p>
      <w:pPr>
        <w:spacing w:after="0" w:line="215"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Name:</w:t>
        <w:tab/>
        <w:t>_______________________________</w:t>
      </w:r>
    </w:p>
    <w:p>
      <w:pPr>
        <w:spacing w:after="0" w:line="254"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Title:</w:t>
      </w:r>
      <w:r>
        <w:rPr>
          <w:rFonts w:ascii="Arial" w:cs="Arial" w:eastAsia="Arial" w:hAnsi="Arial"/>
          <w:sz w:val="28"/>
          <w:szCs w:val="28"/>
          <w:color w:val="auto"/>
          <w:vertAlign w:val="superscript"/>
        </w:rPr>
        <w:t>7</w:t>
      </w:r>
      <w:r>
        <w:rPr>
          <w:sz w:val="20"/>
          <w:szCs w:val="20"/>
          <w:color w:val="auto"/>
        </w:rPr>
        <w:tab/>
      </w:r>
      <w:r>
        <w:rPr>
          <w:rFonts w:ascii="Arial" w:cs="Arial" w:eastAsia="Arial" w:hAnsi="Arial"/>
          <w:sz w:val="19"/>
          <w:szCs w:val="19"/>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23806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356" w:lineRule="exact"/>
        <w:rPr>
          <w:sz w:val="20"/>
          <w:szCs w:val="20"/>
          <w:color w:val="auto"/>
        </w:rPr>
      </w:pPr>
    </w:p>
    <w:p>
      <w:pPr>
        <w:ind w:left="380" w:hanging="373"/>
        <w:spacing w:after="0"/>
        <w:tabs>
          <w:tab w:leader="none" w:pos="380" w:val="left"/>
        </w:tabs>
        <w:numPr>
          <w:ilvl w:val="0"/>
          <w:numId w:val="289"/>
        </w:numPr>
        <w:rPr>
          <w:rFonts w:ascii="Arial" w:cs="Arial" w:eastAsia="Arial" w:hAnsi="Arial"/>
          <w:sz w:val="24"/>
          <w:szCs w:val="24"/>
          <w:color w:val="auto"/>
          <w:vertAlign w:val="superscript"/>
        </w:rPr>
      </w:pPr>
      <w:r>
        <w:rPr>
          <w:rFonts w:ascii="Arial" w:cs="Arial" w:eastAsia="Arial" w:hAnsi="Arial"/>
          <w:sz w:val="18"/>
          <w:szCs w:val="18"/>
          <w:color w:val="auto"/>
        </w:rPr>
        <w:t>To be a Responsible Officer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191770</wp:posOffset>
            </wp:positionV>
            <wp:extent cx="71583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327" w:right="1440" w:bottom="1440" w:gutter="0" w:footer="0" w:header="0"/>
        </w:sectPr>
      </w:pPr>
    </w:p>
    <w:bookmarkStart w:id="233" w:name="page234"/>
    <w:bookmarkEnd w:id="2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Githesh Ramamurthy, certify that:</w:t>
      </w:r>
    </w:p>
    <w:p>
      <w:pPr>
        <w:spacing w:after="0" w:line="223" w:lineRule="exact"/>
        <w:rPr>
          <w:sz w:val="20"/>
          <w:szCs w:val="20"/>
          <w:color w:val="auto"/>
        </w:rPr>
      </w:pPr>
    </w:p>
    <w:p>
      <w:pPr>
        <w:ind w:left="380" w:hanging="373"/>
        <w:spacing w:after="0"/>
        <w:tabs>
          <w:tab w:leader="none" w:pos="3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249" w:lineRule="exact"/>
        <w:rPr>
          <w:rFonts w:ascii="Arial" w:cs="Arial" w:eastAsia="Arial" w:hAnsi="Arial"/>
          <w:sz w:val="18"/>
          <w:szCs w:val="18"/>
          <w:color w:val="auto"/>
        </w:rPr>
      </w:pPr>
    </w:p>
    <w:p>
      <w:pPr>
        <w:jc w:val="both"/>
        <w:ind w:left="380" w:right="440" w:hanging="373"/>
        <w:spacing w:after="0" w:line="262" w:lineRule="auto"/>
        <w:tabs>
          <w:tab w:leader="none" w:pos="3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380" w:right="400" w:hanging="373"/>
        <w:spacing w:after="0" w:line="305" w:lineRule="auto"/>
        <w:tabs>
          <w:tab w:leader="none" w:pos="3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7"/>
          <w:szCs w:val="17"/>
          <w:color w:val="auto"/>
        </w:rPr>
      </w:pPr>
    </w:p>
    <w:p>
      <w:pPr>
        <w:ind w:left="380" w:right="640" w:hanging="373"/>
        <w:spacing w:after="0" w:line="275" w:lineRule="auto"/>
        <w:tabs>
          <w:tab w:leader="none" w:pos="3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760" w:right="140" w:hanging="4"/>
        <w:spacing w:after="0" w:line="262" w:lineRule="auto"/>
        <w:tabs>
          <w:tab w:leader="none" w:pos="111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20" w:hanging="364"/>
        <w:spacing w:after="0"/>
        <w:tabs>
          <w:tab w:leader="none" w:pos="1120" w:val="left"/>
        </w:tabs>
        <w:numPr>
          <w:ilvl w:val="1"/>
          <w:numId w:val="290"/>
        </w:numPr>
        <w:rPr>
          <w:rFonts w:ascii="Arial" w:cs="Arial" w:eastAsia="Arial" w:hAnsi="Arial"/>
          <w:sz w:val="16"/>
          <w:szCs w:val="16"/>
          <w:color w:val="auto"/>
        </w:rPr>
      </w:pPr>
      <w:r>
        <w:rPr>
          <w:rFonts w:ascii="Arial" w:cs="Arial" w:eastAsia="Arial" w:hAnsi="Arial"/>
          <w:sz w:val="16"/>
          <w:szCs w:val="16"/>
          <w:color w:val="252525"/>
        </w:rPr>
        <w:t>Designed such internal control over financial reporting, or caused such internal control over financial reporting to be designed under our</w:t>
      </w:r>
    </w:p>
    <w:p>
      <w:pPr>
        <w:spacing w:after="0" w:line="45" w:lineRule="exact"/>
        <w:rPr>
          <w:rFonts w:ascii="Arial" w:cs="Arial" w:eastAsia="Arial" w:hAnsi="Arial"/>
          <w:sz w:val="16"/>
          <w:szCs w:val="16"/>
          <w:color w:val="auto"/>
        </w:rPr>
      </w:pPr>
    </w:p>
    <w:p>
      <w:pPr>
        <w:ind w:left="760" w:right="20"/>
        <w:spacing w:after="0" w:line="258" w:lineRule="auto"/>
        <w:rPr>
          <w:rFonts w:ascii="Arial" w:cs="Arial" w:eastAsia="Arial" w:hAnsi="Arial"/>
          <w:sz w:val="16"/>
          <w:szCs w:val="16"/>
          <w:color w:val="auto"/>
        </w:rPr>
      </w:pPr>
      <w:r>
        <w:rPr>
          <w:rFonts w:ascii="Arial" w:cs="Arial" w:eastAsia="Arial" w:hAnsi="Arial"/>
          <w:sz w:val="18"/>
          <w:szCs w:val="18"/>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6"/>
          <w:szCs w:val="16"/>
          <w:color w:val="auto"/>
        </w:rPr>
      </w:pPr>
    </w:p>
    <w:p>
      <w:pPr>
        <w:ind w:left="760" w:right="480" w:hanging="4"/>
        <w:spacing w:after="0" w:line="339" w:lineRule="auto"/>
        <w:tabs>
          <w:tab w:leader="none" w:pos="111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6"/>
          <w:szCs w:val="16"/>
          <w:color w:val="auto"/>
        </w:rPr>
      </w:pPr>
    </w:p>
    <w:p>
      <w:pPr>
        <w:ind w:left="760" w:right="440" w:hanging="4"/>
        <w:spacing w:after="0" w:line="262" w:lineRule="auto"/>
        <w:tabs>
          <w:tab w:leader="none" w:pos="111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80" w:right="320" w:hanging="373"/>
        <w:spacing w:after="0" w:line="305" w:lineRule="auto"/>
        <w:tabs>
          <w:tab w:leader="none" w:pos="3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760" w:right="680" w:hanging="4"/>
        <w:spacing w:after="0" w:line="339" w:lineRule="auto"/>
        <w:tabs>
          <w:tab w:leader="none" w:pos="111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760" w:right="380" w:hanging="4"/>
        <w:spacing w:after="0" w:line="275" w:lineRule="auto"/>
        <w:tabs>
          <w:tab w:leader="none" w:pos="111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tabs>
          <w:tab w:leader="none" w:pos="4720" w:val="left"/>
        </w:tabs>
        <w:rPr>
          <w:sz w:val="20"/>
          <w:szCs w:val="20"/>
          <w:color w:val="auto"/>
        </w:rPr>
      </w:pPr>
      <w:r>
        <w:rPr>
          <w:rFonts w:ascii="Arial" w:cs="Arial" w:eastAsia="Arial" w:hAnsi="Arial"/>
          <w:sz w:val="18"/>
          <w:szCs w:val="18"/>
          <w:color w:val="auto"/>
        </w:rPr>
        <w:t>Dated: August 1, 2023</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31115</wp:posOffset>
            </wp:positionV>
            <wp:extent cx="42830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283075" cy="8255"/>
                    </a:xfrm>
                    <a:prstGeom prst="rect">
                      <a:avLst/>
                    </a:prstGeom>
                    <a:noFill/>
                  </pic:spPr>
                </pic:pic>
              </a:graphicData>
            </a:graphic>
          </wp:anchor>
        </w:drawing>
      </w:r>
    </w:p>
    <w:p>
      <w:pPr>
        <w:spacing w:after="0" w:line="6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83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center"/>
        <w:ind w:right="59"/>
        <w:spacing w:after="0"/>
        <w:rPr>
          <w:sz w:val="20"/>
          <w:szCs w:val="20"/>
          <w:color w:val="auto"/>
        </w:rPr>
      </w:pP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109855</wp:posOffset>
            </wp:positionV>
            <wp:extent cx="71583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236" w:name="page237"/>
    <w:bookmarkEnd w:id="2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Brian Herb, certify that:</w:t>
      </w:r>
    </w:p>
    <w:p>
      <w:pPr>
        <w:spacing w:after="0" w:line="250" w:lineRule="exact"/>
        <w:rPr>
          <w:sz w:val="20"/>
          <w:szCs w:val="20"/>
          <w:color w:val="auto"/>
        </w:rPr>
      </w:pPr>
    </w:p>
    <w:p>
      <w:pPr>
        <w:ind w:left="380" w:hanging="373"/>
        <w:spacing w:after="0"/>
        <w:tabs>
          <w:tab w:leader="none" w:pos="3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249" w:lineRule="exact"/>
        <w:rPr>
          <w:rFonts w:ascii="Arial" w:cs="Arial" w:eastAsia="Arial" w:hAnsi="Arial"/>
          <w:sz w:val="18"/>
          <w:szCs w:val="18"/>
          <w:color w:val="auto"/>
        </w:rPr>
      </w:pPr>
    </w:p>
    <w:p>
      <w:pPr>
        <w:jc w:val="both"/>
        <w:ind w:left="380" w:right="440" w:hanging="373"/>
        <w:spacing w:after="0" w:line="262" w:lineRule="auto"/>
        <w:tabs>
          <w:tab w:leader="none" w:pos="3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380" w:right="400" w:hanging="373"/>
        <w:spacing w:after="0" w:line="305" w:lineRule="auto"/>
        <w:tabs>
          <w:tab w:leader="none" w:pos="3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7"/>
          <w:szCs w:val="17"/>
          <w:color w:val="auto"/>
        </w:rPr>
      </w:pPr>
    </w:p>
    <w:p>
      <w:pPr>
        <w:ind w:left="380" w:right="640" w:hanging="373"/>
        <w:spacing w:after="0" w:line="275" w:lineRule="auto"/>
        <w:tabs>
          <w:tab w:leader="none" w:pos="3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760" w:right="140" w:hanging="4"/>
        <w:spacing w:after="0" w:line="262" w:lineRule="auto"/>
        <w:tabs>
          <w:tab w:leader="none" w:pos="111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20" w:hanging="364"/>
        <w:spacing w:after="0"/>
        <w:tabs>
          <w:tab w:leader="none" w:pos="1120" w:val="left"/>
        </w:tabs>
        <w:numPr>
          <w:ilvl w:val="1"/>
          <w:numId w:val="291"/>
        </w:numPr>
        <w:rPr>
          <w:rFonts w:ascii="Arial" w:cs="Arial" w:eastAsia="Arial" w:hAnsi="Arial"/>
          <w:sz w:val="16"/>
          <w:szCs w:val="16"/>
          <w:color w:val="auto"/>
        </w:rPr>
      </w:pPr>
      <w:r>
        <w:rPr>
          <w:rFonts w:ascii="Arial" w:cs="Arial" w:eastAsia="Arial" w:hAnsi="Arial"/>
          <w:sz w:val="16"/>
          <w:szCs w:val="16"/>
          <w:color w:val="252525"/>
        </w:rPr>
        <w:t>Designed such internal control over financial reporting, or caused such internal control over financial reporting to be designed under our</w:t>
      </w:r>
    </w:p>
    <w:p>
      <w:pPr>
        <w:spacing w:after="0" w:line="45" w:lineRule="exact"/>
        <w:rPr>
          <w:rFonts w:ascii="Arial" w:cs="Arial" w:eastAsia="Arial" w:hAnsi="Arial"/>
          <w:sz w:val="16"/>
          <w:szCs w:val="16"/>
          <w:color w:val="auto"/>
        </w:rPr>
      </w:pPr>
    </w:p>
    <w:p>
      <w:pPr>
        <w:ind w:left="760" w:right="20"/>
        <w:spacing w:after="0" w:line="258" w:lineRule="auto"/>
        <w:rPr>
          <w:rFonts w:ascii="Arial" w:cs="Arial" w:eastAsia="Arial" w:hAnsi="Arial"/>
          <w:sz w:val="16"/>
          <w:szCs w:val="16"/>
          <w:color w:val="auto"/>
        </w:rPr>
      </w:pPr>
      <w:r>
        <w:rPr>
          <w:rFonts w:ascii="Arial" w:cs="Arial" w:eastAsia="Arial" w:hAnsi="Arial"/>
          <w:sz w:val="18"/>
          <w:szCs w:val="18"/>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6"/>
          <w:szCs w:val="16"/>
          <w:color w:val="auto"/>
        </w:rPr>
      </w:pPr>
    </w:p>
    <w:p>
      <w:pPr>
        <w:ind w:left="760" w:right="480" w:hanging="4"/>
        <w:spacing w:after="0" w:line="339" w:lineRule="auto"/>
        <w:tabs>
          <w:tab w:leader="none" w:pos="111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6"/>
          <w:szCs w:val="16"/>
          <w:color w:val="auto"/>
        </w:rPr>
      </w:pPr>
    </w:p>
    <w:p>
      <w:pPr>
        <w:ind w:left="760" w:right="440" w:hanging="4"/>
        <w:spacing w:after="0" w:line="262" w:lineRule="auto"/>
        <w:tabs>
          <w:tab w:leader="none" w:pos="111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80" w:right="320" w:hanging="373"/>
        <w:spacing w:after="0" w:line="305" w:lineRule="auto"/>
        <w:tabs>
          <w:tab w:leader="none" w:pos="3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760" w:right="680" w:hanging="4"/>
        <w:spacing w:after="0" w:line="339" w:lineRule="auto"/>
        <w:tabs>
          <w:tab w:leader="none" w:pos="111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760" w:right="380" w:hanging="4"/>
        <w:spacing w:after="0" w:line="275" w:lineRule="auto"/>
        <w:tabs>
          <w:tab w:leader="none" w:pos="111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3"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color w:val="auto"/>
        </w:rPr>
        <w:t>Dated: August 1, 2023</w:t>
      </w:r>
      <w:r>
        <w:rPr>
          <w:sz w:val="20"/>
          <w:szCs w:val="20"/>
          <w:color w:val="auto"/>
        </w:rPr>
        <w:tab/>
      </w:r>
      <w:r>
        <w:rPr>
          <w:rFonts w:ascii="Arial" w:cs="Arial" w:eastAsia="Arial" w:hAnsi="Arial"/>
          <w:sz w:val="16"/>
          <w:szCs w:val="16"/>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31115</wp:posOffset>
            </wp:positionV>
            <wp:extent cx="42830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283075" cy="8255"/>
                    </a:xfrm>
                    <a:prstGeom prst="rect">
                      <a:avLst/>
                    </a:prstGeom>
                    <a:noFill/>
                  </pic:spPr>
                </pic:pic>
              </a:graphicData>
            </a:graphic>
          </wp:anchor>
        </w:drawing>
      </w:r>
    </w:p>
    <w:p>
      <w:pPr>
        <w:spacing w:after="0" w:line="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83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ind w:left="3320"/>
        <w:spacing w:after="0"/>
        <w:rPr>
          <w:sz w:val="20"/>
          <w:szCs w:val="20"/>
          <w:color w:val="auto"/>
        </w:rPr>
      </w:pPr>
      <w:r>
        <w:rPr>
          <w:rFonts w:ascii="Arial" w:cs="Arial" w:eastAsia="Arial" w:hAnsi="Arial"/>
          <w:sz w:val="16"/>
          <w:szCs w:val="16"/>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109855</wp:posOffset>
            </wp:positionV>
            <wp:extent cx="715835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239" w:name="page240"/>
    <w:bookmarkEnd w:id="2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June 30, 2023,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212" w:lineRule="exact"/>
        <w:rPr>
          <w:sz w:val="20"/>
          <w:szCs w:val="20"/>
          <w:color w:val="auto"/>
        </w:rPr>
      </w:pPr>
    </w:p>
    <w:p>
      <w:pPr>
        <w:ind w:left="380" w:hanging="373"/>
        <w:spacing w:after="0"/>
        <w:tabs>
          <w:tab w:leader="none" w:pos="3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9" w:lineRule="exact"/>
        <w:rPr>
          <w:rFonts w:ascii="Arial" w:cs="Arial" w:eastAsia="Arial" w:hAnsi="Arial"/>
          <w:sz w:val="18"/>
          <w:szCs w:val="18"/>
          <w:color w:val="auto"/>
        </w:rPr>
      </w:pPr>
    </w:p>
    <w:p>
      <w:pPr>
        <w:ind w:left="380" w:hanging="373"/>
        <w:spacing w:after="0"/>
        <w:tabs>
          <w:tab w:leader="none" w:pos="3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Dated: August 1, 2023</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31115</wp:posOffset>
            </wp:positionV>
            <wp:extent cx="40868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086860" cy="8255"/>
                    </a:xfrm>
                    <a:prstGeom prst="rect">
                      <a:avLst/>
                    </a:prstGeom>
                    <a:noFill/>
                  </pic:spPr>
                </pic:pic>
              </a:graphicData>
            </a:graphic>
          </wp:anchor>
        </w:drawing>
      </w:r>
    </w:p>
    <w:p>
      <w:pPr>
        <w:spacing w:after="0" w:line="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Githesh Ramamurthy</w:t>
      </w:r>
    </w:p>
    <w:p>
      <w:pPr>
        <w:spacing w:after="0" w:line="75"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1" w:name="page242"/>
    <w:bookmarkEnd w:id="2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June 30, 2023,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spacing w:after="0" w:line="185" w:lineRule="exact"/>
        <w:rPr>
          <w:sz w:val="20"/>
          <w:szCs w:val="20"/>
          <w:color w:val="auto"/>
        </w:rPr>
      </w:pPr>
    </w:p>
    <w:p>
      <w:pPr>
        <w:ind w:left="380" w:hanging="373"/>
        <w:spacing w:after="0"/>
        <w:tabs>
          <w:tab w:leader="none" w:pos="3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9" w:lineRule="exact"/>
        <w:rPr>
          <w:rFonts w:ascii="Arial" w:cs="Arial" w:eastAsia="Arial" w:hAnsi="Arial"/>
          <w:sz w:val="18"/>
          <w:szCs w:val="18"/>
          <w:color w:val="auto"/>
        </w:rPr>
      </w:pPr>
    </w:p>
    <w:p>
      <w:pPr>
        <w:ind w:left="380" w:hanging="373"/>
        <w:spacing w:after="0"/>
        <w:tabs>
          <w:tab w:leader="none" w:pos="38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tabs>
          <w:tab w:leader="none" w:pos="4400" w:val="left"/>
        </w:tabs>
        <w:rPr>
          <w:sz w:val="20"/>
          <w:szCs w:val="20"/>
          <w:color w:val="auto"/>
        </w:rPr>
      </w:pPr>
      <w:r>
        <w:rPr>
          <w:rFonts w:ascii="Arial" w:cs="Arial" w:eastAsia="Arial" w:hAnsi="Arial"/>
          <w:sz w:val="18"/>
          <w:szCs w:val="18"/>
          <w:color w:val="auto"/>
        </w:rPr>
        <w:t>Dated: August 1, 2023</w:t>
      </w:r>
      <w:r>
        <w:rPr>
          <w:sz w:val="20"/>
          <w:szCs w:val="20"/>
          <w:color w:val="auto"/>
        </w:rPr>
        <w:tab/>
      </w:r>
      <w:r>
        <w:rPr>
          <w:rFonts w:ascii="Arial" w:cs="Arial" w:eastAsia="Arial" w:hAnsi="Arial"/>
          <w:sz w:val="17"/>
          <w:szCs w:val="17"/>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31115</wp:posOffset>
            </wp:positionV>
            <wp:extent cx="428307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283075" cy="8255"/>
                    </a:xfrm>
                    <a:prstGeom prst="rect">
                      <a:avLst/>
                    </a:prstGeom>
                    <a:noFill/>
                  </pic:spPr>
                </pic:pic>
              </a:graphicData>
            </a:graphic>
          </wp:anchor>
        </w:drawing>
      </w:r>
    </w:p>
    <w:p>
      <w:pPr>
        <w:spacing w:after="0" w:line="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Brian Herb</w:t>
      </w:r>
    </w:p>
    <w:p>
      <w:pPr>
        <w:spacing w:after="0" w:line="75"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B64D4"/>
    <w:multiLevelType w:val="hybridMultilevel"/>
    <w:lvl w:ilvl="0">
      <w:lvlJc w:val="left"/>
      <w:lvlText w:val="☒"/>
      <w:numFmt w:val="bullet"/>
      <w:start w:val="1"/>
    </w:lvl>
  </w:abstractNum>
  <w:abstractNum w:abstractNumId="1">
    <w:nsid w:val="78B5E776"/>
    <w:multiLevelType w:val="hybridMultilevel"/>
    <w:lvl w:ilvl="0">
      <w:lvlJc w:val="left"/>
      <w:lvlText w:val="☐"/>
      <w:numFmt w:val="bullet"/>
      <w:start w:val="1"/>
    </w:lvl>
  </w:abstractNum>
  <w:abstractNum w:abstractNumId="2">
    <w:nsid w:val="75486E47"/>
    <w:multiLevelType w:val="hybridMultilevel"/>
    <w:lvl w:ilvl="0">
      <w:lvlJc w:val="left"/>
      <w:lvlText w:val="%1"/>
      <w:numFmt w:val="upperLetter"/>
      <w:start w:val="55"/>
    </w:lvl>
  </w:abstractNum>
  <w:abstractNum w:abstractNumId="3">
    <w:nsid w:val="6E534CDE"/>
    <w:multiLevelType w:val="hybridMultilevel"/>
    <w:lvl w:ilvl="0">
      <w:lvlJc w:val="left"/>
      <w:lvlText w:val="•"/>
      <w:numFmt w:val="bullet"/>
      <w:start w:val="1"/>
    </w:lvl>
  </w:abstractNum>
  <w:abstractNum w:abstractNumId="4">
    <w:nsid w:val="1A0DDE32"/>
    <w:multiLevelType w:val="hybridMultilevel"/>
    <w:lvl w:ilvl="0">
      <w:lvlJc w:val="left"/>
      <w:lvlText w:val="%1"/>
      <w:numFmt w:val="upperLetter"/>
      <w:start w:val="55"/>
    </w:lvl>
  </w:abstractNum>
  <w:abstractNum w:abstractNumId="5">
    <w:nsid w:val="65968C1C"/>
    <w:multiLevelType w:val="hybridMultilevel"/>
    <w:lvl w:ilvl="0">
      <w:lvlJc w:val="left"/>
      <w:lvlText w:val="%1"/>
      <w:numFmt w:val="upperLetter"/>
      <w:start w:val="55"/>
    </w:lvl>
  </w:abstractNum>
  <w:abstractNum w:abstractNumId="6">
    <w:nsid w:val="46263DEC"/>
    <w:multiLevelType w:val="hybridMultilevel"/>
    <w:lvl w:ilvl="0">
      <w:lvlJc w:val="left"/>
      <w:lvlText w:val="%1."/>
      <w:numFmt w:val="decimal"/>
      <w:start w:val="1"/>
    </w:lvl>
  </w:abstractNum>
  <w:abstractNum w:abstractNumId="7">
    <w:nsid w:val="260D8C4A"/>
    <w:multiLevelType w:val="hybridMultilevel"/>
    <w:lvl w:ilvl="0">
      <w:lvlJc w:val="left"/>
      <w:lvlText w:val="%1."/>
      <w:numFmt w:val="decimal"/>
      <w:start w:val="2"/>
    </w:lvl>
  </w:abstractNum>
  <w:abstractNum w:abstractNumId="8">
    <w:nsid w:val="73D4D3C4"/>
    <w:multiLevelType w:val="hybridMultilevel"/>
    <w:lvl w:ilvl="0">
      <w:lvlJc w:val="left"/>
      <w:lvlText w:val="%1."/>
      <w:numFmt w:val="decimal"/>
      <w:start w:val="3"/>
    </w:lvl>
  </w:abstractNum>
  <w:abstractNum w:abstractNumId="9">
    <w:nsid w:val="746F2E30"/>
    <w:multiLevelType w:val="hybridMultilevel"/>
    <w:lvl w:ilvl="0">
      <w:lvlJc w:val="left"/>
      <w:lvlText w:val="%1."/>
      <w:numFmt w:val="decimal"/>
      <w:start w:val="4"/>
    </w:lvl>
  </w:abstractNum>
  <w:abstractNum w:abstractNumId="10">
    <w:nsid w:val="6FDE8AF6"/>
    <w:multiLevelType w:val="hybridMultilevel"/>
    <w:lvl w:ilvl="0">
      <w:lvlJc w:val="left"/>
      <w:lvlText w:val="1"/>
      <w:numFmt w:val="bullet"/>
      <w:start w:val="1"/>
    </w:lvl>
  </w:abstractNum>
  <w:abstractNum w:abstractNumId="11">
    <w:nsid w:val="3FC32E20"/>
    <w:multiLevelType w:val="hybridMultilevel"/>
    <w:lvl w:ilvl="0">
      <w:lvlJc w:val="left"/>
      <w:lvlText w:val="%1."/>
      <w:numFmt w:val="decimal"/>
      <w:start w:val="5"/>
    </w:lvl>
  </w:abstractNum>
  <w:abstractNum w:abstractNumId="12">
    <w:nsid w:val="49C0E823"/>
    <w:multiLevelType w:val="hybridMultilevel"/>
    <w:lvl w:ilvl="0">
      <w:lvlJc w:val="left"/>
      <w:lvlText w:val="%1."/>
      <w:numFmt w:val="decimal"/>
      <w:start w:val="6"/>
    </w:lvl>
  </w:abstractNum>
  <w:abstractNum w:abstractNumId="13">
    <w:nsid w:val="14D53685"/>
    <w:multiLevelType w:val="hybridMultilevel"/>
    <w:lvl w:ilvl="0">
      <w:lvlJc w:val="left"/>
      <w:lvlText w:val="%1."/>
      <w:numFmt w:val="decimal"/>
      <w:start w:val="7"/>
    </w:lvl>
  </w:abstractNum>
  <w:abstractNum w:abstractNumId="14">
    <w:nsid w:val="230F856C"/>
    <w:multiLevelType w:val="hybridMultilevel"/>
    <w:lvl w:ilvl="0">
      <w:lvlJc w:val="left"/>
      <w:lvlText w:val="%1."/>
      <w:numFmt w:val="decimal"/>
      <w:start w:val="8"/>
    </w:lvl>
  </w:abstractNum>
  <w:abstractNum w:abstractNumId="15">
    <w:nsid w:val="6EAA85FB"/>
    <w:multiLevelType w:val="hybridMultilevel"/>
    <w:lvl w:ilvl="0">
      <w:lvlJc w:val="left"/>
      <w:lvlText w:val="%1."/>
      <w:numFmt w:val="decimal"/>
      <w:start w:val="9"/>
    </w:lvl>
  </w:abstractNum>
  <w:abstractNum w:abstractNumId="16">
    <w:nsid w:val="3F06ECB2"/>
    <w:multiLevelType w:val="hybridMultilevel"/>
    <w:lvl w:ilvl="0">
      <w:lvlJc w:val="left"/>
      <w:lvlText w:val="%1."/>
      <w:numFmt w:val="decimal"/>
      <w:start w:val="10"/>
    </w:lvl>
  </w:abstractNum>
  <w:abstractNum w:abstractNumId="17">
    <w:nsid w:val="3B594807"/>
    <w:multiLevelType w:val="hybridMultilevel"/>
    <w:lvl w:ilvl="0">
      <w:lvlJc w:val="left"/>
      <w:lvlText w:val="%1."/>
      <w:numFmt w:val="decimal"/>
      <w:start w:val="11"/>
    </w:lvl>
  </w:abstractNum>
  <w:abstractNum w:abstractNumId="18">
    <w:nsid w:val="6CAA2304"/>
    <w:multiLevelType w:val="hybridMultilevel"/>
    <w:lvl w:ilvl="0">
      <w:lvlJc w:val="left"/>
      <w:lvlText w:val="%1."/>
      <w:numFmt w:val="decimal"/>
      <w:start w:val="12"/>
    </w:lvl>
  </w:abstractNum>
  <w:abstractNum w:abstractNumId="19">
    <w:nsid w:val="3F7C2FF4"/>
    <w:multiLevelType w:val="hybridMultilevel"/>
    <w:lvl w:ilvl="0">
      <w:lvlJc w:val="left"/>
      <w:lvlText w:val="%1."/>
      <w:numFmt w:val="decimal"/>
      <w:start w:val="13"/>
    </w:lvl>
  </w:abstractNum>
  <w:abstractNum w:abstractNumId="20">
    <w:nsid w:val="25413BEC"/>
    <w:multiLevelType w:val="hybridMultilevel"/>
    <w:lvl w:ilvl="0">
      <w:lvlJc w:val="left"/>
      <w:lvlText w:val="%1."/>
      <w:numFmt w:val="decimal"/>
      <w:start w:val="14"/>
    </w:lvl>
  </w:abstractNum>
  <w:abstractNum w:abstractNumId="21">
    <w:nsid w:val="17180B0B"/>
    <w:multiLevelType w:val="hybridMultilevel"/>
    <w:lvl w:ilvl="0">
      <w:lvlJc w:val="left"/>
      <w:lvlText w:val="(%1)"/>
      <w:numFmt w:val="decimal"/>
      <w:start w:val="1"/>
    </w:lvl>
  </w:abstractNum>
  <w:abstractNum w:abstractNumId="22">
    <w:nsid w:val="579328B9"/>
    <w:multiLevelType w:val="hybridMultilevel"/>
    <w:lvl w:ilvl="0">
      <w:lvlJc w:val="left"/>
      <w:lvlText w:val="%1."/>
      <w:numFmt w:val="decimal"/>
      <w:start w:val="15"/>
    </w:lvl>
  </w:abstractNum>
  <w:abstractNum w:abstractNumId="23">
    <w:nsid w:val="5D205E20"/>
    <w:multiLevelType w:val="hybridMultilevel"/>
    <w:lvl w:ilvl="0">
      <w:lvlJc w:val="left"/>
      <w:lvlText w:val="%1."/>
      <w:numFmt w:val="decimal"/>
      <w:start w:val="17"/>
    </w:lvl>
  </w:abstractNum>
  <w:abstractNum w:abstractNumId="24">
    <w:nsid w:val="11CCA8BA"/>
    <w:multiLevelType w:val="hybridMultilevel"/>
    <w:lvl w:ilvl="0">
      <w:lvlJc w:val="left"/>
      <w:lvlText w:val="%1."/>
      <w:numFmt w:val="decimal"/>
      <w:start w:val="18"/>
    </w:lvl>
  </w:abstractNum>
  <w:abstractNum w:abstractNumId="25">
    <w:nsid w:val="4D32AB86"/>
    <w:multiLevelType w:val="hybridMultilevel"/>
    <w:lvl w:ilvl="0">
      <w:lvlJc w:val="left"/>
      <w:lvlText w:val="%1."/>
      <w:numFmt w:val="decimal"/>
      <w:start w:val="19"/>
    </w:lvl>
  </w:abstractNum>
  <w:abstractNum w:abstractNumId="26">
    <w:nsid w:val="3F07ACC3"/>
    <w:multiLevelType w:val="hybridMultilevel"/>
    <w:lvl w:ilvl="0">
      <w:lvlJc w:val="left"/>
      <w:lvlText w:val="%1."/>
      <w:numFmt w:val="decimal"/>
      <w:start w:val="22"/>
    </w:lvl>
  </w:abstractNum>
  <w:abstractNum w:abstractNumId="27">
    <w:nsid w:val="6B47F63E"/>
    <w:multiLevelType w:val="hybridMultilevel"/>
    <w:lvl w:ilvl="0">
      <w:lvlJc w:val="left"/>
      <w:lvlText w:val="%1."/>
      <w:numFmt w:val="decimal"/>
      <w:start w:val="23"/>
    </w:lvl>
  </w:abstractNum>
  <w:abstractNum w:abstractNumId="28">
    <w:nsid w:val="5CB44A05"/>
    <w:multiLevelType w:val="hybridMultilevel"/>
    <w:lvl w:ilvl="0">
      <w:lvlJc w:val="left"/>
      <w:lvlText w:val="%1."/>
      <w:numFmt w:val="decimal"/>
      <w:start w:val="24"/>
    </w:lvl>
  </w:abstractNum>
  <w:abstractNum w:abstractNumId="29">
    <w:nsid w:val="16CF80F1"/>
    <w:multiLevelType w:val="hybridMultilevel"/>
    <w:lvl w:ilvl="0">
      <w:lvlJc w:val="left"/>
      <w:lvlText w:val="%1"/>
      <w:numFmt w:val="upperLetter"/>
      <w:start w:val="55"/>
    </w:lvl>
  </w:abstractNum>
  <w:abstractNum w:abstractNumId="30">
    <w:nsid w:val="1C695DEC"/>
    <w:multiLevelType w:val="hybridMultilevel"/>
    <w:lvl w:ilvl="0">
      <w:lvlJc w:val="left"/>
      <w:lvlText w:val="(%1)"/>
      <w:numFmt w:val="decimal"/>
      <w:start w:val="1"/>
    </w:lvl>
  </w:abstractNum>
  <w:abstractNum w:abstractNumId="31">
    <w:nsid w:val="3FCFAED9"/>
    <w:multiLevelType w:val="hybridMultilevel"/>
    <w:lvl w:ilvl="0">
      <w:lvlJc w:val="left"/>
      <w:lvlText w:val="(%1)"/>
      <w:numFmt w:val="decimal"/>
      <w:start w:val="1"/>
    </w:lvl>
  </w:abstractNum>
  <w:abstractNum w:abstractNumId="32">
    <w:nsid w:val="F856867"/>
    <w:multiLevelType w:val="hybridMultilevel"/>
    <w:lvl w:ilvl="0">
      <w:lvlJc w:val="left"/>
      <w:lvlText w:val="(%1)"/>
      <w:numFmt w:val="decimal"/>
      <w:start w:val="1"/>
    </w:lvl>
  </w:abstractNum>
  <w:abstractNum w:abstractNumId="33">
    <w:nsid w:val="11B1CC33"/>
    <w:multiLevelType w:val="hybridMultilevel"/>
    <w:lvl w:ilvl="0">
      <w:lvlJc w:val="left"/>
      <w:lvlText w:val="%1."/>
      <w:numFmt w:val="decimal"/>
      <w:start w:val="1"/>
    </w:lvl>
    <w:lvl w:ilvl="1">
      <w:lvlJc w:val="left"/>
      <w:lvlText w:val="(%2)"/>
      <w:numFmt w:val="lowerLetter"/>
      <w:start w:val="1"/>
    </w:lvl>
  </w:abstractNum>
  <w:abstractNum w:abstractNumId="34">
    <w:nsid w:val="2E22FBB7"/>
    <w:multiLevelType w:val="hybridMultilevel"/>
    <w:lvl w:ilvl="0">
      <w:lvlJc w:val="left"/>
      <w:lvlText w:val="%1."/>
      <w:numFmt w:val="decimal"/>
      <w:start w:val="3"/>
    </w:lvl>
  </w:abstractNum>
  <w:abstractNum w:abstractNumId="35">
    <w:nsid w:val="29934699"/>
    <w:multiLevelType w:val="hybridMultilevel"/>
    <w:lvl w:ilvl="0">
      <w:lvlJc w:val="left"/>
      <w:lvlText w:val="(%1)"/>
      <w:numFmt w:val="lowerLetter"/>
      <w:start w:val="1"/>
    </w:lvl>
  </w:abstractNum>
  <w:abstractNum w:abstractNumId="36">
    <w:nsid w:val="77485850"/>
    <w:multiLevelType w:val="hybridMultilevel"/>
    <w:lvl w:ilvl="0">
      <w:lvlJc w:val="left"/>
      <w:lvlText w:val="%1."/>
      <w:numFmt w:val="decimal"/>
      <w:start w:val="5"/>
    </w:lvl>
    <w:lvl w:ilvl="1">
      <w:lvlJc w:val="left"/>
      <w:lvlText w:val="(%2)"/>
      <w:numFmt w:val="lowerLetter"/>
      <w:start w:val="1"/>
    </w:lvl>
  </w:abstractNum>
  <w:abstractNum w:abstractNumId="37">
    <w:nsid w:val="744939A3"/>
    <w:multiLevelType w:val="hybridMultilevel"/>
    <w:lvl w:ilvl="0">
      <w:lvlJc w:val="left"/>
      <w:lvlText w:val="(%1)"/>
      <w:numFmt w:val="lowerLetter"/>
      <w:start w:val="4"/>
    </w:lvl>
  </w:abstractNum>
  <w:abstractNum w:abstractNumId="38">
    <w:nsid w:val="4FA0D2E3"/>
    <w:multiLevelType w:val="hybridMultilevel"/>
    <w:lvl w:ilvl="0">
      <w:lvlJc w:val="left"/>
      <w:lvlText w:val="%1"/>
      <w:numFmt w:val="upperLetter"/>
      <w:start w:val="55"/>
    </w:lvl>
  </w:abstractNum>
  <w:abstractNum w:abstractNumId="39">
    <w:nsid w:val="6B1D2C14"/>
    <w:multiLevelType w:val="hybridMultilevel"/>
    <w:lvl w:ilvl="0">
      <w:lvlJc w:val="left"/>
      <w:lvlText w:val="%1."/>
      <w:numFmt w:val="upperLetter"/>
      <w:start w:val="1"/>
    </w:lvl>
  </w:abstractNum>
  <w:abstractNum w:abstractNumId="40">
    <w:nsid w:val="68B867D3"/>
    <w:multiLevelType w:val="hybridMultilevel"/>
    <w:lvl w:ilvl="0">
      <w:lvlJc w:val="left"/>
      <w:lvlText w:val="(%1)"/>
      <w:numFmt w:val="lowerLetter"/>
      <w:start w:val="1"/>
    </w:lvl>
  </w:abstractNum>
  <w:abstractNum w:abstractNumId="41">
    <w:nsid w:val="3F7F5DD9"/>
    <w:multiLevelType w:val="hybridMultilevel"/>
    <w:lvl w:ilvl="0">
      <w:lvlJc w:val="left"/>
      <w:lvlText w:val="(%1)"/>
      <w:numFmt w:val="lowerLetter"/>
      <w:start w:val="1"/>
    </w:lvl>
  </w:abstractNum>
  <w:abstractNum w:abstractNumId="42">
    <w:nsid w:val="2AE05A34"/>
    <w:multiLevelType w:val="hybridMultilevel"/>
    <w:lvl w:ilvl="0">
      <w:lvlJc w:val="left"/>
      <w:lvlText w:val="(%1)"/>
      <w:numFmt w:val="lowerLetter"/>
      <w:start w:val="2"/>
    </w:lvl>
  </w:abstractNum>
  <w:abstractNum w:abstractNumId="43">
    <w:nsid w:val="32794FF7"/>
    <w:multiLevelType w:val="hybridMultilevel"/>
    <w:lvl w:ilvl="0">
      <w:lvlJc w:val="left"/>
      <w:lvlText w:val="(%1)"/>
      <w:numFmt w:val="lowerLetter"/>
      <w:start w:val="3"/>
    </w:lvl>
  </w:abstractNum>
  <w:abstractNum w:abstractNumId="44">
    <w:nsid w:val="5454945E"/>
    <w:multiLevelType w:val="hybridMultilevel"/>
    <w:lvl w:ilvl="0">
      <w:lvlJc w:val="left"/>
      <w:lvlText w:val="(%1)"/>
      <w:numFmt w:val="lowerLetter"/>
      <w:start w:val="1"/>
    </w:lvl>
  </w:abstractNum>
  <w:abstractNum w:abstractNumId="45">
    <w:nsid w:val="4DEFDFA0"/>
    <w:multiLevelType w:val="hybridMultilevel"/>
    <w:lvl w:ilvl="0">
      <w:lvlJc w:val="left"/>
      <w:lvlText w:val="(%1)"/>
      <w:numFmt w:val="lowerLetter"/>
      <w:start w:val="1"/>
    </w:lvl>
    <w:lvl w:ilvl="1">
      <w:lvlJc w:val="left"/>
      <w:lvlText w:val="(%2)"/>
      <w:numFmt w:val="lowerRoman"/>
      <w:start w:val="1"/>
    </w:lvl>
  </w:abstractNum>
  <w:abstractNum w:abstractNumId="46">
    <w:nsid w:val="2123D5F2"/>
    <w:multiLevelType w:val="hybridMultilevel"/>
    <w:lvl w:ilvl="0">
      <w:lvlJc w:val="left"/>
      <w:lvlText w:val="%1"/>
      <w:numFmt w:val="lowerLetter"/>
      <w:start w:val="1"/>
    </w:lvl>
    <w:lvl w:ilvl="1">
      <w:lvlJc w:val="left"/>
      <w:lvlText w:val="(%2)"/>
      <w:numFmt w:val="lowerRoman"/>
      <w:start w:val="7"/>
    </w:lvl>
  </w:abstractNum>
  <w:abstractNum w:abstractNumId="47">
    <w:nsid w:val="135B8110"/>
    <w:multiLevelType w:val="hybridMultilevel"/>
    <w:lvl w:ilvl="0">
      <w:lvlJc w:val="left"/>
      <w:lvlText w:val="(%1)"/>
      <w:numFmt w:val="lowerLetter"/>
      <w:start w:val="2"/>
    </w:lvl>
    <w:lvl w:ilvl="1">
      <w:lvlJc w:val="left"/>
      <w:lvlText w:val="%2"/>
      <w:numFmt w:val="lowerRoman"/>
      <w:start w:val="1"/>
    </w:lvl>
  </w:abstractNum>
  <w:abstractNum w:abstractNumId="48">
    <w:nsid w:val="94927A8"/>
    <w:multiLevelType w:val="hybridMultilevel"/>
    <w:lvl w:ilvl="0">
      <w:lvlJc w:val="left"/>
      <w:lvlText w:val="(%1)"/>
      <w:numFmt w:val="lowerLetter"/>
      <w:start w:val="1"/>
    </w:lvl>
  </w:abstractNum>
  <w:abstractNum w:abstractNumId="49">
    <w:nsid w:val="DCDF8F6"/>
    <w:multiLevelType w:val="hybridMultilevel"/>
    <w:lvl w:ilvl="0">
      <w:lvlJc w:val="left"/>
      <w:lvlText w:val="(%1)"/>
      <w:numFmt w:val="lowerLetter"/>
      <w:start w:val="26"/>
    </w:lvl>
  </w:abstractNum>
  <w:abstractNum w:abstractNumId="50">
    <w:nsid w:val="52D7B105"/>
    <w:multiLevelType w:val="hybridMultilevel"/>
    <w:lvl w:ilvl="0">
      <w:lvlJc w:val="left"/>
      <w:lvlText w:val="(%1)"/>
      <w:numFmt w:val="lowerLetter"/>
      <w:start w:val="1"/>
    </w:lvl>
  </w:abstractNum>
  <w:abstractNum w:abstractNumId="51">
    <w:nsid w:val="2E8A6394"/>
    <w:multiLevelType w:val="hybridMultilevel"/>
    <w:lvl w:ilvl="0">
      <w:lvlJc w:val="left"/>
      <w:lvlText w:val="(%1)"/>
      <w:numFmt w:val="lowerRoman"/>
      <w:start w:val="1"/>
    </w:lvl>
  </w:abstractNum>
  <w:abstractNum w:abstractNumId="52">
    <w:nsid w:val="24E60401"/>
    <w:multiLevelType w:val="hybridMultilevel"/>
    <w:lvl w:ilvl="0">
      <w:lvlJc w:val="left"/>
      <w:lvlText w:val="(%1)"/>
      <w:numFmt w:val="lowerRoman"/>
      <w:start w:val="2"/>
    </w:lvl>
  </w:abstractNum>
  <w:abstractNum w:abstractNumId="53">
    <w:nsid w:val="2A6AD9BE"/>
    <w:multiLevelType w:val="hybridMultilevel"/>
    <w:lvl w:ilvl="0">
      <w:lvlJc w:val="left"/>
      <w:lvlText w:val="(%1)"/>
      <w:numFmt w:val="lowerLetter"/>
      <w:start w:val="1"/>
    </w:lvl>
    <w:lvl w:ilvl="1">
      <w:lvlJc w:val="left"/>
      <w:lvlText w:val="(%2)"/>
      <w:numFmt w:val="lowerRoman"/>
      <w:start w:val="1"/>
    </w:lvl>
  </w:abstractNum>
  <w:abstractNum w:abstractNumId="54">
    <w:nsid w:val="BAAC1B4"/>
    <w:multiLevelType w:val="hybridMultilevel"/>
    <w:lvl w:ilvl="0">
      <w:lvlJc w:val="left"/>
      <w:lvlText w:val="(%1)"/>
      <w:numFmt w:val="lowerRoman"/>
      <w:start w:val="7"/>
    </w:lvl>
  </w:abstractNum>
  <w:abstractNum w:abstractNumId="55">
    <w:nsid w:val="36B2ACBC"/>
    <w:multiLevelType w:val="hybridMultilevel"/>
    <w:lvl w:ilvl="0">
      <w:lvlJc w:val="left"/>
      <w:lvlText w:val="%1"/>
      <w:numFmt w:val="lowerLetter"/>
      <w:start w:val="1"/>
    </w:lvl>
    <w:lvl w:ilvl="1">
      <w:lvlJc w:val="left"/>
      <w:lvlText w:val="(%2)"/>
      <w:numFmt w:val="lowerRoman"/>
      <w:start w:val="13"/>
    </w:lvl>
  </w:abstractNum>
  <w:abstractNum w:abstractNumId="56">
    <w:nsid w:val="779D8544"/>
    <w:multiLevelType w:val="hybridMultilevel"/>
    <w:lvl w:ilvl="0">
      <w:lvlJc w:val="left"/>
      <w:lvlText w:val="(%1)"/>
      <w:numFmt w:val="lowerLetter"/>
      <w:start w:val="4"/>
    </w:lvl>
    <w:lvl w:ilvl="1">
      <w:lvlJc w:val="left"/>
      <w:lvlText w:val="%2"/>
      <w:numFmt w:val="lowerRoman"/>
      <w:start w:val="1"/>
    </w:lvl>
  </w:abstractNum>
  <w:abstractNum w:abstractNumId="57">
    <w:nsid w:val="4AB26E78"/>
    <w:multiLevelType w:val="hybridMultilevel"/>
    <w:lvl w:ilvl="0">
      <w:lvlJc w:val="left"/>
      <w:lvlText w:val="(%1)"/>
      <w:numFmt w:val="lowerLetter"/>
      <w:start w:val="10"/>
    </w:lvl>
  </w:abstractNum>
  <w:abstractNum w:abstractNumId="58">
    <w:nsid w:val="21FAA2FA"/>
    <w:multiLevelType w:val="hybridMultilevel"/>
    <w:lvl w:ilvl="0">
      <w:lvlJc w:val="left"/>
      <w:lvlText w:val="(%1)"/>
      <w:numFmt w:val="lowerRoman"/>
      <w:start w:val="4"/>
    </w:lvl>
  </w:abstractNum>
  <w:abstractNum w:abstractNumId="59">
    <w:nsid w:val="5451CF49"/>
    <w:multiLevelType w:val="hybridMultilevel"/>
    <w:lvl w:ilvl="0">
      <w:lvlJc w:val="left"/>
      <w:lvlText w:val="(%1)"/>
      <w:numFmt w:val="lowerLetter"/>
      <w:start w:val="1"/>
    </w:lvl>
  </w:abstractNum>
  <w:abstractNum w:abstractNumId="60">
    <w:nsid w:val="6181EF69"/>
    <w:multiLevelType w:val="hybridMultilevel"/>
    <w:lvl w:ilvl="0">
      <w:lvlJc w:val="left"/>
      <w:lvlText w:val="%1"/>
      <w:numFmt w:val="lowerLetter"/>
      <w:start w:val="1"/>
    </w:lvl>
    <w:lvl w:ilvl="1">
      <w:lvlJc w:val="left"/>
      <w:lvlText w:val="(%2)"/>
      <w:numFmt w:val="lowerLetter"/>
      <w:start w:val="2"/>
    </w:lvl>
  </w:abstractNum>
  <w:abstractNum w:abstractNumId="61">
    <w:nsid w:val="3E6400E6"/>
    <w:multiLevelType w:val="hybridMultilevel"/>
    <w:lvl w:ilvl="0">
      <w:lvlJc w:val="left"/>
      <w:lvlText w:val="(%1)"/>
      <w:numFmt w:val="lowerLetter"/>
      <w:start w:val="35"/>
    </w:lvl>
    <w:lvl w:ilvl="1">
      <w:lvlJc w:val="left"/>
      <w:lvlText w:val="(%2)"/>
      <w:numFmt w:val="lowerLetter"/>
      <w:start w:val="5"/>
    </w:lvl>
  </w:abstractNum>
  <w:abstractNum w:abstractNumId="62">
    <w:nsid w:val="14217E23"/>
    <w:multiLevelType w:val="hybridMultilevel"/>
    <w:lvl w:ilvl="0">
      <w:lvlJc w:val="left"/>
      <w:lvlText w:val="(%1)"/>
      <w:numFmt w:val="lowerLetter"/>
      <w:start w:val="9"/>
    </w:lvl>
  </w:abstractNum>
  <w:abstractNum w:abstractNumId="63">
    <w:nsid w:val="710757D0"/>
    <w:multiLevelType w:val="hybridMultilevel"/>
    <w:lvl w:ilvl="0">
      <w:lvlJc w:val="left"/>
      <w:lvlText w:val="(%1)"/>
      <w:numFmt w:val="lowerRoman"/>
      <w:start w:val="1"/>
    </w:lvl>
  </w:abstractNum>
  <w:abstractNum w:abstractNumId="64">
    <w:nsid w:val="5015CD1A"/>
    <w:multiLevelType w:val="hybridMultilevel"/>
    <w:lvl w:ilvl="0">
      <w:lvlJc w:val="left"/>
      <w:lvlText w:val="(%1)"/>
      <w:numFmt w:val="lowerRoman"/>
      <w:start w:val="1"/>
    </w:lvl>
  </w:abstractNum>
  <w:abstractNum w:abstractNumId="65">
    <w:nsid w:val="424479DA"/>
    <w:multiLevelType w:val="hybridMultilevel"/>
    <w:lvl w:ilvl="0">
      <w:lvlJc w:val="left"/>
      <w:lvlText w:val="(%1)"/>
      <w:numFmt w:val="lowerLetter"/>
      <w:start w:val="1"/>
    </w:lvl>
  </w:abstractNum>
  <w:abstractNum w:abstractNumId="66">
    <w:nsid w:val="1A9A9E69"/>
    <w:multiLevelType w:val="hybridMultilevel"/>
    <w:lvl w:ilvl="0">
      <w:lvlJc w:val="left"/>
      <w:lvlText w:val="(%1)"/>
      <w:numFmt w:val="lowerLetter"/>
      <w:start w:val="1"/>
    </w:lvl>
  </w:abstractNum>
  <w:abstractNum w:abstractNumId="67">
    <w:nsid w:val="475E256A"/>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68">
    <w:nsid w:val="368DB37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9">
    <w:nsid w:val="6A3B71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70">
    <w:nsid w:val="327B517E"/>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71">
    <w:nsid w:val="1F461B51"/>
    <w:multiLevelType w:val="hybridMultilevel"/>
    <w:lvl w:ilvl="0">
      <w:lvlJc w:val="left"/>
      <w:lvlText w:val="(%1)"/>
      <w:numFmt w:val="lowerLetter"/>
      <w:start w:val="61"/>
    </w:lvl>
    <w:lvl w:ilvl="1">
      <w:lvlJc w:val="left"/>
      <w:lvlText w:val="(%2)"/>
      <w:numFmt w:val="lowerLetter"/>
      <w:start w:val="13"/>
    </w:lvl>
    <w:lvl w:ilvl="2">
      <w:lvlJc w:val="left"/>
      <w:lvlText w:val="%3"/>
      <w:numFmt w:val="lowerRoman"/>
      <w:start w:val="1"/>
    </w:lvl>
  </w:abstractNum>
  <w:abstractNum w:abstractNumId="72">
    <w:nsid w:val="29BACF25"/>
    <w:multiLevelType w:val="hybridMultilevel"/>
    <w:lvl w:ilvl="0">
      <w:lvlJc w:val="left"/>
      <w:lvlText w:val="(%1)"/>
      <w:numFmt w:val="lowerLetter"/>
      <w:start w:val="15"/>
    </w:lvl>
  </w:abstractNum>
  <w:abstractNum w:abstractNumId="73">
    <w:nsid w:val="5D5BABB3"/>
    <w:multiLevelType w:val="hybridMultilevel"/>
    <w:lvl w:ilvl="0">
      <w:lvlJc w:val="left"/>
      <w:lvlText w:val="(%1)"/>
      <w:numFmt w:val="lowerLetter"/>
      <w:start w:val="1"/>
    </w:lvl>
  </w:abstractNum>
  <w:abstractNum w:abstractNumId="74">
    <w:nsid w:val="51BF6B48"/>
    <w:multiLevelType w:val="hybridMultilevel"/>
    <w:lvl w:ilvl="0">
      <w:lvlJc w:val="left"/>
      <w:lvlText w:val="(%1)"/>
      <w:numFmt w:val="lowerLetter"/>
      <w:start w:val="2"/>
    </w:lvl>
  </w:abstractNum>
  <w:abstractNum w:abstractNumId="75">
    <w:nsid w:val="7E0F6384"/>
    <w:multiLevelType w:val="hybridMultilevel"/>
    <w:lvl w:ilvl="0">
      <w:lvlJc w:val="left"/>
      <w:lvlText w:val="(%1)"/>
      <w:numFmt w:val="lowerLetter"/>
      <w:start w:val="12"/>
    </w:lvl>
  </w:abstractNum>
  <w:abstractNum w:abstractNumId="76">
    <w:nsid w:val="2B4B8B53"/>
    <w:multiLevelType w:val="hybridMultilevel"/>
    <w:lvl w:ilvl="0">
      <w:lvlJc w:val="left"/>
      <w:lvlText w:val="%1"/>
      <w:numFmt w:val="upperLetter"/>
      <w:start w:val="1"/>
    </w:lvl>
    <w:lvl w:ilvl="1">
      <w:lvlJc w:val="left"/>
      <w:lvlText w:val="(%2)"/>
      <w:numFmt w:val="lowerLetter"/>
      <w:start w:val="1"/>
    </w:lvl>
  </w:abstractNum>
  <w:abstractNum w:abstractNumId="77">
    <w:nsid w:val="72E3413A"/>
    <w:multiLevelType w:val="hybridMultilevel"/>
    <w:lvl w:ilvl="0">
      <w:lvlJc w:val="left"/>
      <w:lvlText w:val="(%1)"/>
      <w:numFmt w:val="upperLetter"/>
      <w:start w:val="2"/>
    </w:lvl>
    <w:lvl w:ilvl="1">
      <w:lvlJc w:val="left"/>
      <w:lvlText w:val="(%2)"/>
      <w:numFmt w:val="lowerLetter"/>
      <w:start w:val="4"/>
    </w:lvl>
  </w:abstractNum>
  <w:abstractNum w:abstractNumId="78">
    <w:nsid w:val="116AE494"/>
    <w:multiLevelType w:val="hybridMultilevel"/>
    <w:lvl w:ilvl="0">
      <w:lvlJc w:val="left"/>
      <w:lvlText w:val="(%1)"/>
      <w:numFmt w:val="lowerLetter"/>
      <w:start w:val="1"/>
    </w:lvl>
  </w:abstractNum>
  <w:abstractNum w:abstractNumId="79">
    <w:nsid w:val="3494B2FB"/>
    <w:multiLevelType w:val="hybridMultilevel"/>
    <w:lvl w:ilvl="0">
      <w:lvlJc w:val="left"/>
      <w:lvlText w:val="(%1)"/>
      <w:numFmt w:val="lowerRoman"/>
      <w:start w:val="1"/>
    </w:lvl>
  </w:abstractNum>
  <w:abstractNum w:abstractNumId="80">
    <w:nsid w:val="B13A31"/>
    <w:multiLevelType w:val="hybridMultilevel"/>
    <w:lvl w:ilvl="0">
      <w:lvlJc w:val="left"/>
      <w:lvlText w:val="(%1)"/>
      <w:numFmt w:val="lowerLetter"/>
      <w:start w:val="1"/>
    </w:lvl>
  </w:abstractNum>
  <w:abstractNum w:abstractNumId="81">
    <w:nsid w:val="64429599"/>
    <w:multiLevelType w:val="hybridMultilevel"/>
    <w:lvl w:ilvl="0">
      <w:lvlJc w:val="left"/>
      <w:lvlText w:val="(%1)"/>
      <w:numFmt w:val="lowerLetter"/>
      <w:start w:val="1"/>
    </w:lvl>
  </w:abstractNum>
  <w:abstractNum w:abstractNumId="82">
    <w:nsid w:val="631F1690"/>
    <w:multiLevelType w:val="hybridMultilevel"/>
    <w:lvl w:ilvl="0">
      <w:lvlJc w:val="left"/>
      <w:lvlText w:val="(%1)"/>
      <w:numFmt w:val="lowerRoman"/>
      <w:start w:val="1"/>
    </w:lvl>
  </w:abstractNum>
  <w:abstractNum w:abstractNumId="83">
    <w:nsid w:val="25973E32"/>
    <w:multiLevelType w:val="hybridMultilevel"/>
    <w:lvl w:ilvl="0">
      <w:lvlJc w:val="left"/>
      <w:lvlText w:val="(%1)"/>
      <w:numFmt w:val="upperLetter"/>
      <w:start w:val="2"/>
    </w:lvl>
  </w:abstractNum>
  <w:abstractNum w:abstractNumId="84">
    <w:nsid w:val="EAD6F57"/>
    <w:multiLevelType w:val="hybridMultilevel"/>
    <w:lvl w:ilvl="0">
      <w:lvlJc w:val="left"/>
      <w:lvlText w:val="(%1)"/>
      <w:numFmt w:val="lowerLetter"/>
      <w:start w:val="1"/>
    </w:lvl>
  </w:abstractNum>
  <w:abstractNum w:abstractNumId="85">
    <w:nsid w:val="6EC9D844"/>
    <w:multiLevelType w:val="hybridMultilevel"/>
    <w:lvl w:ilvl="0">
      <w:lvlJc w:val="left"/>
      <w:lvlText w:val="(%1)"/>
      <w:numFmt w:val="lowerLetter"/>
      <w:start w:val="1"/>
    </w:lvl>
  </w:abstractNum>
  <w:abstractNum w:abstractNumId="86">
    <w:nsid w:val="5C49EAEE"/>
    <w:multiLevelType w:val="hybridMultilevel"/>
    <w:lvl w:ilvl="0">
      <w:lvlJc w:val="left"/>
      <w:lvlText w:val="(%1)"/>
      <w:numFmt w:val="lowerLetter"/>
      <w:start w:val="2"/>
    </w:lvl>
  </w:abstractNum>
  <w:abstractNum w:abstractNumId="87">
    <w:nsid w:val="64AF49B"/>
    <w:multiLevelType w:val="hybridMultilevel"/>
    <w:lvl w:ilvl="0">
      <w:lvlJc w:val="left"/>
      <w:lvlText w:val="(%1)"/>
      <w:numFmt w:val="upperLetter"/>
      <w:start w:val="2"/>
    </w:lvl>
  </w:abstractNum>
  <w:abstractNum w:abstractNumId="88">
    <w:nsid w:val="397C46BC"/>
    <w:multiLevelType w:val="hybridMultilevel"/>
    <w:lvl w:ilvl="0">
      <w:lvlJc w:val="left"/>
      <w:lvlText w:val="(%1)"/>
      <w:numFmt w:val="lowerLetter"/>
      <w:start w:val="1"/>
    </w:lvl>
  </w:abstractNum>
  <w:abstractNum w:abstractNumId="89">
    <w:nsid w:val="7E448DE9"/>
    <w:multiLevelType w:val="hybridMultilevel"/>
    <w:lvl w:ilvl="0">
      <w:lvlJc w:val="left"/>
      <w:lvlText w:val="(%1)"/>
      <w:numFmt w:val="lowerLetter"/>
      <w:start w:val="1"/>
    </w:lvl>
  </w:abstractNum>
  <w:abstractNum w:abstractNumId="90">
    <w:nsid w:val="5A9CC3E5"/>
    <w:multiLevelType w:val="hybridMultilevel"/>
    <w:lvl w:ilvl="0">
      <w:lvlJc w:val="left"/>
      <w:lvlText w:val="(%1)"/>
      <w:numFmt w:val="lowerLetter"/>
      <w:start w:val="1"/>
    </w:lvl>
  </w:abstractNum>
  <w:abstractNum w:abstractNumId="91">
    <w:nsid w:val="1AFE3625"/>
    <w:multiLevelType w:val="hybridMultilevel"/>
    <w:lvl w:ilvl="0">
      <w:lvlJc w:val="left"/>
      <w:lvlText w:val="(%1)"/>
      <w:numFmt w:val="lowerRoman"/>
      <w:start w:val="1"/>
    </w:lvl>
  </w:abstractNum>
  <w:abstractNum w:abstractNumId="92">
    <w:nsid w:val="3CA88ECF"/>
    <w:multiLevelType w:val="hybridMultilevel"/>
    <w:lvl w:ilvl="0">
      <w:lvlJc w:val="left"/>
      <w:lvlText w:val="(%1)"/>
      <w:numFmt w:val="lowerLetter"/>
      <w:start w:val="3"/>
    </w:lvl>
  </w:abstractNum>
  <w:abstractNum w:abstractNumId="93">
    <w:nsid w:val="6EBE4208"/>
    <w:multiLevelType w:val="hybridMultilevel"/>
    <w:lvl w:ilvl="0">
      <w:lvlJc w:val="left"/>
      <w:lvlText w:val="%1"/>
      <w:numFmt w:val="decimal"/>
      <w:start w:val="1"/>
    </w:lvl>
    <w:lvl w:ilvl="1">
      <w:lvlJc w:val="left"/>
      <w:lvlText w:val="(%2)"/>
      <w:numFmt w:val="lowerLetter"/>
      <w:start w:val="1"/>
    </w:lvl>
  </w:abstractNum>
  <w:abstractNum w:abstractNumId="94">
    <w:nsid w:val="C058DF5"/>
    <w:multiLevelType w:val="hybridMultilevel"/>
    <w:lvl w:ilvl="0">
      <w:lvlJc w:val="left"/>
      <w:lvlText w:val="(%1)"/>
      <w:numFmt w:val="decimal"/>
      <w:start w:val="2"/>
    </w:lvl>
    <w:lvl w:ilvl="1">
      <w:lvlJc w:val="left"/>
      <w:lvlText w:val="%2"/>
      <w:numFmt w:val="lowerLetter"/>
      <w:start w:val="1"/>
    </w:lvl>
  </w:abstractNum>
  <w:abstractNum w:abstractNumId="95">
    <w:nsid w:val="CBE5BE9"/>
    <w:multiLevelType w:val="hybridMultilevel"/>
    <w:lvl w:ilvl="0">
      <w:lvlJc w:val="left"/>
      <w:lvlText w:val="%1"/>
      <w:numFmt w:val="lowerLetter"/>
      <w:start w:val="1"/>
    </w:lvl>
    <w:lvl w:ilvl="1">
      <w:lvlJc w:val="left"/>
      <w:lvlText w:val="(%2)"/>
      <w:numFmt w:val="lowerLetter"/>
      <w:start w:val="1"/>
    </w:lvl>
  </w:abstractNum>
  <w:abstractNum w:abstractNumId="96">
    <w:nsid w:val="3102BBE2"/>
    <w:multiLevelType w:val="hybridMultilevel"/>
    <w:lvl w:ilvl="0">
      <w:lvlJc w:val="left"/>
      <w:lvlText w:val="(%1)"/>
      <w:numFmt w:val="lowerLetter"/>
      <w:start w:val="2"/>
    </w:lvl>
    <w:lvl w:ilvl="1">
      <w:lvlJc w:val="left"/>
      <w:lvlText w:val="(%2)"/>
      <w:numFmt w:val="lowerLetter"/>
      <w:start w:val="2"/>
    </w:lvl>
  </w:abstractNum>
  <w:abstractNum w:abstractNumId="97">
    <w:nsid w:val="26A02C5E"/>
    <w:multiLevelType w:val="hybridMultilevel"/>
    <w:lvl w:ilvl="0">
      <w:lvlJc w:val="left"/>
      <w:lvlText w:val="(%1)"/>
      <w:numFmt w:val="lowerLetter"/>
      <w:start w:val="1"/>
    </w:lvl>
  </w:abstractNum>
  <w:abstractNum w:abstractNumId="98">
    <w:nsid w:val="541C8153"/>
    <w:multiLevelType w:val="hybridMultilevel"/>
    <w:lvl w:ilvl="0">
      <w:lvlJc w:val="left"/>
      <w:lvlText w:val="(%1)"/>
      <w:numFmt w:val="lowerLetter"/>
      <w:start w:val="2"/>
    </w:lvl>
  </w:abstractNum>
  <w:abstractNum w:abstractNumId="99">
    <w:nsid w:val="67906F60"/>
    <w:multiLevelType w:val="hybridMultilevel"/>
    <w:lvl w:ilvl="0">
      <w:lvlJc w:val="left"/>
      <w:lvlText w:val="(%1)"/>
      <w:numFmt w:val="lowerLetter"/>
      <w:start w:val="1"/>
    </w:lvl>
  </w:abstractNum>
  <w:abstractNum w:abstractNumId="100">
    <w:nsid w:val="10DB9DAA"/>
    <w:multiLevelType w:val="hybridMultilevel"/>
    <w:lvl w:ilvl="0">
      <w:lvlJc w:val="left"/>
      <w:lvlText w:val="(%1)"/>
      <w:numFmt w:val="lowerLetter"/>
      <w:start w:val="2"/>
    </w:lvl>
  </w:abstractNum>
  <w:abstractNum w:abstractNumId="101">
    <w:nsid w:val="697D2D2"/>
    <w:multiLevelType w:val="hybridMultilevel"/>
    <w:lvl w:ilvl="0">
      <w:lvlJc w:val="left"/>
      <w:lvlText w:val="(%1)"/>
      <w:numFmt w:val="lowerLetter"/>
      <w:start w:val="1"/>
    </w:lvl>
  </w:abstractNum>
  <w:abstractNum w:abstractNumId="102">
    <w:nsid w:val="6D68AB2"/>
    <w:multiLevelType w:val="hybridMultilevel"/>
    <w:lvl w:ilvl="0">
      <w:lvlJc w:val="left"/>
      <w:lvlText w:val="(%1)"/>
      <w:numFmt w:val="lowerLetter"/>
      <w:start w:val="2"/>
    </w:lvl>
  </w:abstractNum>
  <w:abstractNum w:abstractNumId="103">
    <w:nsid w:val="3A966CD0"/>
    <w:multiLevelType w:val="hybridMultilevel"/>
    <w:lvl w:ilvl="0">
      <w:lvlJc w:val="left"/>
      <w:lvlText w:val="(%1)"/>
      <w:numFmt w:val="lowerLetter"/>
      <w:start w:val="1"/>
    </w:lvl>
  </w:abstractNum>
  <w:abstractNum w:abstractNumId="104">
    <w:nsid w:val="63F37E85"/>
    <w:multiLevelType w:val="hybridMultilevel"/>
    <w:lvl w:ilvl="0">
      <w:lvlJc w:val="left"/>
      <w:lvlText w:val="(%1)"/>
      <w:numFmt w:val="lowerRoman"/>
      <w:start w:val="1"/>
    </w:lvl>
  </w:abstractNum>
  <w:abstractNum w:abstractNumId="105">
    <w:nsid w:val="5895F5FA"/>
    <w:multiLevelType w:val="hybridMultilevel"/>
    <w:lvl w:ilvl="0">
      <w:lvlJc w:val="left"/>
      <w:lvlText w:val="(%1)"/>
      <w:numFmt w:val="lowerLetter"/>
      <w:start w:val="2"/>
    </w:lvl>
  </w:abstractNum>
  <w:abstractNum w:abstractNumId="106">
    <w:nsid w:val="38A5D054"/>
    <w:multiLevelType w:val="hybridMultilevel"/>
    <w:lvl w:ilvl="0">
      <w:lvlJc w:val="left"/>
      <w:lvlText w:val="(%1)"/>
      <w:numFmt w:val="lowerLetter"/>
      <w:start w:val="1"/>
    </w:lvl>
  </w:abstractNum>
  <w:abstractNum w:abstractNumId="107">
    <w:nsid w:val="F3F09D8"/>
    <w:multiLevelType w:val="hybridMultilevel"/>
    <w:lvl w:ilvl="0">
      <w:lvlJc w:val="left"/>
      <w:lvlText w:val="%1"/>
      <w:numFmt w:val="lowerLetter"/>
      <w:start w:val="1"/>
    </w:lvl>
    <w:lvl w:ilvl="1">
      <w:lvlJc w:val="left"/>
      <w:lvlText w:val="(%2)"/>
      <w:numFmt w:val="lowerLetter"/>
      <w:start w:val="1"/>
    </w:lvl>
  </w:abstractNum>
  <w:abstractNum w:abstractNumId="108">
    <w:nsid w:val="4B793735"/>
    <w:multiLevelType w:val="hybridMultilevel"/>
    <w:lvl w:ilvl="0">
      <w:lvlJc w:val="left"/>
      <w:lvlText w:val="(%1)"/>
      <w:numFmt w:val="lowerLetter"/>
      <w:start w:val="9"/>
    </w:lvl>
    <w:lvl w:ilvl="1">
      <w:lvlJc w:val="left"/>
      <w:lvlText w:val="(%2)"/>
      <w:numFmt w:val="lowerLetter"/>
      <w:start w:val="3"/>
    </w:lvl>
  </w:abstractNum>
  <w:abstractNum w:abstractNumId="109">
    <w:nsid w:val="4A10B4E8"/>
    <w:multiLevelType w:val="hybridMultilevel"/>
    <w:lvl w:ilvl="0">
      <w:lvlJc w:val="left"/>
      <w:lvlText w:val="(%1)"/>
      <w:numFmt w:val="lowerLetter"/>
      <w:start w:val="4"/>
    </w:lvl>
  </w:abstractNum>
  <w:abstractNum w:abstractNumId="110">
    <w:nsid w:val="43D3BCD4"/>
    <w:multiLevelType w:val="hybridMultilevel"/>
    <w:lvl w:ilvl="0">
      <w:lvlJc w:val="left"/>
      <w:lvlText w:val="(%1)"/>
      <w:numFmt w:val="lowerLetter"/>
      <w:start w:val="25"/>
    </w:lvl>
  </w:abstractNum>
  <w:abstractNum w:abstractNumId="111">
    <w:nsid w:val="4C2A7166"/>
    <w:multiLevelType w:val="hybridMultilevel"/>
    <w:lvl w:ilvl="0">
      <w:lvlJc w:val="left"/>
      <w:lvlText w:val="(%1)"/>
      <w:numFmt w:val="lowerLetter"/>
      <w:start w:val="1"/>
    </w:lvl>
  </w:abstractNum>
  <w:abstractNum w:abstractNumId="112">
    <w:nsid w:val="2E534A82"/>
    <w:multiLevelType w:val="hybridMultilevel"/>
    <w:lvl w:ilvl="0">
      <w:lvlJc w:val="left"/>
      <w:lvlText w:val="(%1)"/>
      <w:numFmt w:val="lowerLetter"/>
      <w:start w:val="2"/>
    </w:lvl>
  </w:abstractNum>
  <w:abstractNum w:abstractNumId="113">
    <w:nsid w:val="26F2D364"/>
    <w:multiLevelType w:val="hybridMultilevel"/>
    <w:lvl w:ilvl="0">
      <w:lvlJc w:val="left"/>
      <w:lvlText w:val="(%1)"/>
      <w:numFmt w:val="lowerRoman"/>
      <w:start w:val="1"/>
    </w:lvl>
  </w:abstractNum>
  <w:abstractNum w:abstractNumId="114">
    <w:nsid w:val="71C1AF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3D00B9D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6">
    <w:nsid w:val="15BCABA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17">
    <w:nsid w:val="4E0B9A87"/>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18">
    <w:nsid w:val="434BAE75"/>
    <w:multiLevelType w:val="hybridMultilevel"/>
    <w:lvl w:ilvl="0">
      <w:lvlJc w:val="left"/>
      <w:lvlText w:val="(%1)"/>
      <w:numFmt w:val="lowerLetter"/>
      <w:start w:val="6"/>
    </w:lvl>
    <w:lvl w:ilvl="1">
      <w:lvlJc w:val="left"/>
      <w:lvlText w:val="(%2)"/>
      <w:numFmt w:val="lowerLetter"/>
      <w:start w:val="9"/>
    </w:lvl>
  </w:abstractNum>
  <w:abstractNum w:abstractNumId="119">
    <w:nsid w:val="4F38F265"/>
    <w:multiLevelType w:val="hybridMultilevel"/>
    <w:lvl w:ilvl="0">
      <w:lvlJc w:val="left"/>
      <w:lvlText w:val="%1"/>
      <w:numFmt w:val="lowerRoman"/>
      <w:start w:val="1"/>
    </w:lvl>
    <w:lvl w:ilvl="1">
      <w:lvlJc w:val="left"/>
      <w:lvlText w:val="(%2)"/>
      <w:numFmt w:val="lowerRoman"/>
      <w:start w:val="2"/>
    </w:lvl>
  </w:abstractNum>
  <w:abstractNum w:abstractNumId="120">
    <w:nsid w:val="4C502870"/>
    <w:multiLevelType w:val="hybridMultilevel"/>
    <w:lvl w:ilvl="0">
      <w:lvlJc w:val="left"/>
      <w:lvlText w:val="(%1)"/>
      <w:numFmt w:val="lowerRoman"/>
      <w:start w:val="1"/>
    </w:lvl>
    <w:lvl w:ilvl="1">
      <w:lvlJc w:val="left"/>
      <w:lvlText w:val="(%2)"/>
      <w:numFmt w:val="lowerRoman"/>
      <w:start w:val="1"/>
    </w:lvl>
  </w:abstractNum>
  <w:abstractNum w:abstractNumId="121">
    <w:nsid w:val="1DE8725A"/>
    <w:multiLevelType w:val="hybridMultilevel"/>
    <w:lvl w:ilvl="0">
      <w:lvlJc w:val="left"/>
      <w:lvlText w:val="(%1)"/>
      <w:numFmt w:val="lowerLetter"/>
      <w:start w:val="1"/>
    </w:lvl>
  </w:abstractNum>
  <w:abstractNum w:abstractNumId="122">
    <w:nsid w:val="6A37288A"/>
    <w:multiLevelType w:val="hybridMultilevel"/>
    <w:lvl w:ilvl="0">
      <w:lvlJc w:val="left"/>
      <w:lvlText w:val="(%1)"/>
      <w:numFmt w:val="lowerLetter"/>
      <w:start w:val="2"/>
    </w:lvl>
  </w:abstractNum>
  <w:abstractNum w:abstractNumId="123">
    <w:nsid w:val="8F8B73F"/>
    <w:multiLevelType w:val="hybridMultilevel"/>
    <w:lvl w:ilvl="0">
      <w:lvlJc w:val="left"/>
      <w:lvlText w:val="(%1)"/>
      <w:numFmt w:val="lowerLetter"/>
      <w:start w:val="1"/>
    </w:lvl>
  </w:abstractNum>
  <w:abstractNum w:abstractNumId="124">
    <w:nsid w:val="CA6B462"/>
    <w:multiLevelType w:val="hybridMultilevel"/>
    <w:lvl w:ilvl="0">
      <w:lvlJc w:val="left"/>
      <w:lvlText w:val="(%1)"/>
      <w:numFmt w:val="lowerLetter"/>
      <w:start w:val="3"/>
    </w:lvl>
  </w:abstractNum>
  <w:abstractNum w:abstractNumId="125">
    <w:nsid w:val="763CB680"/>
    <w:multiLevelType w:val="hybridMultilevel"/>
    <w:lvl w:ilvl="0">
      <w:lvlJc w:val="left"/>
      <w:lvlText w:val="(%1)"/>
      <w:numFmt w:val="lowerLetter"/>
      <w:start w:val="1"/>
    </w:lvl>
  </w:abstractNum>
  <w:abstractNum w:abstractNumId="126">
    <w:nsid w:val="15B71329"/>
    <w:multiLevelType w:val="hybridMultilevel"/>
    <w:lvl w:ilvl="0">
      <w:lvlJc w:val="left"/>
      <w:lvlText w:val="(%1)"/>
      <w:numFmt w:val="lowerLetter"/>
      <w:start w:val="1"/>
    </w:lvl>
  </w:abstractNum>
  <w:abstractNum w:abstractNumId="127">
    <w:nsid w:val="3DA97044"/>
    <w:multiLevelType w:val="hybridMultilevel"/>
    <w:lvl w:ilvl="0">
      <w:lvlJc w:val="left"/>
      <w:lvlText w:val="(%1)"/>
      <w:numFmt w:val="lowerRoman"/>
      <w:start w:val="2"/>
    </w:lvl>
  </w:abstractNum>
  <w:abstractNum w:abstractNumId="128">
    <w:nsid w:val="1CDCE2DE"/>
    <w:multiLevelType w:val="hybridMultilevel"/>
    <w:lvl w:ilvl="0">
      <w:lvlJc w:val="left"/>
      <w:lvlText w:val="(%1)"/>
      <w:numFmt w:val="lowerLetter"/>
      <w:start w:val="2"/>
    </w:lvl>
  </w:abstractNum>
  <w:abstractNum w:abstractNumId="129">
    <w:nsid w:val="69D3947C"/>
    <w:multiLevelType w:val="hybridMultilevel"/>
    <w:lvl w:ilvl="0">
      <w:lvlJc w:val="left"/>
      <w:lvlText w:val="(%1)"/>
      <w:numFmt w:val="lowerRoman"/>
      <w:start w:val="2"/>
    </w:lvl>
  </w:abstractNum>
  <w:abstractNum w:abstractNumId="130">
    <w:nsid w:val="2539DFA5"/>
    <w:multiLevelType w:val="hybridMultilevel"/>
    <w:lvl w:ilvl="0">
      <w:lvlJc w:val="left"/>
      <w:lvlText w:val="(%1)"/>
      <w:numFmt w:val="lowerLetter"/>
      <w:start w:val="3"/>
    </w:lvl>
  </w:abstractNum>
  <w:abstractNum w:abstractNumId="131">
    <w:nsid w:val="2DB88089"/>
    <w:multiLevelType w:val="hybridMultilevel"/>
    <w:lvl w:ilvl="0">
      <w:lvlJc w:val="left"/>
      <w:lvlText w:val="(%1)"/>
      <w:numFmt w:val="lowerLetter"/>
      <w:start w:val="6"/>
    </w:lvl>
  </w:abstractNum>
  <w:abstractNum w:abstractNumId="132">
    <w:nsid w:val="706B674E"/>
    <w:multiLevelType w:val="hybridMultilevel"/>
    <w:lvl w:ilvl="0">
      <w:lvlJc w:val="left"/>
      <w:lvlText w:val="(%1)"/>
      <w:numFmt w:val="lowerLetter"/>
      <w:start w:val="1"/>
    </w:lvl>
    <w:lvl w:ilvl="1">
      <w:lvlJc w:val="left"/>
      <w:lvlText w:val="(%2)"/>
      <w:numFmt w:val="lowerRoman"/>
      <w:start w:val="1"/>
    </w:lvl>
  </w:abstractNum>
  <w:abstractNum w:abstractNumId="133">
    <w:nsid w:val="2C106A57"/>
    <w:multiLevelType w:val="hybridMultilevel"/>
    <w:lvl w:ilvl="0">
      <w:lvlJc w:val="left"/>
      <w:lvlText w:val="(%1)"/>
      <w:numFmt w:val="lowerLetter"/>
      <w:start w:val="2"/>
    </w:lvl>
    <w:lvl w:ilvl="1">
      <w:lvlJc w:val="left"/>
      <w:lvlText w:val="(%2)"/>
      <w:numFmt w:val="lowerRoman"/>
      <w:start w:val="1"/>
    </w:lvl>
  </w:abstractNum>
  <w:abstractNum w:abstractNumId="134">
    <w:nsid w:val="684EED59"/>
    <w:multiLevelType w:val="hybridMultilevel"/>
    <w:lvl w:ilvl="0">
      <w:lvlJc w:val="left"/>
      <w:lvlText w:val="(%1)"/>
      <w:numFmt w:val="lowerRoman"/>
      <w:start w:val="3"/>
    </w:lvl>
    <w:lvl w:ilvl="1">
      <w:lvlJc w:val="left"/>
      <w:lvlText w:val="(%2)"/>
      <w:numFmt w:val="upperLetter"/>
      <w:start w:val="1"/>
    </w:lvl>
  </w:abstractNum>
  <w:abstractNum w:abstractNumId="135">
    <w:nsid w:val="545EE5D3"/>
    <w:multiLevelType w:val="hybridMultilevel"/>
    <w:lvl w:ilvl="0">
      <w:lvlJc w:val="left"/>
      <w:lvlText w:val="%1"/>
      <w:numFmt w:val="lowerRoman"/>
      <w:start w:val="1"/>
    </w:lvl>
    <w:lvl w:ilvl="1">
      <w:lvlJc w:val="left"/>
      <w:lvlText w:val="(%2)"/>
      <w:numFmt w:val="upperLetter"/>
      <w:start w:val="3"/>
    </w:lvl>
  </w:abstractNum>
  <w:abstractNum w:abstractNumId="136">
    <w:nsid w:val="4A66051"/>
    <w:multiLevelType w:val="hybridMultilevel"/>
    <w:lvl w:ilvl="0">
      <w:lvlJc w:val="left"/>
      <w:lvlText w:val="(%1)"/>
      <w:numFmt w:val="lowerRoman"/>
      <w:start w:val="5"/>
    </w:lvl>
    <w:lvl w:ilvl="1">
      <w:lvlJc w:val="left"/>
      <w:lvlText w:val="%2"/>
      <w:numFmt w:val="upperLetter"/>
      <w:start w:val="1"/>
    </w:lvl>
  </w:abstractNum>
  <w:abstractNum w:abstractNumId="137">
    <w:nsid w:val="20F4BDAD"/>
    <w:multiLevelType w:val="hybridMultilevel"/>
    <w:lvl w:ilvl="0">
      <w:lvlJc w:val="left"/>
      <w:lvlText w:val="(%1)"/>
      <w:numFmt w:val="lowerRoman"/>
      <w:start w:val="7"/>
    </w:lvl>
    <w:lvl w:ilvl="1">
      <w:lvlJc w:val="left"/>
      <w:lvlText w:val="(%2)"/>
      <w:numFmt w:val="upperLetter"/>
      <w:start w:val="2"/>
    </w:lvl>
  </w:abstractNum>
  <w:abstractNum w:abstractNumId="138">
    <w:nsid w:val="639DEFAC"/>
    <w:multiLevelType w:val="hybridMultilevel"/>
    <w:lvl w:ilvl="0">
      <w:lvlJc w:val="left"/>
      <w:lvlText w:val="(%1)"/>
      <w:numFmt w:val="lowerLetter"/>
      <w:start w:val="1"/>
    </w:lvl>
  </w:abstractNum>
  <w:abstractNum w:abstractNumId="139">
    <w:nsid w:val="501F9786"/>
    <w:multiLevelType w:val="hybridMultilevel"/>
    <w:lvl w:ilvl="0">
      <w:lvlJc w:val="left"/>
      <w:lvlText w:val="(%1)"/>
      <w:numFmt w:val="lowerLetter"/>
      <w:start w:val="3"/>
    </w:lvl>
  </w:abstractNum>
  <w:abstractNum w:abstractNumId="140">
    <w:nsid w:val="6B057295"/>
    <w:multiLevelType w:val="hybridMultilevel"/>
    <w:lvl w:ilvl="0">
      <w:lvlJc w:val="left"/>
      <w:lvlText w:val="(%1)"/>
      <w:numFmt w:val="lowerLetter"/>
      <w:start w:val="1"/>
    </w:lvl>
  </w:abstractNum>
  <w:abstractNum w:abstractNumId="141">
    <w:nsid w:val="2771AC80"/>
    <w:multiLevelType w:val="hybridMultilevel"/>
    <w:lvl w:ilvl="0">
      <w:lvlJc w:val="left"/>
      <w:lvlText w:val="(%1)"/>
      <w:numFmt w:val="lowerLetter"/>
      <w:start w:val="6"/>
    </w:lvl>
  </w:abstractNum>
  <w:abstractNum w:abstractNumId="142">
    <w:nsid w:val="1C4A08EC"/>
    <w:multiLevelType w:val="hybridMultilevel"/>
    <w:lvl w:ilvl="0">
      <w:lvlJc w:val="left"/>
      <w:lvlText w:val="(%1)"/>
      <w:numFmt w:val="lowerRoman"/>
      <w:start w:val="1"/>
    </w:lvl>
  </w:abstractNum>
  <w:abstractNum w:abstractNumId="143">
    <w:nsid w:val="1958BD17"/>
    <w:multiLevelType w:val="hybridMultilevel"/>
    <w:lvl w:ilvl="0">
      <w:lvlJc w:val="left"/>
      <w:lvlText w:val="(%1)"/>
      <w:numFmt w:val="lowerLetter"/>
      <w:start w:val="1"/>
    </w:lvl>
    <w:lvl w:ilvl="1">
      <w:lvlJc w:val="left"/>
      <w:lvlText w:val="(%2)"/>
      <w:numFmt w:val="lowerLetter"/>
      <w:start w:val="9"/>
    </w:lvl>
  </w:abstractNum>
  <w:abstractNum w:abstractNumId="144">
    <w:nsid w:val="4E647FE4"/>
    <w:multiLevelType w:val="hybridMultilevel"/>
    <w:lvl w:ilvl="0">
      <w:lvlJc w:val="left"/>
      <w:lvlText w:val="(%1)"/>
      <w:numFmt w:val="lowerLetter"/>
      <w:start w:val="2"/>
    </w:lvl>
  </w:abstractNum>
  <w:abstractNum w:abstractNumId="145">
    <w:nsid w:val="E0BB885"/>
    <w:multiLevelType w:val="hybridMultilevel"/>
    <w:lvl w:ilvl="0">
      <w:lvlJc w:val="left"/>
      <w:lvlText w:val="(%1)"/>
      <w:numFmt w:val="lowerLetter"/>
      <w:start w:val="1"/>
    </w:lvl>
  </w:abstractNum>
  <w:abstractNum w:abstractNumId="146">
    <w:nsid w:val="565976F1"/>
    <w:multiLevelType w:val="hybridMultilevel"/>
    <w:lvl w:ilvl="0">
      <w:lvlJc w:val="left"/>
      <w:lvlText w:val="(%1)"/>
      <w:numFmt w:val="lowerLetter"/>
      <w:start w:val="4"/>
    </w:lvl>
    <w:lvl w:ilvl="1">
      <w:lvlJc w:val="left"/>
      <w:lvlText w:val="(%2)"/>
      <w:numFmt w:val="lowerLetter"/>
      <w:start w:val="9"/>
    </w:lvl>
  </w:abstractNum>
  <w:abstractNum w:abstractNumId="147">
    <w:nsid w:val="64212B8C"/>
    <w:multiLevelType w:val="hybridMultilevel"/>
    <w:lvl w:ilvl="0">
      <w:lvlJc w:val="left"/>
      <w:lvlText w:val="(%1)"/>
      <w:numFmt w:val="upperLetter"/>
      <w:start w:val="1"/>
    </w:lvl>
    <w:lvl w:ilvl="1">
      <w:lvlJc w:val="left"/>
      <w:lvlText w:val="(%2)"/>
      <w:numFmt w:val="decimal"/>
      <w:start w:val="1"/>
    </w:lvl>
  </w:abstractNum>
  <w:abstractNum w:abstractNumId="148">
    <w:nsid w:val="5C17530C"/>
    <w:multiLevelType w:val="hybridMultilevel"/>
    <w:lvl w:ilvl="0">
      <w:lvlJc w:val="left"/>
      <w:lvlText w:val="(%1)"/>
      <w:numFmt w:val="upperLetter"/>
      <w:start w:val="3"/>
    </w:lvl>
  </w:abstractNum>
  <w:abstractNum w:abstractNumId="149">
    <w:nsid w:val="19A52566"/>
    <w:multiLevelType w:val="hybridMultilevel"/>
    <w:lvl w:ilvl="0">
      <w:lvlJc w:val="left"/>
      <w:lvlText w:val="(%1)"/>
      <w:numFmt w:val="lowerLetter"/>
      <w:start w:val="7"/>
    </w:lvl>
  </w:abstractNum>
  <w:abstractNum w:abstractNumId="150">
    <w:nsid w:val="335A1DF1"/>
    <w:multiLevelType w:val="hybridMultilevel"/>
    <w:lvl w:ilvl="0">
      <w:lvlJc w:val="left"/>
      <w:lvlText w:val="(%1)"/>
      <w:numFmt w:val="lowerLetter"/>
      <w:start w:val="8"/>
    </w:lvl>
  </w:abstractNum>
  <w:abstractNum w:abstractNumId="151">
    <w:nsid w:val="28677B7C"/>
    <w:multiLevelType w:val="hybridMultilevel"/>
    <w:lvl w:ilvl="0">
      <w:lvlJc w:val="left"/>
      <w:lvlText w:val="(%1)"/>
      <w:numFmt w:val="lowerLetter"/>
      <w:start w:val="1"/>
    </w:lvl>
  </w:abstractNum>
  <w:abstractNum w:abstractNumId="152">
    <w:nsid w:val="378D97C0"/>
    <w:multiLevelType w:val="hybridMultilevel"/>
    <w:lvl w:ilvl="0">
      <w:lvlJc w:val="left"/>
      <w:lvlText w:val="(%1)"/>
      <w:numFmt w:val="lowerLetter"/>
      <w:start w:val="3"/>
    </w:lvl>
  </w:abstractNum>
  <w:abstractNum w:abstractNumId="153">
    <w:nsid w:val="1D91467C"/>
    <w:multiLevelType w:val="hybridMultilevel"/>
    <w:lvl w:ilvl="0">
      <w:lvlJc w:val="left"/>
      <w:lvlText w:val="(%1)"/>
      <w:numFmt w:val="lowerLetter"/>
      <w:start w:val="5"/>
    </w:lvl>
  </w:abstractNum>
  <w:abstractNum w:abstractNumId="154">
    <w:nsid w:val="316032BB"/>
    <w:multiLevelType w:val="hybridMultilevel"/>
    <w:lvl w:ilvl="0">
      <w:lvlJc w:val="left"/>
      <w:lvlText w:val="(%1)"/>
      <w:numFmt w:val="lowerLetter"/>
      <w:start w:val="1"/>
    </w:lvl>
  </w:abstractNum>
  <w:abstractNum w:abstractNumId="155">
    <w:nsid w:val="44344C22"/>
    <w:multiLevelType w:val="hybridMultilevel"/>
    <w:lvl w:ilvl="0">
      <w:lvlJc w:val="left"/>
      <w:lvlText w:val="(%1)"/>
      <w:numFmt w:val="lowerLetter"/>
      <w:start w:val="1"/>
    </w:lvl>
  </w:abstractNum>
  <w:abstractNum w:abstractNumId="156">
    <w:nsid w:val="13CDFCFC"/>
    <w:multiLevelType w:val="hybridMultilevel"/>
    <w:lvl w:ilvl="0">
      <w:lvlJc w:val="left"/>
      <w:lvlText w:val="(%1)"/>
      <w:numFmt w:val="lowerLetter"/>
      <w:start w:val="2"/>
    </w:lvl>
    <w:lvl w:ilvl="1">
      <w:lvlJc w:val="left"/>
      <w:lvlText w:val="(%2)"/>
      <w:numFmt w:val="lowerLetter"/>
      <w:start w:val="9"/>
    </w:lvl>
  </w:abstractNum>
  <w:abstractNum w:abstractNumId="157">
    <w:nsid w:val="471745E4"/>
    <w:multiLevelType w:val="hybridMultilevel"/>
    <w:lvl w:ilvl="0">
      <w:lvlJc w:val="left"/>
      <w:lvlText w:val="%1"/>
      <w:numFmt w:val="lowerLetter"/>
      <w:start w:val="1"/>
    </w:lvl>
    <w:lvl w:ilvl="1">
      <w:lvlJc w:val="left"/>
      <w:lvlText w:val="(%2)"/>
      <w:numFmt w:val="lowerRoman"/>
      <w:start w:val="2"/>
    </w:lvl>
  </w:abstractNum>
  <w:abstractNum w:abstractNumId="158">
    <w:nsid w:val="1DDBC66"/>
    <w:multiLevelType w:val="hybridMultilevel"/>
    <w:lvl w:ilvl="0">
      <w:lvlJc w:val="left"/>
      <w:lvlText w:val="(%1)"/>
      <w:numFmt w:val="lowerLetter"/>
      <w:start w:val="5"/>
    </w:lvl>
    <w:lvl w:ilvl="1">
      <w:lvlJc w:val="left"/>
      <w:lvlText w:val="%2"/>
      <w:numFmt w:val="lowerRoman"/>
      <w:start w:val="1"/>
    </w:lvl>
  </w:abstractNum>
  <w:abstractNum w:abstractNumId="159">
    <w:nsid w:val="30AADFDA"/>
    <w:multiLevelType w:val="hybridMultilevel"/>
    <w:lvl w:ilvl="0">
      <w:lvlJc w:val="left"/>
      <w:lvlText w:val="(%1)"/>
      <w:numFmt w:val="lowerLetter"/>
      <w:start w:val="1"/>
    </w:lvl>
    <w:lvl w:ilvl="1">
      <w:lvlJc w:val="left"/>
      <w:lvlText w:val="(%2)"/>
      <w:numFmt w:val="lowerLetter"/>
      <w:start w:val="9"/>
    </w:lvl>
  </w:abstractNum>
  <w:abstractNum w:abstractNumId="160">
    <w:nsid w:val="30EADA61"/>
    <w:multiLevelType w:val="hybridMultilevel"/>
    <w:lvl w:ilvl="0">
      <w:lvlJc w:val="left"/>
      <w:lvlText w:val="(%1)"/>
      <w:numFmt w:val="lowerLetter"/>
      <w:start w:val="25"/>
    </w:lvl>
  </w:abstractNum>
  <w:abstractNum w:abstractNumId="161">
    <w:nsid w:val="27179C0B"/>
    <w:multiLevelType w:val="hybridMultilevel"/>
    <w:lvl w:ilvl="0">
      <w:lvlJc w:val="left"/>
      <w:lvlText w:val="(%1)"/>
      <w:numFmt w:val="lowerRoman"/>
      <w:start w:val="5"/>
    </w:lvl>
  </w:abstractNum>
  <w:abstractNum w:abstractNumId="162">
    <w:nsid w:val="5E636063"/>
    <w:multiLevelType w:val="hybridMultilevel"/>
    <w:lvl w:ilvl="0">
      <w:lvlJc w:val="left"/>
      <w:lvlText w:val="(%1)"/>
      <w:numFmt w:val="lowerRoman"/>
      <w:start w:val="10"/>
    </w:lvl>
  </w:abstractNum>
  <w:abstractNum w:abstractNumId="163">
    <w:nsid w:val="215641AF"/>
    <w:multiLevelType w:val="hybridMultilevel"/>
    <w:lvl w:ilvl="0">
      <w:lvlJc w:val="left"/>
      <w:lvlText w:val="(%1)"/>
      <w:numFmt w:val="lowerLetter"/>
      <w:start w:val="2"/>
    </w:lvl>
  </w:abstractNum>
  <w:abstractNum w:abstractNumId="164">
    <w:nsid w:val="5328066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5">
    <w:nsid w:val="46B24DBC"/>
    <w:multiLevelType w:val="hybridMultilevel"/>
    <w:lvl w:ilvl="0">
      <w:lvlJc w:val="left"/>
      <w:lvlText w:val="(%1)"/>
      <w:numFmt w:val="lowerLetter"/>
      <w:start w:val="6"/>
    </w:lvl>
  </w:abstractNum>
  <w:abstractNum w:abstractNumId="166">
    <w:nsid w:val="75B52783"/>
    <w:multiLevelType w:val="hybridMultilevel"/>
    <w:lvl w:ilvl="0">
      <w:lvlJc w:val="left"/>
      <w:lvlText w:val="(%1)"/>
      <w:numFmt w:val="lowerLetter"/>
      <w:start w:val="1"/>
    </w:lvl>
    <w:lvl w:ilvl="1">
      <w:lvlJc w:val="left"/>
      <w:lvlText w:val="(%2)"/>
      <w:numFmt w:val="lowerLetter"/>
      <w:start w:val="9"/>
    </w:lvl>
  </w:abstractNum>
  <w:abstractNum w:abstractNumId="167">
    <w:nsid w:val="57CE66B4"/>
    <w:multiLevelType w:val="hybridMultilevel"/>
    <w:lvl w:ilvl="0">
      <w:lvlJc w:val="left"/>
      <w:lvlText w:val="(%1)"/>
      <w:numFmt w:val="lowerRoman"/>
      <w:start w:val="5"/>
    </w:lvl>
  </w:abstractNum>
  <w:abstractNum w:abstractNumId="168">
    <w:nsid w:val="67A70B69"/>
    <w:multiLevelType w:val="hybridMultilevel"/>
    <w:lvl w:ilvl="0">
      <w:lvlJc w:val="left"/>
      <w:lvlText w:val="(%1)"/>
      <w:numFmt w:val="lowerRoman"/>
      <w:start w:val="10"/>
    </w:lvl>
  </w:abstractNum>
  <w:abstractNum w:abstractNumId="169">
    <w:nsid w:val="5953172F"/>
    <w:multiLevelType w:val="hybridMultilevel"/>
    <w:lvl w:ilvl="0">
      <w:lvlJc w:val="left"/>
      <w:lvlText w:val="(%1)"/>
      <w:numFmt w:val="lowerLetter"/>
      <w:start w:val="2"/>
    </w:lvl>
  </w:abstractNum>
  <w:abstractNum w:abstractNumId="170">
    <w:nsid w:val="27EDFE3A"/>
    <w:multiLevelType w:val="hybridMultilevel"/>
    <w:lvl w:ilvl="0">
      <w:lvlJc w:val="left"/>
      <w:lvlText w:val="(%1)"/>
      <w:numFmt w:val="lowerLetter"/>
      <w:start w:val="1"/>
    </w:lvl>
  </w:abstractNum>
  <w:abstractNum w:abstractNumId="171">
    <w:nsid w:val="52AC7DFF"/>
    <w:multiLevelType w:val="hybridMultilevel"/>
    <w:lvl w:ilvl="0">
      <w:lvlJc w:val="left"/>
      <w:lvlText w:val="(%1)"/>
      <w:numFmt w:val="lowerLetter"/>
      <w:start w:val="1"/>
    </w:lvl>
  </w:abstractNum>
  <w:abstractNum w:abstractNumId="172">
    <w:nsid w:val="C4C3AF"/>
    <w:multiLevelType w:val="hybridMultilevel"/>
    <w:lvl w:ilvl="0">
      <w:lvlJc w:val="left"/>
      <w:lvlText w:val="(%1)"/>
      <w:numFmt w:val="lowerLetter"/>
      <w:start w:val="1"/>
    </w:lvl>
  </w:abstractNum>
  <w:abstractNum w:abstractNumId="173">
    <w:nsid w:val="44380727"/>
    <w:multiLevelType w:val="hybridMultilevel"/>
    <w:lvl w:ilvl="0">
      <w:lvlJc w:val="left"/>
      <w:lvlText w:val="(%1)"/>
      <w:numFmt w:val="lowerLetter"/>
      <w:start w:val="2"/>
    </w:lvl>
  </w:abstractNum>
  <w:abstractNum w:abstractNumId="174">
    <w:nsid w:val="6C053B16"/>
    <w:multiLevelType w:val="hybridMultilevel"/>
    <w:lvl w:ilvl="0">
      <w:lvlJc w:val="left"/>
      <w:lvlText w:val="(%1)"/>
      <w:numFmt w:val="lowerLetter"/>
      <w:start w:val="1"/>
    </w:lvl>
  </w:abstractNum>
  <w:abstractNum w:abstractNumId="175">
    <w:nsid w:val="4F294393"/>
    <w:multiLevelType w:val="hybridMultilevel"/>
    <w:lvl w:ilvl="0">
      <w:lvlJc w:val="left"/>
      <w:lvlText w:val="(%1)"/>
      <w:numFmt w:val="lowerLetter"/>
      <w:start w:val="1"/>
    </w:lvl>
  </w:abstractNum>
  <w:abstractNum w:abstractNumId="176">
    <w:nsid w:val="5243BFAC"/>
    <w:multiLevelType w:val="hybridMultilevel"/>
    <w:lvl w:ilvl="0">
      <w:lvlJc w:val="left"/>
      <w:lvlText w:val="(%1)"/>
      <w:numFmt w:val="lowerLetter"/>
      <w:start w:val="1"/>
    </w:lvl>
  </w:abstractNum>
  <w:abstractNum w:abstractNumId="177">
    <w:nsid w:val="425EB207"/>
    <w:multiLevelType w:val="hybridMultilevel"/>
    <w:lvl w:ilvl="0">
      <w:lvlJc w:val="left"/>
      <w:lvlText w:val="(%1)"/>
      <w:numFmt w:val="lowerLetter"/>
      <w:start w:val="2"/>
    </w:lvl>
  </w:abstractNum>
  <w:abstractNum w:abstractNumId="178">
    <w:nsid w:val="334A6F1F"/>
    <w:multiLevelType w:val="hybridMultilevel"/>
    <w:lvl w:ilvl="0">
      <w:lvlJc w:val="left"/>
      <w:lvlText w:val="%1"/>
      <w:numFmt w:val="upperLetter"/>
      <w:start w:val="1"/>
    </w:lvl>
    <w:lvl w:ilvl="1">
      <w:lvlJc w:val="left"/>
      <w:lvlText w:val="(%2)"/>
      <w:numFmt w:val="lowerLetter"/>
      <w:start w:val="1"/>
    </w:lvl>
  </w:abstractNum>
  <w:abstractNum w:abstractNumId="179">
    <w:nsid w:val="2E5B12B8"/>
    <w:multiLevelType w:val="hybridMultilevel"/>
    <w:lvl w:ilvl="0">
      <w:lvlJc w:val="left"/>
      <w:lvlText w:val="(%1)"/>
      <w:numFmt w:val="upperLetter"/>
      <w:start w:val="1"/>
    </w:lvl>
    <w:lvl w:ilvl="1">
      <w:lvlJc w:val="left"/>
      <w:lvlText w:val="(%2)"/>
      <w:numFmt w:val="lowerLetter"/>
      <w:start w:val="2"/>
    </w:lvl>
  </w:abstractNum>
  <w:abstractNum w:abstractNumId="180">
    <w:nsid w:val="5C03D76D"/>
    <w:multiLevelType w:val="hybridMultilevel"/>
    <w:lvl w:ilvl="0">
      <w:lvlJc w:val="left"/>
      <w:lvlText w:val="(%1)"/>
      <w:numFmt w:val="lowerLetter"/>
      <w:start w:val="4"/>
    </w:lvl>
  </w:abstractNum>
  <w:abstractNum w:abstractNumId="181">
    <w:nsid w:val="66A48D11"/>
    <w:multiLevelType w:val="hybridMultilevel"/>
    <w:lvl w:ilvl="0">
      <w:lvlJc w:val="left"/>
      <w:lvlText w:val="(%1)"/>
      <w:numFmt w:val="lowerLetter"/>
      <w:start w:val="12"/>
    </w:lvl>
  </w:abstractNum>
  <w:abstractNum w:abstractNumId="182">
    <w:nsid w:val="56C28E34"/>
    <w:multiLevelType w:val="hybridMultilevel"/>
    <w:lvl w:ilvl="0">
      <w:lvlJc w:val="left"/>
      <w:lvlText w:val="%1"/>
      <w:numFmt w:val="lowerLetter"/>
      <w:start w:val="1"/>
    </w:lvl>
    <w:lvl w:ilvl="1">
      <w:lvlJc w:val="left"/>
      <w:lvlText w:val="(%2)"/>
      <w:numFmt w:val="lowerLetter"/>
      <w:start w:val="1"/>
    </w:lvl>
  </w:abstractNum>
  <w:abstractNum w:abstractNumId="183">
    <w:nsid w:val="13916F2D"/>
    <w:multiLevelType w:val="hybridMultilevel"/>
    <w:lvl w:ilvl="0">
      <w:lvlJc w:val="left"/>
      <w:lvlText w:val="(%1)"/>
      <w:numFmt w:val="lowerLetter"/>
      <w:start w:val="35"/>
    </w:lvl>
    <w:lvl w:ilvl="1">
      <w:lvlJc w:val="left"/>
      <w:lvlText w:val="(%2)"/>
      <w:numFmt w:val="lowerLetter"/>
      <w:start w:val="2"/>
    </w:lvl>
  </w:abstractNum>
  <w:abstractNum w:abstractNumId="184">
    <w:nsid w:val="435D38D"/>
    <w:multiLevelType w:val="hybridMultilevel"/>
    <w:lvl w:ilvl="0">
      <w:lvlJc w:val="left"/>
      <w:lvlText w:val="(%1)"/>
      <w:numFmt w:val="lowerLetter"/>
      <w:start w:val="3"/>
    </w:lvl>
  </w:abstractNum>
  <w:abstractNum w:abstractNumId="185">
    <w:nsid w:val="822C0EF"/>
    <w:multiLevelType w:val="hybridMultilevel"/>
    <w:lvl w:ilvl="0">
      <w:lvlJc w:val="left"/>
      <w:lvlText w:val="(%1)"/>
      <w:numFmt w:val="lowerLetter"/>
      <w:start w:val="1"/>
    </w:lvl>
  </w:abstractNum>
  <w:abstractNum w:abstractNumId="186">
    <w:nsid w:val="57C5BB4F"/>
    <w:multiLevelType w:val="hybridMultilevel"/>
    <w:lvl w:ilvl="0">
      <w:lvlJc w:val="left"/>
      <w:lvlText w:val="%1"/>
      <w:numFmt w:val="lowerLetter"/>
      <w:start w:val="1"/>
    </w:lvl>
    <w:lvl w:ilvl="1">
      <w:lvlJc w:val="left"/>
      <w:lvlText w:val="(%2)"/>
      <w:numFmt w:val="lowerLetter"/>
      <w:start w:val="3"/>
    </w:lvl>
  </w:abstractNum>
  <w:abstractNum w:abstractNumId="187">
    <w:nsid w:val="1803D089"/>
    <w:multiLevelType w:val="hybridMultilevel"/>
    <w:lvl w:ilvl="0">
      <w:lvlJc w:val="left"/>
      <w:lvlText w:val="(%1)"/>
      <w:numFmt w:val="lowerLetter"/>
      <w:start w:val="9"/>
    </w:lvl>
    <w:lvl w:ilvl="1">
      <w:lvlJc w:val="left"/>
      <w:lvlText w:val="(%2)"/>
      <w:numFmt w:val="lowerLetter"/>
      <w:start w:val="10"/>
    </w:lvl>
  </w:abstractNum>
  <w:abstractNum w:abstractNumId="188">
    <w:nsid w:val="4F3A06D4"/>
    <w:multiLevelType w:val="hybridMultilevel"/>
    <w:lvl w:ilvl="0">
      <w:lvlJc w:val="left"/>
      <w:lvlText w:val="(%1)"/>
      <w:numFmt w:val="lowerLetter"/>
      <w:start w:val="12"/>
    </w:lvl>
  </w:abstractNum>
  <w:abstractNum w:abstractNumId="189">
    <w:nsid w:val="59A377B6"/>
    <w:multiLevelType w:val="hybridMultilevel"/>
    <w:lvl w:ilvl="0">
      <w:lvlJc w:val="left"/>
      <w:lvlText w:val="(%1)"/>
      <w:numFmt w:val="lowerLetter"/>
      <w:start w:val="1"/>
    </w:lvl>
  </w:abstractNum>
  <w:abstractNum w:abstractNumId="190">
    <w:nsid w:val="48AEB063"/>
    <w:multiLevelType w:val="hybridMultilevel"/>
    <w:lvl w:ilvl="0">
      <w:lvlJc w:val="left"/>
      <w:lvlText w:val="(%1)"/>
      <w:numFmt w:val="lowerLetter"/>
      <w:start w:val="1"/>
    </w:lvl>
  </w:abstractNum>
  <w:abstractNum w:abstractNumId="191">
    <w:nsid w:val="24E135"/>
    <w:multiLevelType w:val="hybridMultilevel"/>
    <w:lvl w:ilvl="0">
      <w:lvlJc w:val="left"/>
      <w:lvlText w:val="(%1)"/>
      <w:numFmt w:val="lowerRoman"/>
      <w:start w:val="1"/>
    </w:lvl>
  </w:abstractNum>
  <w:abstractNum w:abstractNumId="192">
    <w:nsid w:val="BB13C1"/>
    <w:multiLevelType w:val="hybridMultilevel"/>
    <w:lvl w:ilvl="0">
      <w:lvlJc w:val="left"/>
      <w:lvlText w:val="(%1)"/>
      <w:numFmt w:val="lowerRoman"/>
      <w:start w:val="5"/>
    </w:lvl>
  </w:abstractNum>
  <w:abstractNum w:abstractNumId="193">
    <w:nsid w:val="271210C7"/>
    <w:multiLevelType w:val="hybridMultilevel"/>
    <w:lvl w:ilvl="0">
      <w:lvlJc w:val="left"/>
      <w:lvlText w:val="(%1)"/>
      <w:numFmt w:val="lowerLetter"/>
      <w:start w:val="1"/>
    </w:lvl>
  </w:abstractNum>
  <w:abstractNum w:abstractNumId="194">
    <w:nsid w:val="217B22E4"/>
    <w:multiLevelType w:val="hybridMultilevel"/>
    <w:lvl w:ilvl="0">
      <w:lvlJc w:val="left"/>
      <w:lvlText w:val="(%1)"/>
      <w:numFmt w:val="lowerLetter"/>
      <w:start w:val="1"/>
    </w:lvl>
  </w:abstractNum>
  <w:abstractNum w:abstractNumId="195">
    <w:nsid w:val="53E31A24"/>
    <w:multiLevelType w:val="hybridMultilevel"/>
    <w:lvl w:ilvl="0">
      <w:lvlJc w:val="left"/>
      <w:lvlText w:val="(%1)"/>
      <w:numFmt w:val="lowerLetter"/>
      <w:start w:val="8"/>
    </w:lvl>
    <w:lvl w:ilvl="1">
      <w:lvlJc w:val="left"/>
      <w:lvlText w:val="(%2)"/>
      <w:numFmt w:val="lowerLetter"/>
      <w:start w:val="9"/>
    </w:lvl>
  </w:abstractNum>
  <w:abstractNum w:abstractNumId="196">
    <w:nsid w:val="6DC45E83"/>
    <w:multiLevelType w:val="hybridMultilevel"/>
    <w:lvl w:ilvl="0">
      <w:lvlJc w:val="left"/>
      <w:lvlText w:val="(%1)"/>
      <w:numFmt w:val="upperLetter"/>
      <w:start w:val="3"/>
    </w:lvl>
    <w:lvl w:ilvl="1">
      <w:lvlJc w:val="left"/>
      <w:lvlText w:val="(%2)"/>
      <w:numFmt w:val="lowerRoman"/>
      <w:start w:val="2"/>
    </w:lvl>
  </w:abstractNum>
  <w:abstractNum w:abstractNumId="197">
    <w:nsid w:val="17304A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98">
    <w:nsid w:val="2BB180D8"/>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199">
    <w:nsid w:val="556B69ED"/>
    <w:multiLevelType w:val="hybridMultilevel"/>
    <w:lvl w:ilvl="0">
      <w:lvlJc w:val="left"/>
      <w:lvlText w:val="(%1)"/>
      <w:numFmt w:val="decimal"/>
      <w:start w:val="2"/>
    </w:lvl>
    <w:lvl w:ilvl="1">
      <w:lvlJc w:val="left"/>
      <w:lvlText w:val="(%2)"/>
      <w:numFmt w:val="lowerLetter"/>
      <w:start w:val="18"/>
    </w:lvl>
    <w:lvl w:ilvl="2">
      <w:lvlJc w:val="left"/>
      <w:lvlText w:val="%3"/>
      <w:numFmt w:val="lowerRoman"/>
      <w:start w:val="1"/>
    </w:lvl>
  </w:abstractNum>
  <w:abstractNum w:abstractNumId="200">
    <w:nsid w:val="70836196"/>
    <w:multiLevelType w:val="hybridMultilevel"/>
    <w:lvl w:ilvl="0">
      <w:lvlJc w:val="left"/>
      <w:lvlText w:val="%1"/>
      <w:numFmt w:val="lowerLetter"/>
      <w:start w:val="1"/>
    </w:lvl>
    <w:lvl w:ilvl="1">
      <w:lvlJc w:val="left"/>
      <w:lvlText w:val="(%2)"/>
      <w:numFmt w:val="lowerLetter"/>
      <w:start w:val="20"/>
    </w:lvl>
  </w:abstractNum>
  <w:abstractNum w:abstractNumId="201">
    <w:nsid w:val="539F7F12"/>
    <w:multiLevelType w:val="hybridMultilevel"/>
    <w:lvl w:ilvl="0">
      <w:lvlJc w:val="left"/>
      <w:lvlText w:val="(%1)"/>
      <w:numFmt w:val="lowerLetter"/>
      <w:start w:val="25"/>
    </w:lvl>
    <w:lvl w:ilvl="1">
      <w:lvlJc w:val="left"/>
      <w:lvlText w:val="(%2)"/>
      <w:numFmt w:val="lowerLetter"/>
      <w:start w:val="24"/>
    </w:lvl>
  </w:abstractNum>
  <w:abstractNum w:abstractNumId="202">
    <w:nsid w:val="2817E7EC"/>
    <w:multiLevelType w:val="hybridMultilevel"/>
    <w:lvl w:ilvl="0">
      <w:lvlJc w:val="left"/>
      <w:lvlText w:val="(%1)"/>
      <w:numFmt w:val="lowerLetter"/>
      <w:start w:val="27"/>
    </w:lvl>
  </w:abstractNum>
  <w:abstractNum w:abstractNumId="203">
    <w:nsid w:val="71482545"/>
    <w:multiLevelType w:val="hybridMultilevel"/>
    <w:lvl w:ilvl="0">
      <w:lvlJc w:val="left"/>
      <w:lvlText w:val="(%1)"/>
      <w:numFmt w:val="lowerLetter"/>
      <w:start w:val="29"/>
    </w:lvl>
  </w:abstractNum>
  <w:abstractNum w:abstractNumId="204">
    <w:nsid w:val="17D78639"/>
    <w:multiLevelType w:val="hybridMultilevel"/>
    <w:lvl w:ilvl="0">
      <w:lvlJc w:val="left"/>
      <w:lvlText w:val="%1"/>
      <w:numFmt w:val="lowerLetter"/>
      <w:start w:val="1"/>
    </w:lvl>
    <w:lvl w:ilvl="1">
      <w:lvlJc w:val="left"/>
      <w:lvlText w:val="(%2)"/>
      <w:numFmt w:val="lowerLetter"/>
      <w:start w:val="1"/>
    </w:lvl>
  </w:abstractNum>
  <w:abstractNum w:abstractNumId="205">
    <w:nsid w:val="141D2302"/>
    <w:multiLevelType w:val="hybridMultilevel"/>
    <w:lvl w:ilvl="0">
      <w:lvlJc w:val="left"/>
      <w:lvlText w:val="(%1)"/>
      <w:numFmt w:val="lowerLetter"/>
      <w:start w:val="9"/>
    </w:lvl>
    <w:lvl w:ilvl="1">
      <w:lvlJc w:val="left"/>
      <w:lvlText w:val="(%2)"/>
      <w:numFmt w:val="lowerLetter"/>
      <w:start w:val="4"/>
    </w:lvl>
  </w:abstractNum>
  <w:abstractNum w:abstractNumId="206">
    <w:nsid w:val="407168D8"/>
    <w:multiLevelType w:val="hybridMultilevel"/>
    <w:lvl w:ilvl="0">
      <w:lvlJc w:val="left"/>
      <w:lvlText w:val="%1"/>
      <w:numFmt w:val="lowerRoman"/>
      <w:start w:val="1"/>
    </w:lvl>
    <w:lvl w:ilvl="1">
      <w:lvlJc w:val="left"/>
      <w:lvlText w:val="(%2)"/>
      <w:numFmt w:val="lowerLetter"/>
      <w:start w:val="6"/>
    </w:lvl>
  </w:abstractNum>
  <w:abstractNum w:abstractNumId="207">
    <w:nsid w:val="6A1B45E5"/>
    <w:multiLevelType w:val="hybridMultilevel"/>
    <w:lvl w:ilvl="0">
      <w:lvlJc w:val="left"/>
      <w:lvlText w:val="(%1)"/>
      <w:numFmt w:val="lowerRoman"/>
      <w:start w:val="4"/>
    </w:lvl>
    <w:lvl w:ilvl="1">
      <w:lvlJc w:val="left"/>
      <w:lvlText w:val="%2"/>
      <w:numFmt w:val="lowerLetter"/>
      <w:start w:val="1"/>
    </w:lvl>
  </w:abstractNum>
  <w:abstractNum w:abstractNumId="208">
    <w:nsid w:val="567BD50A"/>
    <w:multiLevelType w:val="hybridMultilevel"/>
    <w:lvl w:ilvl="0">
      <w:lvlJc w:val="left"/>
      <w:lvlText w:val="(%1)"/>
      <w:numFmt w:val="lowerRoman"/>
      <w:start w:val="3"/>
    </w:lvl>
    <w:lvl w:ilvl="1">
      <w:lvlJc w:val="left"/>
      <w:lvlText w:val="(%2)"/>
      <w:numFmt w:val="lowerLetter"/>
      <w:start w:val="7"/>
    </w:lvl>
  </w:abstractNum>
  <w:abstractNum w:abstractNumId="209">
    <w:nsid w:val="73BBD7F8"/>
    <w:multiLevelType w:val="hybridMultilevel"/>
    <w:lvl w:ilvl="0">
      <w:lvlJc w:val="left"/>
      <w:lvlText w:val="(%1)"/>
      <w:numFmt w:val="lowerLetter"/>
      <w:start w:val="14"/>
    </w:lvl>
  </w:abstractNum>
  <w:abstractNum w:abstractNumId="210">
    <w:nsid w:val="1876589D"/>
    <w:multiLevelType w:val="hybridMultilevel"/>
    <w:lvl w:ilvl="0">
      <w:lvlJc w:val="left"/>
      <w:lvlText w:val="(%1)"/>
      <w:numFmt w:val="lowerLetter"/>
      <w:start w:val="23"/>
    </w:lvl>
  </w:abstractNum>
  <w:abstractNum w:abstractNumId="211">
    <w:nsid w:val="327FAC77"/>
    <w:multiLevelType w:val="hybridMultilevel"/>
    <w:lvl w:ilvl="0">
      <w:lvlJc w:val="left"/>
      <w:lvlText w:val="(%1)"/>
      <w:numFmt w:val="lowerLetter"/>
      <w:start w:val="27"/>
    </w:lvl>
  </w:abstractNum>
  <w:abstractNum w:abstractNumId="212">
    <w:nsid w:val="5A6065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3">
    <w:nsid w:val="6F38E6D1"/>
    <w:multiLevelType w:val="hybridMultilevel"/>
    <w:lvl w:ilvl="0">
      <w:lvlJc w:val="left"/>
      <w:lvlText w:val="(%1)"/>
      <w:numFmt w:val="upperLetter"/>
      <w:start w:val="7"/>
    </w:lvl>
  </w:abstractNum>
  <w:abstractNum w:abstractNumId="214">
    <w:nsid w:val="46111BA5"/>
    <w:multiLevelType w:val="hybridMultilevel"/>
    <w:lvl w:ilvl="0">
      <w:lvlJc w:val="left"/>
      <w:lvlText w:val="(%1)"/>
      <w:numFmt w:val="upperLetter"/>
      <w:start w:val="1"/>
    </w:lvl>
  </w:abstractNum>
  <w:abstractNum w:abstractNumId="215">
    <w:nsid w:val="5E963896"/>
    <w:multiLevelType w:val="hybridMultilevel"/>
    <w:lvl w:ilvl="0">
      <w:lvlJc w:val="left"/>
      <w:lvlText w:val="(%1)"/>
      <w:numFmt w:val="lowerRoman"/>
      <w:start w:val="5"/>
    </w:lvl>
  </w:abstractNum>
  <w:abstractNum w:abstractNumId="216">
    <w:nsid w:val="775BA7C1"/>
    <w:multiLevelType w:val="hybridMultilevel"/>
    <w:lvl w:ilvl="0">
      <w:lvlJc w:val="left"/>
      <w:lvlText w:val="(%1)"/>
      <w:numFmt w:val="lowerRoman"/>
      <w:start w:val="10"/>
    </w:lvl>
  </w:abstractNum>
  <w:abstractNum w:abstractNumId="217">
    <w:nsid w:val="1DD6D6F4"/>
    <w:multiLevelType w:val="hybridMultilevel"/>
    <w:lvl w:ilvl="0">
      <w:lvlJc w:val="left"/>
      <w:lvlText w:val="(%1)"/>
      <w:numFmt w:val="lowerLetter"/>
      <w:start w:val="2"/>
    </w:lvl>
    <w:lvl w:ilvl="1">
      <w:lvlJc w:val="left"/>
      <w:lvlText w:val="(%2)"/>
      <w:numFmt w:val="lowerLetter"/>
      <w:start w:val="9"/>
    </w:lvl>
  </w:abstractNum>
  <w:abstractNum w:abstractNumId="218">
    <w:nsid w:val="769A091F"/>
    <w:multiLevelType w:val="hybridMultilevel"/>
    <w:lvl w:ilvl="0">
      <w:lvlJc w:val="left"/>
      <w:lvlText w:val="(%1)"/>
      <w:numFmt w:val="lowerRoman"/>
      <w:start w:val="5"/>
    </w:lvl>
  </w:abstractNum>
  <w:abstractNum w:abstractNumId="219">
    <w:nsid w:val="4695AE95"/>
    <w:multiLevelType w:val="hybridMultilevel"/>
    <w:lvl w:ilvl="0">
      <w:lvlJc w:val="left"/>
      <w:lvlText w:val="%1"/>
      <w:numFmt w:val="lowerLetter"/>
      <w:start w:val="1"/>
    </w:lvl>
    <w:lvl w:ilvl="1">
      <w:lvlJc w:val="left"/>
      <w:lvlText w:val="(%2)"/>
      <w:numFmt w:val="lowerLetter"/>
      <w:start w:val="1"/>
    </w:lvl>
  </w:abstractNum>
  <w:abstractNum w:abstractNumId="220">
    <w:nsid w:val="777A4EAA"/>
    <w:multiLevelType w:val="hybridMultilevel"/>
    <w:lvl w:ilvl="0">
      <w:lvlJc w:val="left"/>
      <w:lvlText w:val="(%1)"/>
      <w:numFmt w:val="lowerLetter"/>
      <w:start w:val="23"/>
    </w:lvl>
    <w:lvl w:ilvl="1">
      <w:lvlJc w:val="left"/>
      <w:lvlText w:val="(%2)"/>
      <w:numFmt w:val="lowerLetter"/>
      <w:start w:val="2"/>
    </w:lvl>
  </w:abstractNum>
  <w:abstractNum w:abstractNumId="221">
    <w:nsid w:val="3F48B982"/>
    <w:multiLevelType w:val="hybridMultilevel"/>
    <w:lvl w:ilvl="0">
      <w:lvlJc w:val="left"/>
      <w:lvlText w:val="(%1)"/>
      <w:numFmt w:val="lowerLetter"/>
      <w:start w:val="4"/>
    </w:lvl>
  </w:abstractNum>
  <w:abstractNum w:abstractNumId="222">
    <w:nsid w:val="46BA8FCA"/>
    <w:multiLevelType w:val="hybridMultilevel"/>
    <w:lvl w:ilvl="0">
      <w:lvlJc w:val="left"/>
      <w:lvlText w:val="(%1)"/>
      <w:numFmt w:val="lowerLetter"/>
      <w:start w:val="1"/>
    </w:lvl>
  </w:abstractNum>
  <w:abstractNum w:abstractNumId="223">
    <w:nsid w:val="7835626C"/>
    <w:multiLevelType w:val="hybridMultilevel"/>
    <w:lvl w:ilvl="0">
      <w:lvlJc w:val="left"/>
      <w:lvlText w:val="(%1)"/>
      <w:numFmt w:val="lowerLetter"/>
      <w:start w:val="3"/>
    </w:lvl>
  </w:abstractNum>
  <w:abstractNum w:abstractNumId="224">
    <w:nsid w:val="665ACA49"/>
    <w:multiLevelType w:val="hybridMultilevel"/>
    <w:lvl w:ilvl="0">
      <w:lvlJc w:val="left"/>
      <w:lvlText w:val="(%1)"/>
      <w:numFmt w:val="lowerLetter"/>
      <w:start w:val="14"/>
    </w:lvl>
    <w:lvl w:ilvl="1">
      <w:lvlJc w:val="left"/>
      <w:lvlText w:val="(%2)"/>
      <w:numFmt w:val="lowerRoman"/>
      <w:start w:val="1"/>
    </w:lvl>
  </w:abstractNum>
  <w:abstractNum w:abstractNumId="225">
    <w:nsid w:val="6835B2AE"/>
    <w:multiLevelType w:val="hybridMultilevel"/>
    <w:lvl w:ilvl="0">
      <w:lvlJc w:val="left"/>
      <w:lvlText w:val="(%1)"/>
      <w:numFmt w:val="lowerLetter"/>
      <w:start w:val="23"/>
    </w:lvl>
  </w:abstractNum>
  <w:abstractNum w:abstractNumId="226">
    <w:nsid w:val="4C187C90"/>
    <w:multiLevelType w:val="hybridMultilevel"/>
    <w:lvl w:ilvl="0">
      <w:lvlJc w:val="left"/>
      <w:lvlText w:val="(%1)"/>
      <w:numFmt w:val="lowerLetter"/>
      <w:start w:val="27"/>
    </w:lvl>
  </w:abstractNum>
  <w:abstractNum w:abstractNumId="227">
    <w:nsid w:val="541F28CD"/>
    <w:multiLevelType w:val="hybridMultilevel"/>
    <w:lvl w:ilvl="0">
      <w:lvlJc w:val="left"/>
      <w:lvlText w:val="(%1)"/>
      <w:numFmt w:val="lowerLetter"/>
      <w:start w:val="1"/>
    </w:lvl>
  </w:abstractNum>
  <w:abstractNum w:abstractNumId="228">
    <w:nsid w:val="7F65FD16"/>
    <w:multiLevelType w:val="hybridMultilevel"/>
    <w:lvl w:ilvl="0">
      <w:lvlJc w:val="left"/>
      <w:lvlText w:val="%1"/>
      <w:numFmt w:val="lowerLetter"/>
      <w:start w:val="1"/>
    </w:lvl>
    <w:lvl w:ilvl="1">
      <w:lvlJc w:val="left"/>
      <w:lvlText w:val="(%2)"/>
      <w:numFmt w:val="lowerLetter"/>
      <w:start w:val="2"/>
    </w:lvl>
  </w:abstractNum>
  <w:abstractNum w:abstractNumId="229">
    <w:nsid w:val="77C9FD68"/>
    <w:multiLevelType w:val="hybridMultilevel"/>
    <w:lvl w:ilvl="0">
      <w:lvlJc w:val="left"/>
      <w:lvlText w:val="(%1)"/>
      <w:numFmt w:val="lowerLetter"/>
      <w:start w:val="10"/>
    </w:lvl>
    <w:lvl w:ilvl="1">
      <w:lvlJc w:val="left"/>
      <w:lvlText w:val="(%2)"/>
      <w:numFmt w:val="lowerLetter"/>
      <w:start w:val="5"/>
    </w:lvl>
  </w:abstractNum>
  <w:abstractNum w:abstractNumId="230">
    <w:nsid w:val="298A92BA"/>
    <w:multiLevelType w:val="hybridMultilevel"/>
    <w:lvl w:ilvl="0">
      <w:lvlJc w:val="left"/>
      <w:lvlText w:val="(%1)"/>
      <w:numFmt w:val="lowerLetter"/>
      <w:start w:val="1"/>
    </w:lvl>
    <w:lvl w:ilvl="1">
      <w:lvlJc w:val="left"/>
      <w:lvlText w:val="(%2)"/>
      <w:numFmt w:val="lowerLetter"/>
      <w:start w:val="6"/>
    </w:lvl>
  </w:abstractNum>
  <w:abstractNum w:abstractNumId="231">
    <w:nsid w:val="6FE95EAC"/>
    <w:multiLevelType w:val="hybridMultilevel"/>
    <w:lvl w:ilvl="0">
      <w:lvlJc w:val="left"/>
      <w:lvlText w:val="(%1)"/>
      <w:numFmt w:val="lowerLetter"/>
      <w:start w:val="11"/>
    </w:lvl>
  </w:abstractNum>
  <w:abstractNum w:abstractNumId="232">
    <w:nsid w:val="4B697C7A"/>
    <w:multiLevelType w:val="hybridMultilevel"/>
    <w:lvl w:ilvl="0">
      <w:lvlJc w:val="left"/>
      <w:lvlText w:val="(%1)"/>
      <w:numFmt w:val="lowerLetter"/>
      <w:start w:val="21"/>
    </w:lvl>
  </w:abstractNum>
  <w:abstractNum w:abstractNumId="233">
    <w:nsid w:val="51A27AA6"/>
    <w:multiLevelType w:val="hybridMultilevel"/>
    <w:lvl w:ilvl="0">
      <w:lvlJc w:val="left"/>
      <w:lvlText w:val="(%1)"/>
      <w:numFmt w:val="lowerLetter"/>
      <w:start w:val="27"/>
    </w:lvl>
  </w:abstractNum>
  <w:abstractNum w:abstractNumId="234">
    <w:nsid w:val="613183F2"/>
    <w:multiLevelType w:val="hybridMultilevel"/>
    <w:lvl w:ilvl="0">
      <w:lvlJc w:val="left"/>
      <w:lvlText w:val="(%1)"/>
      <w:numFmt w:val="lowerLetter"/>
      <w:start w:val="1"/>
    </w:lvl>
  </w:abstractNum>
  <w:abstractNum w:abstractNumId="235">
    <w:nsid w:val="634102B4"/>
    <w:multiLevelType w:val="hybridMultilevel"/>
    <w:lvl w:ilvl="0">
      <w:lvlJc w:val="left"/>
      <w:lvlText w:val="(%1)"/>
      <w:numFmt w:val="lowerLetter"/>
      <w:start w:val="13"/>
    </w:lvl>
  </w:abstractNum>
  <w:abstractNum w:abstractNumId="236">
    <w:nsid w:val="65BF9DA8"/>
    <w:multiLevelType w:val="hybridMultilevel"/>
    <w:lvl w:ilvl="0">
      <w:lvlJc w:val="left"/>
      <w:lvlText w:val="(%1)"/>
      <w:numFmt w:val="lowerLetter"/>
      <w:start w:val="1"/>
    </w:lvl>
  </w:abstractNum>
  <w:abstractNum w:abstractNumId="237">
    <w:nsid w:val="21A2ECCA"/>
    <w:multiLevelType w:val="hybridMultilevel"/>
    <w:lvl w:ilvl="0">
      <w:lvlJc w:val="left"/>
      <w:lvlText w:val="(%1)"/>
      <w:numFmt w:val="lowerLetter"/>
      <w:start w:val="1"/>
    </w:lvl>
  </w:abstractNum>
  <w:abstractNum w:abstractNumId="238">
    <w:nsid w:val="4D5C4899"/>
    <w:multiLevelType w:val="hybridMultilevel"/>
    <w:lvl w:ilvl="0">
      <w:lvlJc w:val="left"/>
      <w:lvlText w:val="(%1)"/>
      <w:numFmt w:val="lowerLetter"/>
      <w:start w:val="1"/>
    </w:lvl>
  </w:abstractNum>
  <w:abstractNum w:abstractNumId="239">
    <w:nsid w:val="3C3B72B2"/>
    <w:multiLevelType w:val="hybridMultilevel"/>
    <w:lvl w:ilvl="0">
      <w:lvlJc w:val="left"/>
      <w:lvlText w:val="(%1)"/>
      <w:numFmt w:val="lowerLetter"/>
      <w:start w:val="3"/>
    </w:lvl>
  </w:abstractNum>
  <w:abstractNum w:abstractNumId="240">
    <w:nsid w:val="155EC4C2"/>
    <w:multiLevelType w:val="hybridMultilevel"/>
    <w:lvl w:ilvl="0">
      <w:lvlJc w:val="left"/>
      <w:lvlText w:val="(%1)"/>
      <w:numFmt w:val="lowerLetter"/>
      <w:start w:val="8"/>
    </w:lvl>
  </w:abstractNum>
  <w:abstractNum w:abstractNumId="241">
    <w:nsid w:val="65D2A137"/>
    <w:multiLevelType w:val="hybridMultilevel"/>
    <w:lvl w:ilvl="0">
      <w:lvlJc w:val="left"/>
      <w:lvlText w:val="(%1)"/>
      <w:numFmt w:val="lowerRoman"/>
      <w:start w:val="2"/>
    </w:lvl>
  </w:abstractNum>
  <w:abstractNum w:abstractNumId="242">
    <w:nsid w:val="6EBB1F2A"/>
    <w:multiLevelType w:val="hybridMultilevel"/>
    <w:lvl w:ilvl="0">
      <w:lvlJc w:val="left"/>
      <w:lvlText w:val="(%1)"/>
      <w:numFmt w:val="lowerLetter"/>
      <w:start w:val="1"/>
    </w:lvl>
  </w:abstractNum>
  <w:abstractNum w:abstractNumId="243">
    <w:nsid w:val="6FBF29CB"/>
    <w:multiLevelType w:val="hybridMultilevel"/>
    <w:lvl w:ilvl="0">
      <w:lvlJc w:val="left"/>
      <w:lvlText w:val="(%1)"/>
      <w:numFmt w:val="lowerLetter"/>
      <w:start w:val="1"/>
    </w:lvl>
    <w:lvl w:ilvl="1">
      <w:lvlJc w:val="left"/>
      <w:lvlText w:val="(%2)"/>
      <w:numFmt w:val="lowerLetter"/>
      <w:start w:val="9"/>
    </w:lvl>
  </w:abstractNum>
  <w:abstractNum w:abstractNumId="244">
    <w:nsid w:val="550B8808"/>
    <w:multiLevelType w:val="hybridMultilevel"/>
    <w:lvl w:ilvl="0">
      <w:lvlJc w:val="left"/>
      <w:lvlText w:val="%1"/>
      <w:numFmt w:val="upperLetter"/>
      <w:start w:val="55"/>
    </w:lvl>
  </w:abstractNum>
  <w:abstractNum w:abstractNumId="245">
    <w:nsid w:val="34CC3ACF"/>
    <w:multiLevelType w:val="hybridMultilevel"/>
    <w:lvl w:ilvl="0">
      <w:lvlJc w:val="left"/>
      <w:lvlText w:val="%1"/>
      <w:numFmt w:val="decimal"/>
      <w:start w:val="601"/>
    </w:lvl>
  </w:abstractNum>
  <w:abstractNum w:abstractNumId="246">
    <w:nsid w:val="4E556261"/>
    <w:multiLevelType w:val="hybridMultilevel"/>
    <w:lvl w:ilvl="0">
      <w:lvlJc w:val="left"/>
      <w:lvlText w:val="%1"/>
      <w:numFmt w:val="lowerLetter"/>
      <w:start w:val="1"/>
    </w:lvl>
    <w:lvl w:ilvl="1">
      <w:lvlJc w:val="left"/>
      <w:lvlText w:val="(%2)"/>
      <w:numFmt w:val="lowerLetter"/>
      <w:start w:val="2"/>
    </w:lvl>
  </w:abstractNum>
  <w:abstractNum w:abstractNumId="247">
    <w:nsid w:val="4C672FC9"/>
    <w:multiLevelType w:val="hybridMultilevel"/>
    <w:lvl w:ilvl="0">
      <w:lvlJc w:val="left"/>
      <w:lvlText w:val="(%1)"/>
      <w:numFmt w:val="lowerLetter"/>
      <w:start w:val="24"/>
    </w:lvl>
    <w:lvl w:ilvl="1">
      <w:lvlJc w:val="left"/>
      <w:lvlText w:val="%2"/>
      <w:numFmt w:val="lowerLetter"/>
      <w:start w:val="1"/>
    </w:lvl>
  </w:abstractNum>
  <w:abstractNum w:abstractNumId="248">
    <w:nsid w:val="52A311C3"/>
    <w:multiLevelType w:val="hybridMultilevel"/>
    <w:lvl w:ilvl="0">
      <w:lvlJc w:val="left"/>
      <w:lvlText w:val="(%1)"/>
      <w:numFmt w:val="lowerLetter"/>
      <w:start w:val="1"/>
    </w:lvl>
  </w:abstractNum>
  <w:abstractNum w:abstractNumId="249">
    <w:nsid w:val="44EF6B80"/>
    <w:multiLevelType w:val="hybridMultilevel"/>
    <w:lvl w:ilvl="0">
      <w:lvlJc w:val="left"/>
      <w:lvlText w:val="(%1)"/>
      <w:numFmt w:val="upperLetter"/>
      <w:start w:val="1"/>
    </w:lvl>
    <w:lvl w:ilvl="1">
      <w:lvlJc w:val="left"/>
      <w:lvlText w:val="(%2)"/>
      <w:numFmt w:val="decimal"/>
      <w:start w:val="1"/>
    </w:lvl>
  </w:abstractNum>
  <w:abstractNum w:abstractNumId="250">
    <w:nsid w:val="12FCDE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251">
    <w:nsid w:val="4A1D606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252">
    <w:nsid w:val="438250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253">
    <w:nsid w:val="59B76E28"/>
    <w:multiLevelType w:val="hybridMultilevel"/>
    <w:lvl w:ilvl="0">
      <w:lvlJc w:val="left"/>
      <w:lvlText w:val="(%1)"/>
      <w:numFmt w:val="upperLetter"/>
      <w:start w:val="3"/>
    </w:lvl>
  </w:abstractNum>
  <w:abstractNum w:abstractNumId="254">
    <w:nsid w:val="4252C2DA"/>
    <w:multiLevelType w:val="hybridMultilevel"/>
    <w:lvl w:ilvl="0">
      <w:lvlJc w:val="left"/>
      <w:lvlText w:val="(%1)"/>
      <w:numFmt w:val="upperLetter"/>
      <w:start w:val="1"/>
    </w:lvl>
  </w:abstractNum>
  <w:abstractNum w:abstractNumId="255">
    <w:nsid w:val="6A92EF4C"/>
    <w:multiLevelType w:val="hybridMultilevel"/>
    <w:lvl w:ilvl="0">
      <w:lvlJc w:val="left"/>
      <w:lvlText w:val="(%1)"/>
      <w:numFmt w:val="upperLetter"/>
      <w:start w:val="2"/>
    </w:lvl>
  </w:abstractNum>
  <w:abstractNum w:abstractNumId="256">
    <w:nsid w:val="41ED20D7"/>
    <w:multiLevelType w:val="hybridMultilevel"/>
    <w:lvl w:ilvl="0">
      <w:lvlJc w:val="left"/>
      <w:lvlText w:val="(%1)"/>
      <w:numFmt w:val="upperLetter"/>
      <w:start w:val="9"/>
    </w:lvl>
  </w:abstractNum>
  <w:abstractNum w:abstractNumId="257">
    <w:nsid w:val="E6B3F6A"/>
    <w:multiLevelType w:val="hybridMultilevel"/>
    <w:lvl w:ilvl="0">
      <w:lvlJc w:val="left"/>
      <w:lvlText w:val="(%1)"/>
      <w:numFmt w:val="lowerLetter"/>
      <w:start w:val="4"/>
    </w:lvl>
    <w:lvl w:ilvl="1">
      <w:lvlJc w:val="left"/>
      <w:lvlText w:val="(%2)"/>
      <w:numFmt w:val="lowerLetter"/>
      <w:start w:val="9"/>
    </w:lvl>
  </w:abstractNum>
  <w:abstractNum w:abstractNumId="258">
    <w:nsid w:val="3EB21819"/>
    <w:multiLevelType w:val="hybridMultilevel"/>
    <w:lvl w:ilvl="0">
      <w:lvlJc w:val="left"/>
      <w:lvlText w:val="(%1)"/>
      <w:numFmt w:val="lowerRoman"/>
      <w:start w:val="5"/>
    </w:lvl>
  </w:abstractNum>
  <w:abstractNum w:abstractNumId="259">
    <w:nsid w:val="41531DED"/>
    <w:multiLevelType w:val="hybridMultilevel"/>
    <w:lvl w:ilvl="0">
      <w:lvlJc w:val="left"/>
      <w:lvlText w:val="%1"/>
      <w:numFmt w:val="lowerLetter"/>
      <w:start w:val="1"/>
    </w:lvl>
    <w:lvl w:ilvl="1">
      <w:lvlJc w:val="left"/>
      <w:lvlText w:val="(%2)"/>
      <w:numFmt w:val="lowerLetter"/>
      <w:start w:val="1"/>
    </w:lvl>
  </w:abstractNum>
  <w:abstractNum w:abstractNumId="260">
    <w:nsid w:val="6353CD2"/>
    <w:multiLevelType w:val="hybridMultilevel"/>
    <w:lvl w:ilvl="0">
      <w:lvlJc w:val="left"/>
      <w:lvlText w:val="(%1)"/>
      <w:numFmt w:val="lowerLetter"/>
      <w:start w:val="35"/>
    </w:lvl>
    <w:lvl w:ilvl="1">
      <w:lvlJc w:val="left"/>
      <w:lvlText w:val="(%2)"/>
      <w:numFmt w:val="lowerLetter"/>
      <w:start w:val="2"/>
    </w:lvl>
  </w:abstractNum>
  <w:abstractNum w:abstractNumId="261">
    <w:nsid w:val="683CAAD3"/>
    <w:multiLevelType w:val="hybridMultilevel"/>
    <w:lvl w:ilvl="0">
      <w:lvlJc w:val="left"/>
      <w:lvlText w:val="(%1)"/>
      <w:numFmt w:val="lowerLetter"/>
      <w:start w:val="3"/>
    </w:lvl>
  </w:abstractNum>
  <w:abstractNum w:abstractNumId="262">
    <w:nsid w:val="313C7C99"/>
    <w:multiLevelType w:val="hybridMultilevel"/>
    <w:lvl w:ilvl="0">
      <w:lvlJc w:val="left"/>
      <w:lvlText w:val="(%1)"/>
      <w:numFmt w:val="lowerLetter"/>
      <w:start w:val="1"/>
    </w:lvl>
  </w:abstractNum>
  <w:abstractNum w:abstractNumId="263">
    <w:nsid w:val="519EB94C"/>
    <w:multiLevelType w:val="hybridMultilevel"/>
    <w:lvl w:ilvl="0">
      <w:lvlJc w:val="left"/>
      <w:lvlText w:val="(%1)"/>
      <w:numFmt w:val="lowerLetter"/>
      <w:start w:val="2"/>
    </w:lvl>
    <w:lvl w:ilvl="1">
      <w:lvlJc w:val="left"/>
      <w:lvlText w:val="(%2)"/>
      <w:numFmt w:val="upperLetter"/>
      <w:start w:val="1"/>
    </w:lvl>
  </w:abstractNum>
  <w:abstractNum w:abstractNumId="264">
    <w:nsid w:val="39DF2579"/>
    <w:multiLevelType w:val="hybridMultilevel"/>
    <w:lvl w:ilvl="0">
      <w:lvlJc w:val="left"/>
      <w:lvlText w:val="(%1)"/>
      <w:numFmt w:val="lowerRoman"/>
      <w:start w:val="2"/>
    </w:lvl>
    <w:lvl w:ilvl="1">
      <w:lvlJc w:val="left"/>
      <w:lvlText w:val="(%2)"/>
      <w:numFmt w:val="upperLetter"/>
      <w:start w:val="1"/>
    </w:lvl>
  </w:abstractNum>
  <w:abstractNum w:abstractNumId="265">
    <w:nsid w:val="126E008B"/>
    <w:multiLevelType w:val="hybridMultilevel"/>
    <w:lvl w:ilvl="0">
      <w:lvlJc w:val="left"/>
      <w:lvlText w:val="%1"/>
      <w:numFmt w:val="lowerRoman"/>
      <w:start w:val="1"/>
    </w:lvl>
    <w:lvl w:ilvl="1">
      <w:lvlJc w:val="left"/>
      <w:lvlText w:val="(%2)"/>
      <w:numFmt w:val="upperLetter"/>
      <w:start w:val="3"/>
    </w:lvl>
  </w:abstractNum>
  <w:abstractNum w:abstractNumId="266">
    <w:nsid w:val="34DFBC00"/>
    <w:multiLevelType w:val="hybridMultilevel"/>
    <w:lvl w:ilvl="0">
      <w:lvlJc w:val="left"/>
      <w:lvlText w:val="(%1)"/>
      <w:numFmt w:val="lowerRoman"/>
      <w:start w:val="3"/>
    </w:lvl>
    <w:lvl w:ilvl="1">
      <w:lvlJc w:val="left"/>
      <w:lvlText w:val="%2"/>
      <w:numFmt w:val="upperLetter"/>
      <w:start w:val="1"/>
    </w:lvl>
  </w:abstractNum>
  <w:abstractNum w:abstractNumId="267">
    <w:nsid w:val="1F9EC322"/>
    <w:multiLevelType w:val="hybridMultilevel"/>
    <w:lvl w:ilvl="0">
      <w:lvlJc w:val="left"/>
      <w:lvlText w:val="(%1)"/>
      <w:numFmt w:val="lowerLetter"/>
      <w:start w:val="3"/>
    </w:lvl>
    <w:lvl w:ilvl="1">
      <w:lvlJc w:val="left"/>
      <w:lvlText w:val="(%2)"/>
      <w:numFmt w:val="lowerLetter"/>
      <w:start w:val="35"/>
    </w:lvl>
  </w:abstractNum>
  <w:abstractNum w:abstractNumId="268">
    <w:nsid w:val="3410ED56"/>
    <w:multiLevelType w:val="hybridMultilevel"/>
    <w:lvl w:ilvl="0">
      <w:lvlJc w:val="left"/>
      <w:lvlText w:val="(%1)"/>
      <w:numFmt w:val="lowerLetter"/>
      <w:start w:val="4"/>
    </w:lvl>
    <w:lvl w:ilvl="1">
      <w:lvlJc w:val="left"/>
      <w:lvlText w:val="(%2)"/>
      <w:numFmt w:val="lowerLetter"/>
      <w:start w:val="35"/>
    </w:lvl>
  </w:abstractNum>
  <w:abstractNum w:abstractNumId="269">
    <w:nsid w:val="23C049A"/>
    <w:multiLevelType w:val="hybridMultilevel"/>
    <w:lvl w:ilvl="0">
      <w:lvlJc w:val="left"/>
      <w:lvlText w:val="%1"/>
      <w:numFmt w:val="decimal"/>
      <w:start w:val="1"/>
    </w:lvl>
    <w:lvl w:ilvl="1">
      <w:lvlJc w:val="left"/>
      <w:lvlText w:val="(%2)"/>
      <w:numFmt w:val="lowerRoman"/>
      <w:start w:val="2"/>
    </w:lvl>
  </w:abstractNum>
  <w:abstractNum w:abstractNumId="270">
    <w:nsid w:val="5BDA35D4"/>
    <w:multiLevelType w:val="hybridMultilevel"/>
    <w:lvl w:ilvl="0">
      <w:lvlJc w:val="left"/>
      <w:lvlText w:val="(%1)"/>
      <w:numFmt w:val="decimal"/>
      <w:start w:val="1"/>
    </w:lvl>
    <w:lvl w:ilvl="1">
      <w:lvlJc w:val="left"/>
      <w:lvlText w:val="(%2)"/>
      <w:numFmt w:val="lowerRoman"/>
      <w:start w:val="3"/>
    </w:lvl>
  </w:abstractNum>
  <w:abstractNum w:abstractNumId="271">
    <w:nsid w:val="496FB218"/>
    <w:multiLevelType w:val="hybridMultilevel"/>
    <w:lvl w:ilvl="0">
      <w:lvlJc w:val="left"/>
      <w:lvlText w:val="(%1)"/>
      <w:numFmt w:val="lowerLetter"/>
      <w:start w:val="7"/>
    </w:lvl>
    <w:lvl w:ilvl="1">
      <w:lvlJc w:val="left"/>
      <w:lvlText w:val="(%2)"/>
      <w:numFmt w:val="lowerLetter"/>
      <w:start w:val="9"/>
    </w:lvl>
  </w:abstractNum>
  <w:abstractNum w:abstractNumId="272">
    <w:nsid w:val="680EA5D1"/>
    <w:multiLevelType w:val="hybridMultilevel"/>
    <w:lvl w:ilvl="0">
      <w:lvlJc w:val="left"/>
      <w:lvlText w:val="(%1)"/>
      <w:numFmt w:val="lowerRoman"/>
      <w:start w:val="5"/>
    </w:lvl>
  </w:abstractNum>
  <w:abstractNum w:abstractNumId="273">
    <w:nsid w:val="4A9554FE"/>
    <w:multiLevelType w:val="hybridMultilevel"/>
    <w:lvl w:ilvl="0">
      <w:lvlJc w:val="left"/>
      <w:lvlText w:val="(%1)"/>
      <w:numFmt w:val="upperLetter"/>
      <w:start w:val="1"/>
    </w:lvl>
  </w:abstractNum>
  <w:abstractNum w:abstractNumId="274">
    <w:nsid w:val="392EDBE4"/>
    <w:multiLevelType w:val="hybridMultilevel"/>
    <w:lvl w:ilvl="0">
      <w:lvlJc w:val="left"/>
      <w:lvlText w:val="(%1)"/>
      <w:numFmt w:val="lowerLetter"/>
      <w:start w:val="1"/>
    </w:lvl>
  </w:abstractNum>
  <w:abstractNum w:abstractNumId="275">
    <w:nsid w:val="3D1A2DD9"/>
    <w:multiLevelType w:val="hybridMultilevel"/>
    <w:lvl w:ilvl="0">
      <w:lvlJc w:val="left"/>
      <w:lvlText w:val="(%1)"/>
      <w:numFmt w:val="lowerLetter"/>
      <w:start w:val="3"/>
    </w:lvl>
  </w:abstractNum>
  <w:abstractNum w:abstractNumId="276">
    <w:nsid w:val="7F618FCD"/>
    <w:multiLevelType w:val="hybridMultilevel"/>
    <w:lvl w:ilvl="0">
      <w:lvlJc w:val="left"/>
      <w:lvlText w:val="(%1)"/>
      <w:numFmt w:val="lowerLetter"/>
      <w:start w:val="1"/>
    </w:lvl>
    <w:lvl w:ilvl="1">
      <w:lvlJc w:val="left"/>
      <w:lvlText w:val="(%2)"/>
      <w:numFmt w:val="lowerLetter"/>
      <w:start w:val="9"/>
    </w:lvl>
  </w:abstractNum>
  <w:abstractNum w:abstractNumId="277">
    <w:nsid w:val="7843E45"/>
    <w:multiLevelType w:val="hybridMultilevel"/>
    <w:lvl w:ilvl="0">
      <w:lvlJc w:val="left"/>
      <w:lvlText w:val="(%1)"/>
      <w:numFmt w:val="lowerLetter"/>
      <w:start w:val="1"/>
    </w:lvl>
  </w:abstractNum>
  <w:abstractNum w:abstractNumId="278">
    <w:nsid w:val="9815DA3"/>
    <w:multiLevelType w:val="hybridMultilevel"/>
    <w:lvl w:ilvl="0">
      <w:lvlJc w:val="left"/>
      <w:lvlText w:val="(%1)"/>
      <w:numFmt w:val="lowerRoman"/>
      <w:start w:val="1"/>
    </w:lvl>
  </w:abstractNum>
  <w:abstractNum w:abstractNumId="279">
    <w:nsid w:val="5204A191"/>
    <w:multiLevelType w:val="hybridMultilevel"/>
    <w:lvl w:ilvl="0">
      <w:lvlJc w:val="left"/>
      <w:lvlText w:val="%1."/>
      <w:numFmt w:val="decimal"/>
      <w:start w:val="1"/>
    </w:lvl>
    <w:lvl w:ilvl="1">
      <w:lvlJc w:val="left"/>
      <w:lvlText w:val="(%2)"/>
      <w:numFmt w:val="upperLetter"/>
      <w:start w:val="2"/>
    </w:lvl>
  </w:abstractNum>
  <w:abstractNum w:abstractNumId="280">
    <w:nsid w:val="4C73A9C6"/>
    <w:multiLevelType w:val="hybridMultilevel"/>
    <w:lvl w:ilvl="0">
      <w:lvlJc w:val="left"/>
      <w:lvlText w:val="(%1)"/>
      <w:numFmt w:val="upperLetter"/>
      <w:start w:val="1"/>
    </w:lvl>
  </w:abstractNum>
  <w:abstractNum w:abstractNumId="281">
    <w:nsid w:val="1C7E3C01"/>
    <w:multiLevelType w:val="hybridMultilevel"/>
    <w:lvl w:ilvl="0">
      <w:lvlJc w:val="left"/>
      <w:lvlText w:val="(%1)"/>
      <w:numFmt w:val="upperLetter"/>
      <w:start w:val="3"/>
    </w:lvl>
  </w:abstractNum>
  <w:abstractNum w:abstractNumId="282">
    <w:nsid w:val="1C2201FF"/>
    <w:multiLevelType w:val="hybridMultilevel"/>
    <w:lvl w:ilvl="0">
      <w:lvlJc w:val="left"/>
      <w:lvlText w:val="(%1)"/>
      <w:numFmt w:val="upperLetter"/>
      <w:start w:val="5"/>
    </w:lvl>
  </w:abstractNum>
  <w:abstractNum w:abstractNumId="283">
    <w:nsid w:val="50ABCEC9"/>
    <w:multiLevelType w:val="hybridMultilevel"/>
    <w:lvl w:ilvl="0">
      <w:lvlJc w:val="left"/>
      <w:lvlText w:val="(%1)"/>
      <w:numFmt w:val="upperLetter"/>
      <w:start w:val="7"/>
    </w:lvl>
  </w:abstractNum>
  <w:abstractNum w:abstractNumId="284">
    <w:nsid w:val="7635AA2A"/>
    <w:multiLevelType w:val="hybridMultilevel"/>
    <w:lvl w:ilvl="0">
      <w:lvlJc w:val="left"/>
      <w:lvlText w:val="%1."/>
      <w:numFmt w:val="decimal"/>
      <w:start w:val="2"/>
    </w:lvl>
  </w:abstractNum>
  <w:abstractNum w:abstractNumId="285">
    <w:nsid w:val="5E74C4D9"/>
    <w:multiLevelType w:val="hybridMultilevel"/>
    <w:lvl w:ilvl="0">
      <w:lvlJc w:val="left"/>
      <w:lvlText w:val="(%1)"/>
      <w:numFmt w:val="upperLetter"/>
      <w:start w:val="8"/>
    </w:lvl>
  </w:abstractNum>
  <w:abstractNum w:abstractNumId="286">
    <w:nsid w:val="3B3EBE15"/>
    <w:multiLevelType w:val="hybridMultilevel"/>
    <w:lvl w:ilvl="0">
      <w:lvlJc w:val="left"/>
      <w:lvlText w:val="(%1)"/>
      <w:numFmt w:val="upperLetter"/>
      <w:start w:val="1"/>
    </w:lvl>
  </w:abstractNum>
  <w:abstractNum w:abstractNumId="287">
    <w:nsid w:val="3822CB01"/>
    <w:multiLevelType w:val="hybridMultilevel"/>
    <w:lvl w:ilvl="0">
      <w:lvlJc w:val="left"/>
      <w:lvlText w:val="%1."/>
      <w:numFmt w:val="decimal"/>
      <w:start w:val="6"/>
    </w:lvl>
  </w:abstractNum>
  <w:abstractNum w:abstractNumId="288">
    <w:nsid w:val="6CE00443"/>
    <w:multiLevelType w:val="hybridMultilevel"/>
    <w:lvl w:ilvl="0">
      <w:lvlJc w:val="left"/>
      <w:lvlText w:val="%1."/>
      <w:numFmt w:val="decimal"/>
      <w:start w:val="7"/>
    </w:lvl>
  </w:abstractNum>
  <w:abstractNum w:abstractNumId="289">
    <w:nsid w:val="79F0D62F"/>
    <w:multiLevelType w:val="hybridMultilevel"/>
    <w:lvl w:ilvl="0">
      <w:lvlJc w:val="left"/>
      <w:lvlText w:val="%1."/>
      <w:numFmt w:val="decimal"/>
      <w:start w:val="1"/>
    </w:lvl>
    <w:lvl w:ilvl="1">
      <w:lvlJc w:val="left"/>
      <w:lvlText w:val="(%2)"/>
      <w:numFmt w:val="lowerLetter"/>
      <w:start w:val="1"/>
    </w:lvl>
  </w:abstractNum>
  <w:abstractNum w:abstractNumId="290">
    <w:nsid w:val="7975E8EE"/>
    <w:multiLevelType w:val="hybridMultilevel"/>
    <w:lvl w:ilvl="0">
      <w:lvlJc w:val="left"/>
      <w:lvlText w:val="%1."/>
      <w:numFmt w:val="decimal"/>
      <w:start w:val="1"/>
    </w:lvl>
    <w:lvl w:ilvl="1">
      <w:lvlJc w:val="left"/>
      <w:lvlText w:val="(%2)"/>
      <w:numFmt w:val="lowerLetter"/>
      <w:start w:val="1"/>
    </w:lvl>
  </w:abstractNum>
  <w:abstractNum w:abstractNumId="291">
    <w:nsid w:val="73154115"/>
    <w:multiLevelType w:val="hybridMultilevel"/>
    <w:lvl w:ilvl="0">
      <w:lvlJc w:val="left"/>
      <w:lvlText w:val="%1."/>
      <w:numFmt w:val="decimal"/>
      <w:start w:val="1"/>
    </w:lvl>
  </w:abstractNum>
  <w:abstractNum w:abstractNumId="292">
    <w:nsid w:val="622D81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2023-08-01T16:37:04Z</dcterms:created>
  <dcterms:modified xsi:type="dcterms:W3CDTF">2023-08-01T16:37:04Z</dcterms:modified>
</cp:coreProperties>
</file>