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4"/>
          <w:szCs w:val="24"/>
          <w:color w:val="auto"/>
        </w:rPr>
      </w:pPr>
    </w:p>
    <w:p>
      <w:pPr>
        <w:ind w:left="3660" w:right="1600" w:hanging="3652"/>
        <w:spacing w:after="0" w:line="286"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55" w:lineRule="exact"/>
        <w:rPr>
          <w:sz w:val="24"/>
          <w:szCs w:val="24"/>
          <w:color w:val="auto"/>
        </w:rPr>
      </w:pPr>
    </w:p>
    <w:p>
      <w:pPr>
        <w:ind w:left="2860" w:right="1600" w:hanging="2852"/>
        <w:spacing w:after="0" w:line="286" w:lineRule="auto"/>
        <w:tabs>
          <w:tab w:leader="none" w:pos="47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 to 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CCC INTELLIGENT SOLUTIONS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6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001-39447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98-1546280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45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(IRS Employer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22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45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440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167 N. Green Street, 9th Floor</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0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60607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00" w:type="dxa"/>
            <w:vAlign w:val="bottom"/>
            <w:gridSpan w:val="2"/>
            <w:vMerge w:val="restart"/>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500" w:type="dxa"/>
            <w:vAlign w:val="bottom"/>
            <w:vMerge w:val="restart"/>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400" w:type="dxa"/>
            <w:vAlign w:val="bottom"/>
            <w:gridSpan w:val="2"/>
            <w:vMerge w:val="restart"/>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auto"/>
            </w:tcBorders>
            <w:gridSpan w:val="2"/>
            <w:vMerge w:val="continue"/>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ind w:left="6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(800) 621-8070</w:t>
            </w:r>
          </w:p>
        </w:tc>
        <w:tc>
          <w:tcPr>
            <w:tcW w:w="4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1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1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CCC</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7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20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27, 2026, 591,041,172 shares of common stock, $0.0001 par value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0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r>
              <w:rPr>
                <w:rFonts w:ascii="Times New Roman" w:cs="Times New Roman" w:eastAsia="Times New Roman" w:hAnsi="Times New Roman"/>
                <w:sz w:val="18"/>
                <w:szCs w:val="18"/>
                <w:b w:val="1"/>
                <w:bCs w:val="1"/>
                <w:color w:val="000000"/>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500" w:type="dxa"/>
            <w:vAlign w:val="bottom"/>
            <w:gridSpan w:val="19"/>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2026 (unaudited) and December 31, 2025</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 and Comprehensive Income (Loss) for the three and nine months ended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2026 and 2025</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Mezzanine Equity and Stockholders’ Equity for the three and nine months ended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2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2026 and 2025</w:t>
            </w:r>
          </w:p>
        </w:tc>
        <w:tc>
          <w:tcPr>
            <w:tcW w:w="1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September 30, 2026 and 2025</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2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70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 from Registered Securities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38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6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885"/>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80" w:type="dxa"/>
            <w:vAlign w:val="bottom"/>
            <w:gridSpan w:val="11"/>
          </w:tcPr>
          <w:p>
            <w:pPr>
              <w:jc w:val="right"/>
              <w:ind w:right="15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as well as other parts of this Quarterly Report on Form 10-Q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our expectations include:</w:t>
      </w:r>
    </w:p>
    <w:p>
      <w:pPr>
        <w:spacing w:after="0" w:line="117" w:lineRule="exact"/>
        <w:rPr>
          <w:sz w:val="20"/>
          <w:szCs w:val="20"/>
          <w:color w:val="auto"/>
        </w:rPr>
      </w:pPr>
    </w:p>
    <w:p>
      <w:pPr>
        <w:ind w:left="1020" w:right="2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definitive transaction documents, including circumstances requiring payment of a termination fee pursuant to the definitive transaction documents;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stockholder approval of the transaction or the failure to satisfy other conditions to completion of the transaction;</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regulatory approvals required for the transaction may not be obtained in a timely manner or at all, or may be obtained subject to conditions that are not anticipated;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disruption of management’s attention from the Company’s ongoing business operations due to the transaction;</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or pendency of the transaction on the Company’s business relationships, operating results and business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announcements relating to the transaction could have adverse effects on the market price of the Company’s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any litigation related to the transaction;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certain restrictions during the pendency of the proposed transaction may impact the Company’s ability to pursue certain business opportunities or strategic transactions;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the concentration of our customers and the ability to retain our current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with our customers on favorable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brand and reputation cost-effectively;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our growth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factors outside of our control including public health outbreaks, natural catastrophes, war and terrorism;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information, growth rate and market opportunity;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of our industry, claim volumes, and market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insurance and automotive collision industries, including the adoption of new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geopolitical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market and our ability to retain and grow market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enhanced versions of our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implementation cycles;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research and development efforts to create significant new revenue streams;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 w:name="page4"/>
    <w:bookmarkEnd w:id="3"/>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economic, political, social and governmental conditions and policies, including corruption risks in China and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data, technology and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our data and information systems secure from data security breaches;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or the public’s perceptions regarding the use of artificial intelligence (“AI”);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invest in companies or pursue business partnerships;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improve our capital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or maintain our existing customer base;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117"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3" w:lineRule="exact"/>
        <w:rPr>
          <w:sz w:val="20"/>
          <w:szCs w:val="20"/>
          <w:color w:val="auto"/>
        </w:rPr>
      </w:pPr>
    </w:p>
    <w:p>
      <w:pPr>
        <w:ind w:left="3480" w:right="2620" w:hanging="843"/>
        <w:spacing w:after="0" w:line="278" w:lineRule="auto"/>
        <w:tabs>
          <w:tab w:leader="none" w:pos="30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INTELLIGENT SOLUTIONS HOLDINGS INC. AND SUBSIDIARIES CONDENSED CONSOLIDATED BALANCE SHEETS</w:t>
      </w:r>
    </w:p>
    <w:p>
      <w:pPr>
        <w:spacing w:after="0" w:line="1" w:lineRule="exact"/>
        <w:rPr>
          <w:rFonts w:ascii="Times New Roman" w:cs="Times New Roman" w:eastAsia="Times New Roman" w:hAnsi="Times New Roman"/>
          <w:sz w:val="17"/>
          <w:szCs w:val="17"/>
          <w:b w:val="1"/>
          <w:bCs w:val="1"/>
          <w:color w:val="auto"/>
        </w:rPr>
      </w:pPr>
    </w:p>
    <w:p>
      <w:pPr>
        <w:ind w:left="43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7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202,926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111,192</w:t>
            </w:r>
          </w:p>
        </w:tc>
        <w:tc>
          <w:tcPr>
            <w:tcW w:w="100" w:type="dxa"/>
            <w:vAlign w:val="bottom"/>
            <w:shd w:val="clear" w:color="auto" w:fill="CFF0FC"/>
          </w:tcPr>
          <w:p>
            <w:pPr>
              <w:spacing w:after="0"/>
              <w:rPr>
                <w:sz w:val="17"/>
                <w:szCs w:val="17"/>
                <w:color w:val="auto"/>
              </w:rPr>
            </w:pPr>
          </w:p>
        </w:tc>
      </w:tr>
      <w:tr>
        <w:trPr>
          <w:trHeight w:val="189"/>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receivable—Net of allowances of $4,044 and $3,773 as of September 30, 2026 and December 31, 2025,</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137,056</w:t>
            </w:r>
          </w:p>
        </w:tc>
        <w:tc>
          <w:tcPr>
            <w:tcW w:w="100" w:type="dxa"/>
            <w:vAlign w:val="bottom"/>
          </w:tcPr>
          <w:p>
            <w:pPr>
              <w:spacing w:after="0"/>
              <w:rPr>
                <w:sz w:val="18"/>
                <w:szCs w:val="18"/>
                <w:color w:val="auto"/>
              </w:rPr>
            </w:pPr>
          </w:p>
        </w:tc>
      </w:tr>
      <w:tr>
        <w:trPr>
          <w:trHeight w:val="205"/>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24,933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33,274</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contract costs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24,923</w:t>
            </w:r>
          </w:p>
        </w:tc>
        <w:tc>
          <w:tcPr>
            <w:tcW w:w="100" w:type="dxa"/>
            <w:vAlign w:val="bottom"/>
          </w:tcPr>
          <w:p>
            <w:pPr>
              <w:spacing w:after="0"/>
              <w:rPr>
                <w:sz w:val="17"/>
                <w:szCs w:val="17"/>
                <w:color w:val="auto"/>
              </w:rPr>
            </w:pPr>
          </w:p>
        </w:tc>
      </w:tr>
      <w:tr>
        <w:trPr>
          <w:trHeight w:val="203"/>
        </w:trPr>
        <w:tc>
          <w:tcPr>
            <w:tcW w:w="7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33,679</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426,513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335,098</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SOFTWARE, EQUIPMENT, AND PROPERTY—Net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173,171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166,796</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36,047</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ASSETS—Net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942,018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1,010,658</w:t>
            </w:r>
          </w:p>
        </w:tc>
        <w:tc>
          <w:tcPr>
            <w:tcW w:w="100" w:type="dxa"/>
            <w:vAlign w:val="bottom"/>
            <w:shd w:val="clear" w:color="auto" w:fill="CFF0FC"/>
          </w:tcPr>
          <w:p>
            <w:pPr>
              <w:spacing w:after="0"/>
              <w:rPr>
                <w:sz w:val="17"/>
                <w:szCs w:val="17"/>
                <w:color w:val="auto"/>
              </w:rPr>
            </w:pPr>
          </w:p>
        </w:tc>
      </w:tr>
      <w:tr>
        <w:trPr>
          <w:trHeight w:val="202"/>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1,955,551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1,955,551</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FINANCING FEES, REVOLVER—Net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DEFERRED CONTRACT COSTS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22,479</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38,406</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35,207</w:t>
            </w:r>
          </w:p>
        </w:tc>
        <w:tc>
          <w:tcPr>
            <w:tcW w:w="100" w:type="dxa"/>
            <w:vAlign w:val="bottom"/>
            <w:tcBorders>
              <w:bottom w:val="single" w:sz="8" w:color="CFF0FC"/>
            </w:tcBorders>
          </w:tcPr>
          <w:p>
            <w:pPr>
              <w:spacing w:after="0"/>
              <w:rPr>
                <w:sz w:val="17"/>
                <w:szCs w:val="17"/>
                <w:color w:val="auto"/>
              </w:rPr>
            </w:pPr>
          </w:p>
        </w:tc>
      </w:tr>
      <w:tr>
        <w:trPr>
          <w:trHeight w:val="23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3,602,061</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3,573,432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24,245</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30,954</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78,976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80,897</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13,033</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licensing agreement—Net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revenues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54,917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72,793</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 payable to minority investor</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27,562</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25,197</w:t>
            </w:r>
          </w:p>
        </w:tc>
        <w:tc>
          <w:tcPr>
            <w:tcW w:w="100" w:type="dxa"/>
            <w:vAlign w:val="bottom"/>
          </w:tcPr>
          <w:p>
            <w:pPr>
              <w:spacing w:after="0"/>
              <w:rPr>
                <w:sz w:val="17"/>
                <w:szCs w:val="17"/>
                <w:color w:val="auto"/>
              </w:rPr>
            </w:pPr>
          </w:p>
        </w:tc>
      </w:tr>
      <w:tr>
        <w:trPr>
          <w:trHeight w:val="196"/>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208,437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234,125</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DEBT—Net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1,256,563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1,264,941</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TAXES—Net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217,194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199,311</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LONG-TERM LICENSING AGREEMENT—Net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20,968</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51,467</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9,745</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15,610</w:t>
            </w:r>
          </w:p>
        </w:tc>
        <w:tc>
          <w:tcPr>
            <w:tcW w:w="100" w:type="dxa"/>
            <w:vAlign w:val="bottom"/>
            <w:tcBorders>
              <w:bottom w:val="single" w:sz="8" w:color="CFF0FC"/>
            </w:tcBorders>
          </w:tcPr>
          <w:p>
            <w:pPr>
              <w:spacing w:after="0"/>
              <w:rPr>
                <w:sz w:val="17"/>
                <w:szCs w:val="17"/>
                <w:color w:val="auto"/>
              </w:rPr>
            </w:pPr>
          </w:p>
        </w:tc>
      </w:tr>
      <w:tr>
        <w:trPr>
          <w:trHeight w:val="196"/>
        </w:trPr>
        <w:tc>
          <w:tcPr>
            <w:tcW w:w="79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1,760,176</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1,786,422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(Notes 19 and 20)</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stock—$0.0001 par; 100,000,000 shares authorized; no shares issued or outstanding</w:t>
            </w:r>
          </w:p>
        </w:tc>
        <w:tc>
          <w:tcPr>
            <w:tcW w:w="18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stock—$0.0001 par; 5,000,000,000 shares authorized; 590,525,042 and</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605,449,050 shares issued and outstanding as of September 30, 2026 and December 31, 2025, respectively</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FF0FC"/>
          </w:tcPr>
          <w:p>
            <w:pPr>
              <w:spacing w:after="0"/>
              <w:rPr>
                <w:sz w:val="18"/>
                <w:szCs w:val="18"/>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3,571,841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3,483,031</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(1,729,118)</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(1,695,057)</w:t>
            </w:r>
          </w:p>
        </w:tc>
      </w:tr>
      <w:tr>
        <w:trPr>
          <w:trHeight w:val="202"/>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(897)</w:t>
            </w: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(1,024)</w:t>
            </w:r>
          </w:p>
        </w:tc>
      </w:tr>
      <w:tr>
        <w:trPr>
          <w:trHeight w:val="196"/>
        </w:trPr>
        <w:tc>
          <w:tcPr>
            <w:tcW w:w="792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1,841,885</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1,787,010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3,602,061</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3,573,432</w:t>
            </w:r>
          </w:p>
        </w:tc>
        <w:tc>
          <w:tcPr>
            <w:tcW w:w="100" w:type="dxa"/>
            <w:vAlign w:val="bottom"/>
          </w:tcPr>
          <w:p>
            <w:pPr>
              <w:spacing w:after="0"/>
              <w:rPr>
                <w:sz w:val="17"/>
                <w:szCs w:val="17"/>
                <w:color w:val="auto"/>
              </w:rPr>
            </w:pPr>
          </w:p>
        </w:tc>
      </w:tr>
      <w:tr>
        <w:trPr>
          <w:trHeight w:val="20"/>
        </w:trPr>
        <w:tc>
          <w:tcPr>
            <w:tcW w:w="7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-4739640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-4739640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-3436620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-3419475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-3573780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-1486535</wp:posOffset>
            </wp:positionV>
            <wp:extent cx="939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-1486535</wp:posOffset>
            </wp:positionV>
            <wp:extent cx="939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-312420</wp:posOffset>
            </wp:positionV>
            <wp:extent cx="939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-312420</wp:posOffset>
            </wp:positionV>
            <wp:extent cx="939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2"/>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2"/>
        </w:trPr>
        <w:tc>
          <w:tcPr>
            <w:tcW w:w="59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294,093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267,120</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861,298</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779,136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Cost of revenues, exclusive of amortization of acquired technologies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71,719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69,779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210,671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194,050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acquired technologies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cost of revenues</w:t>
            </w: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76,087</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74,147</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223,776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207,155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218,006</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637,522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53,042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38,017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44,208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120,934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135,980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18,511</w:t>
            </w:r>
          </w:p>
        </w:tc>
        <w:tc>
          <w:tcPr>
            <w:tcW w:w="2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55,535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160,619</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483,685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528,235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57,387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29,974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153,837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(20,900)</w:t>
            </w:r>
          </w:p>
        </w:tc>
        <w:tc>
          <w:tcPr>
            <w:tcW w:w="1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(18,103)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(61,559)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(52,866)</w:t>
            </w: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(EXPENSE)—NET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(6,688)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PRETAX INCOME (LOSS)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39,934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103,943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(11,575)</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4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(9,703)</w:t>
            </w:r>
          </w:p>
        </w:tc>
        <w:tc>
          <w:tcPr>
            <w:tcW w:w="1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(15,373)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NET INCOME (LOSS) INCLUDING NON-CONTROLLING</w:t>
            </w:r>
          </w:p>
        </w:tc>
        <w:tc>
          <w:tcPr>
            <w:tcW w:w="1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(1,971)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(6,432)</w:t>
            </w:r>
          </w:p>
        </w:tc>
        <w:tc>
          <w:tcPr>
            <w:tcW w:w="0" w:type="dxa"/>
            <w:vAlign w:val="bottom"/>
          </w:tcPr>
          <w:p>
            <w:pPr>
              <w:spacing w:after="0"/>
              <w:rPr>
                <w:sz w:val="1"/>
                <w:szCs w:val="1"/>
                <w:color w:val="auto"/>
              </w:rPr>
            </w:pPr>
          </w:p>
        </w:tc>
      </w:tr>
      <w:tr>
        <w:trPr>
          <w:trHeight w:val="202"/>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ACCRETION OF REDEEMABLE NON-CONTROLLING INTEREST</w:t>
            </w: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182"/>
        </w:trPr>
        <w:tc>
          <w:tcPr>
            <w:tcW w:w="5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NET INCOME (LOSS) ATTRIBUTABLE TO CCC INTELLIGENT</w:t>
            </w:r>
          </w:p>
        </w:tc>
        <w:tc>
          <w:tcPr>
            <w:tcW w:w="1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SOLUTIONS HOLDINGS INC. COMMON STOCKHOLDERS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(1,971)</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66,435</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(7,708)</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(0.00)</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3"/>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8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w:t>
            </w: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575,679,641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631,440,015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578,837,408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635,263,670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593,430,988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631,440,015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595,291,220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635,263,670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 (loss) including non-controlling interest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(1,971)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66,435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(6,432)</w:t>
            </w:r>
          </w:p>
        </w:tc>
        <w:tc>
          <w:tcPr>
            <w:tcW w:w="0" w:type="dxa"/>
            <w:vAlign w:val="bottom"/>
          </w:tcPr>
          <w:p>
            <w:pPr>
              <w:spacing w:after="0"/>
              <w:rPr>
                <w:sz w:val="1"/>
                <w:szCs w:val="1"/>
                <w:color w:val="auto"/>
              </w:rPr>
            </w:pPr>
          </w:p>
        </w:tc>
      </w:tr>
      <w:tr>
        <w:trPr>
          <w:trHeight w:val="189"/>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income—Foreign currency translation</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adjustment</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COMPREHENSIVE INCOME (LOSS) INCLUDING</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30,264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(1,888)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(6,311)</w:t>
            </w: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accretion of redeemable non-controlling interest</w:t>
            </w: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182"/>
        </w:trPr>
        <w:tc>
          <w:tcPr>
            <w:tcW w:w="5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COMPREHENSIVE INCOME (LOSS) ATTRIBUTABLE TO CCC</w:t>
            </w:r>
          </w:p>
        </w:tc>
        <w:tc>
          <w:tcPr>
            <w:tcW w:w="1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INTELLIGENT SOLUTIONS HOLDINGS INC. COMMON</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30,264</w:t>
            </w:r>
          </w:p>
        </w:tc>
        <w:tc>
          <w:tcPr>
            <w:tcW w:w="26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(1,888)</w:t>
            </w:r>
          </w:p>
        </w:tc>
        <w:tc>
          <w:tcPr>
            <w:tcW w:w="2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66,562</w:t>
            </w:r>
          </w:p>
        </w:tc>
        <w:tc>
          <w:tcPr>
            <w:tcW w:w="160" w:type="dxa"/>
            <w:vAlign w:val="bottom"/>
            <w:shd w:val="clear" w:color="auto" w:fill="CFF0FC"/>
          </w:tcPr>
          <w:p>
            <w:pPr>
              <w:spacing w:after="0"/>
              <w:rPr>
                <w:sz w:val="17"/>
                <w:szCs w:val="17"/>
                <w:color w:val="auto"/>
              </w:rPr>
            </w:pPr>
          </w:p>
        </w:tc>
        <w:tc>
          <w:tcPr>
            <w:tcW w:w="3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(7,587)</w:t>
            </w: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ind w:left="80"/>
              <w:spacing w:after="0" w:line="176" w:lineRule="exact"/>
              <w:rPr>
                <w:sz w:val="20"/>
                <w:szCs w:val="20"/>
                <w:color w:val="auto"/>
              </w:rPr>
            </w:pPr>
            <w:r>
              <w:rPr>
                <w:rFonts w:ascii="Times New Roman" w:cs="Times New Roman" w:eastAsia="Times New Roman" w:hAnsi="Times New Roman"/>
                <w:sz w:val="16"/>
                <w:szCs w:val="16"/>
                <w:color w:val="auto"/>
              </w:rPr>
              <w:t>STOCKHOLDERS</w:t>
            </w:r>
          </w:p>
        </w:tc>
        <w:tc>
          <w:tcPr>
            <w:tcW w:w="140" w:type="dxa"/>
            <w:vAlign w:val="bottom"/>
            <w:vMerge w:val="continue"/>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260" w:type="dxa"/>
            <w:vAlign w:val="bottom"/>
            <w:gridSpan w:val="2"/>
            <w:vMerge w:val="continue"/>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gridSpan w:val="2"/>
            <w:vMerge w:val="continue"/>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-4568190</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-4568190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-4568190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-3792220</wp:posOffset>
            </wp:positionV>
            <wp:extent cx="102870" cy="170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-3792220</wp:posOffset>
            </wp:positionV>
            <wp:extent cx="93980" cy="170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-3792220</wp:posOffset>
            </wp:positionV>
            <wp:extent cx="93980" cy="1708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-3792220</wp:posOffset>
            </wp:positionV>
            <wp:extent cx="93980" cy="170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-25400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18"/>
                <w:szCs w:val="18"/>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Stock—Issued and</w:t>
            </w:r>
          </w:p>
        </w:tc>
        <w:tc>
          <w:tcPr>
            <w:tcW w:w="160" w:type="dxa"/>
            <w:vAlign w:val="bottom"/>
          </w:tcPr>
          <w:p>
            <w:pPr>
              <w:spacing w:after="0"/>
              <w:rPr>
                <w:sz w:val="18"/>
                <w:szCs w:val="18"/>
                <w:color w:val="auto"/>
              </w:rPr>
            </w:pPr>
          </w:p>
        </w:tc>
        <w:tc>
          <w:tcPr>
            <w:tcW w:w="2340" w:type="dxa"/>
            <w:vAlign w:val="bottom"/>
            <w:gridSpan w:val="5"/>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Stock—Issued and</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240" w:type="dxa"/>
            <w:vAlign w:val="bottom"/>
          </w:tcPr>
          <w:p>
            <w:pPr>
              <w:spacing w:after="0"/>
              <w:rPr>
                <w:sz w:val="15"/>
                <w:szCs w:val="15"/>
                <w:color w:val="auto"/>
              </w:rPr>
            </w:pPr>
          </w:p>
        </w:tc>
        <w:tc>
          <w:tcPr>
            <w:tcW w:w="212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5"/>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5"/>
                <w:szCs w:val="15"/>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18"/>
        </w:trPr>
        <w:tc>
          <w:tcPr>
            <w:tcW w:w="3240" w:type="dxa"/>
            <w:vAlign w:val="bottom"/>
          </w:tcPr>
          <w:p>
            <w:pPr>
              <w:spacing w:after="0"/>
              <w:rPr>
                <w:sz w:val="10"/>
                <w:szCs w:val="10"/>
                <w:color w:val="auto"/>
              </w:rPr>
            </w:pPr>
          </w:p>
        </w:tc>
        <w:tc>
          <w:tcPr>
            <w:tcW w:w="21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60" w:type="dxa"/>
            <w:vAlign w:val="bottom"/>
          </w:tcPr>
          <w:p>
            <w:pPr>
              <w:spacing w:after="0"/>
              <w:rPr>
                <w:sz w:val="10"/>
                <w:szCs w:val="10"/>
                <w:color w:val="auto"/>
              </w:rPr>
            </w:pPr>
          </w:p>
        </w:tc>
        <w:tc>
          <w:tcPr>
            <w:tcW w:w="1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nal</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240" w:type="dxa"/>
            <w:vAlign w:val="bottom"/>
          </w:tcPr>
          <w:p>
            <w:pPr>
              <w:spacing w:after="0"/>
              <w:rPr>
                <w:sz w:val="8"/>
                <w:szCs w:val="8"/>
                <w:color w:val="auto"/>
              </w:rPr>
            </w:pPr>
          </w:p>
        </w:tc>
        <w:tc>
          <w:tcPr>
            <w:tcW w:w="2120" w:type="dxa"/>
            <w:vAlign w:val="bottom"/>
            <w:tcBorders>
              <w:bottom w:val="single" w:sz="8" w:color="auto"/>
            </w:tcBorders>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740" w:type="dxa"/>
            <w:vAlign w:val="bottom"/>
            <w:tcBorders>
              <w:bottom w:val="single" w:sz="8" w:color="auto"/>
            </w:tcBorders>
            <w:gridSpan w:val="2"/>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w:t>
            </w:r>
          </w:p>
        </w:tc>
        <w:tc>
          <w:tcPr>
            <w:tcW w:w="9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Comprehe</w:t>
            </w:r>
          </w:p>
        </w:tc>
        <w:tc>
          <w:tcPr>
            <w:tcW w:w="8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Stockhold</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Par</w:t>
            </w:r>
          </w:p>
        </w:tc>
        <w:tc>
          <w:tcPr>
            <w:tcW w:w="160" w:type="dxa"/>
            <w:vAlign w:val="bottom"/>
          </w:tcPr>
          <w:p>
            <w:pPr>
              <w:spacing w:after="0"/>
              <w:rPr>
                <w:sz w:val="15"/>
                <w:szCs w:val="15"/>
                <w:color w:val="auto"/>
              </w:rPr>
            </w:pPr>
          </w:p>
        </w:tc>
        <w:tc>
          <w:tcPr>
            <w:tcW w:w="17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5"/>
                <w:szCs w:val="15"/>
                <w:color w:val="auto"/>
              </w:rPr>
            </w:pPr>
          </w:p>
        </w:tc>
        <w:tc>
          <w:tcPr>
            <w:tcW w:w="5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Par</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60" w:type="dxa"/>
            <w:vAlign w:val="bottom"/>
            <w:gridSpan w:val="3"/>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ated</w:t>
            </w:r>
          </w:p>
        </w:tc>
        <w:tc>
          <w:tcPr>
            <w:tcW w:w="140" w:type="dxa"/>
            <w:vAlign w:val="bottom"/>
          </w:tcPr>
          <w:p>
            <w:pPr>
              <w:spacing w:after="0"/>
              <w:rPr>
                <w:sz w:val="9"/>
                <w:szCs w:val="9"/>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nsive</w:t>
            </w:r>
          </w:p>
        </w:tc>
        <w:tc>
          <w:tcPr>
            <w:tcW w:w="100" w:type="dxa"/>
            <w:vAlign w:val="bottom"/>
          </w:tcPr>
          <w:p>
            <w:pPr>
              <w:spacing w:after="0"/>
              <w:rPr>
                <w:sz w:val="9"/>
                <w:szCs w:val="9"/>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ers’</w:t>
            </w:r>
          </w:p>
        </w:tc>
        <w:tc>
          <w:tcPr>
            <w:tcW w:w="0" w:type="dxa"/>
            <w:vAlign w:val="bottom"/>
          </w:tcPr>
          <w:p>
            <w:pPr>
              <w:spacing w:after="0"/>
              <w:rPr>
                <w:sz w:val="1"/>
                <w:szCs w:val="1"/>
                <w:color w:val="auto"/>
              </w:rPr>
            </w:pPr>
          </w:p>
        </w:tc>
      </w:tr>
      <w:tr>
        <w:trPr>
          <w:trHeight w:val="98"/>
        </w:trPr>
        <w:tc>
          <w:tcPr>
            <w:tcW w:w="3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8"/>
        </w:trPr>
        <w:tc>
          <w:tcPr>
            <w:tcW w:w="3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BALANCE—December 31, 2025</w:t>
            </w:r>
          </w:p>
        </w:tc>
        <w:tc>
          <w:tcPr>
            <w:tcW w:w="84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(1,695,0</w:t>
            </w: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1,787,01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18"/>
                <w:szCs w:val="18"/>
                <w:color w:val="auto"/>
              </w:rPr>
            </w:pP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605,449,050</w:t>
            </w:r>
          </w:p>
        </w:tc>
        <w:tc>
          <w:tcPr>
            <w:tcW w:w="1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1,165,928</w:t>
            </w:r>
          </w:p>
        </w:tc>
        <w:tc>
          <w:tcPr>
            <w:tcW w:w="1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 purchase plan</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190,081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common stock upon vesting of</w:t>
            </w:r>
          </w:p>
        </w:tc>
        <w:tc>
          <w:tcPr>
            <w:tcW w:w="84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RSUs—net of tax</w:t>
            </w: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6,062,951</w:t>
            </w:r>
          </w:p>
        </w:tc>
        <w:tc>
          <w:tcPr>
            <w:tcW w:w="1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(17,272)</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Repurchase and retirement of common stock</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(26,172,456)</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(100,166)</w:t>
            </w:r>
          </w:p>
        </w:tc>
        <w:tc>
          <w:tcPr>
            <w:tcW w:w="0" w:type="dxa"/>
            <w:vAlign w:val="bottom"/>
          </w:tcPr>
          <w:p>
            <w:pPr>
              <w:spacing w:after="0"/>
              <w:rPr>
                <w:sz w:val="1"/>
                <w:szCs w:val="1"/>
                <w:color w:val="auto"/>
              </w:rPr>
            </w:pPr>
          </w:p>
        </w:tc>
      </w:tr>
      <w:tr>
        <w:trPr>
          <w:trHeight w:val="206"/>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Excise tax on repurchases of common stock</w:t>
            </w: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right w:val="single" w:sz="8" w:color="CFF0FC"/>
            </w:tcBorders>
            <w:shd w:val="clear" w:color="auto" w:fill="CFF0FC"/>
          </w:tcPr>
          <w:p>
            <w:pPr>
              <w:spacing w:after="0"/>
              <w:rPr>
                <w:sz w:val="17"/>
                <w:szCs w:val="17"/>
                <w:color w:val="auto"/>
              </w:rPr>
            </w:pPr>
          </w:p>
        </w:tc>
        <w:tc>
          <w:tcPr>
            <w:tcW w:w="1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(523)</w:t>
            </w:r>
          </w:p>
        </w:tc>
        <w:tc>
          <w:tcPr>
            <w:tcW w:w="14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right w:val="single" w:sz="8" w:color="CFF0FC"/>
            </w:tcBorders>
            <w:shd w:val="clear" w:color="auto" w:fill="CFF0FC"/>
          </w:tcPr>
          <w:p>
            <w:pPr>
              <w:spacing w:after="0"/>
              <w:rPr>
                <w:sz w:val="17"/>
                <w:szCs w:val="17"/>
                <w:color w:val="auto"/>
              </w:rPr>
            </w:pPr>
          </w:p>
        </w:tc>
        <w:tc>
          <w:tcPr>
            <w:tcW w:w="1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4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6"/>
                <w:szCs w:val="16"/>
                <w:color w:val="auto"/>
              </w:rPr>
              <w:t>BALANCE—March 31, 2026</w:t>
            </w: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3,502,</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(1,780,3</w:t>
            </w:r>
          </w:p>
        </w:tc>
        <w:tc>
          <w:tcPr>
            <w:tcW w:w="1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1,721,15</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586,695,554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right w:val="single" w:sz="8" w:color="CFF0FC"/>
            </w:tcBorders>
            <w:shd w:val="clear" w:color="auto" w:fill="CFF0FC"/>
          </w:tcPr>
          <w:p>
            <w:pPr>
              <w:spacing w:after="0"/>
              <w:rPr>
                <w:sz w:val="18"/>
                <w:szCs w:val="18"/>
                <w:color w:val="auto"/>
              </w:rPr>
            </w:pPr>
          </w:p>
        </w:tc>
        <w:tc>
          <w:tcPr>
            <w:tcW w:w="1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297,269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common stock upon vesting of</w:t>
            </w:r>
          </w:p>
        </w:tc>
        <w:tc>
          <w:tcPr>
            <w:tcW w:w="84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RSUs—net of tax</w:t>
            </w: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850,782</w:t>
            </w:r>
          </w:p>
        </w:tc>
        <w:tc>
          <w:tcPr>
            <w:tcW w:w="1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Excise tax on repurchases of common stock</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right w:val="single" w:sz="8" w:color="CFF0FC"/>
            </w:tcBorders>
            <w:shd w:val="clear" w:color="auto" w:fill="CFF0FC"/>
          </w:tcPr>
          <w:p>
            <w:pPr>
              <w:spacing w:after="0"/>
              <w:rPr>
                <w:sz w:val="17"/>
                <w:szCs w:val="17"/>
                <w:color w:val="auto"/>
              </w:rPr>
            </w:pPr>
          </w:p>
        </w:tc>
        <w:tc>
          <w:tcPr>
            <w:tcW w:w="1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BALANCE—June 30, 2026</w:t>
            </w:r>
          </w:p>
        </w:tc>
        <w:tc>
          <w:tcPr>
            <w:tcW w:w="84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(1,759,4</w:t>
            </w: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1,772,54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FF0FC"/>
          </w:tcPr>
          <w:p>
            <w:pPr>
              <w:spacing w:after="0"/>
              <w:rPr>
                <w:sz w:val="18"/>
                <w:szCs w:val="18"/>
                <w:color w:val="auto"/>
              </w:rPr>
            </w:pP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587,843,605</w:t>
            </w:r>
          </w:p>
        </w:tc>
        <w:tc>
          <w:tcPr>
            <w:tcW w:w="1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40" w:type="dxa"/>
            <w:vAlign w:val="bottom"/>
            <w:tcBorders>
              <w:top w:val="single" w:sz="8" w:color="CFF0F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1,368,234</w:t>
            </w:r>
          </w:p>
        </w:tc>
        <w:tc>
          <w:tcPr>
            <w:tcW w:w="1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5,021</w:t>
            </w: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 purchase plan</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696,252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common stock upon vesting of</w:t>
            </w:r>
          </w:p>
        </w:tc>
        <w:tc>
          <w:tcPr>
            <w:tcW w:w="84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RSUs—net of tax</w:t>
            </w: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616,951</w:t>
            </w:r>
          </w:p>
        </w:tc>
        <w:tc>
          <w:tcPr>
            <w:tcW w:w="1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Excise tax on repurchases of common stock</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right w:val="single" w:sz="8" w:color="CFF0FC"/>
            </w:tcBorders>
            <w:shd w:val="clear" w:color="auto" w:fill="CFF0FC"/>
          </w:tcPr>
          <w:p>
            <w:pPr>
              <w:spacing w:after="0"/>
              <w:rPr>
                <w:sz w:val="17"/>
                <w:szCs w:val="17"/>
                <w:color w:val="auto"/>
              </w:rPr>
            </w:pPr>
          </w:p>
        </w:tc>
        <w:tc>
          <w:tcPr>
            <w:tcW w:w="1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BALANCE—September 30, 2026</w:t>
            </w:r>
          </w:p>
        </w:tc>
        <w:tc>
          <w:tcPr>
            <w:tcW w:w="840" w:type="dxa"/>
            <w:vAlign w:val="bottom"/>
            <w:tcBorders>
              <w:top w:val="single" w:sz="8" w:color="auto"/>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580" w:type="dxa"/>
            <w:vAlign w:val="bottom"/>
            <w:tcBorders>
              <w:top w:val="single" w:sz="8" w:color="auto"/>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3,571,</w:t>
            </w: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(1,729,1</w:t>
            </w: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1,841,88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240" w:type="dxa"/>
            <w:vAlign w:val="bottom"/>
            <w:shd w:val="clear" w:color="auto" w:fill="CFF0FC"/>
          </w:tcPr>
          <w:p>
            <w:pPr>
              <w:spacing w:after="0"/>
              <w:rPr>
                <w:sz w:val="20"/>
                <w:szCs w:val="20"/>
                <w:color w:val="auto"/>
              </w:rPr>
            </w:pPr>
          </w:p>
        </w:tc>
        <w:tc>
          <w:tcPr>
            <w:tcW w:w="8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right w:val="single" w:sz="8" w:color="CFF0FC"/>
            </w:tcBorders>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590,525,042</w:t>
            </w:r>
          </w:p>
        </w:tc>
        <w:tc>
          <w:tcPr>
            <w:tcW w:w="16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-3136900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-3136900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-3136900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-3136900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-3136900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-3136900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-3136900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-1584960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-1584960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-1584960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-1584960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-1584960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-1584960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-1584960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-24765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 AND SUBSIDIARIES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STOCKHOLDERS’ EQUITY</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3"/>
        </w:trPr>
        <w:tc>
          <w:tcPr>
            <w:tcW w:w="3360" w:type="dxa"/>
            <w:vAlign w:val="bottom"/>
          </w:tcPr>
          <w:p>
            <w:pPr>
              <w:spacing w:after="0"/>
              <w:rPr>
                <w:sz w:val="11"/>
                <w:szCs w:val="11"/>
                <w:color w:val="auto"/>
              </w:rPr>
            </w:pPr>
          </w:p>
        </w:tc>
        <w:tc>
          <w:tcPr>
            <w:tcW w:w="900" w:type="dxa"/>
            <w:vAlign w:val="bottom"/>
            <w:tcBorders>
              <w:right w:val="single" w:sz="8" w:color="auto"/>
            </w:tcBorders>
            <w:gridSpan w:val="3"/>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Redeemab</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360" w:type="dxa"/>
            <w:vAlign w:val="bottom"/>
          </w:tcPr>
          <w:p>
            <w:pPr>
              <w:spacing w:after="0"/>
              <w:rPr>
                <w:sz w:val="5"/>
                <w:szCs w:val="5"/>
                <w:color w:val="auto"/>
              </w:rPr>
            </w:pPr>
          </w:p>
        </w:tc>
        <w:tc>
          <w:tcPr>
            <w:tcW w:w="900" w:type="dxa"/>
            <w:vAlign w:val="bottom"/>
            <w:tcBorders>
              <w:right w:val="single" w:sz="8" w:color="auto"/>
            </w:tcBorders>
            <w:gridSpan w:val="3"/>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360" w:type="dxa"/>
            <w:vAlign w:val="bottom"/>
          </w:tcPr>
          <w:p>
            <w:pPr>
              <w:spacing w:after="0"/>
              <w:rPr>
                <w:sz w:val="7"/>
                <w:szCs w:val="7"/>
                <w:color w:val="auto"/>
              </w:rPr>
            </w:pPr>
          </w:p>
        </w:tc>
        <w:tc>
          <w:tcPr>
            <w:tcW w:w="900" w:type="dxa"/>
            <w:vAlign w:val="bottom"/>
            <w:tcBorders>
              <w:right w:val="single" w:sz="8" w:color="auto"/>
            </w:tcBorders>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right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85"/>
              </w:rPr>
              <w:t>g</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right w:val="single" w:sz="8" w:color="auto"/>
            </w:tcBorders>
            <w:gridSpan w:val="2"/>
            <w:vMerge w:val="continue"/>
          </w:tcPr>
          <w:p>
            <w:pPr>
              <w:spacing w:after="0"/>
              <w:rPr>
                <w:sz w:val="7"/>
                <w:szCs w:val="7"/>
                <w:color w:val="auto"/>
              </w:rPr>
            </w:pPr>
          </w:p>
        </w:tc>
        <w:tc>
          <w:tcPr>
            <w:tcW w:w="15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Preferred Stock—Issued</w:t>
            </w:r>
          </w:p>
        </w:tc>
        <w:tc>
          <w:tcPr>
            <w:tcW w:w="140" w:type="dxa"/>
            <w:vAlign w:val="bottom"/>
          </w:tcPr>
          <w:p>
            <w:pPr>
              <w:spacing w:after="0"/>
              <w:rPr>
                <w:sz w:val="7"/>
                <w:szCs w:val="7"/>
                <w:color w:val="auto"/>
              </w:rPr>
            </w:pPr>
          </w:p>
        </w:tc>
        <w:tc>
          <w:tcPr>
            <w:tcW w:w="18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Stock—Issued</w:t>
            </w:r>
          </w:p>
        </w:tc>
        <w:tc>
          <w:tcPr>
            <w:tcW w:w="6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5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gridSpan w:val="2"/>
            <w:vMerge w:val="continue"/>
          </w:tcPr>
          <w:p>
            <w:pPr>
              <w:spacing w:after="0"/>
              <w:rPr>
                <w:sz w:val="10"/>
                <w:szCs w:val="10"/>
                <w:color w:val="auto"/>
              </w:rPr>
            </w:pPr>
          </w:p>
        </w:tc>
        <w:tc>
          <w:tcPr>
            <w:tcW w:w="15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40" w:type="dxa"/>
            <w:vAlign w:val="bottom"/>
          </w:tcPr>
          <w:p>
            <w:pPr>
              <w:spacing w:after="0"/>
              <w:rPr>
                <w:sz w:val="10"/>
                <w:szCs w:val="10"/>
                <w:color w:val="auto"/>
              </w:rPr>
            </w:pPr>
          </w:p>
        </w:tc>
        <w:tc>
          <w:tcPr>
            <w:tcW w:w="1420" w:type="dxa"/>
            <w:vAlign w:val="bottom"/>
            <w:gridSpan w:val="3"/>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onal</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33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560" w:type="dxa"/>
            <w:vAlign w:val="bottom"/>
            <w:tcBorders>
              <w:bottom w:val="single" w:sz="8" w:color="auto"/>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Borders>
              <w:bottom w:val="single" w:sz="8" w:color="auto"/>
            </w:tcBorders>
            <w:gridSpan w:val="3"/>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0"/>
                <w:szCs w:val="10"/>
                <w:color w:val="auto"/>
              </w:rPr>
            </w:pPr>
          </w:p>
        </w:tc>
        <w:tc>
          <w:tcPr>
            <w:tcW w:w="13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Par</w:t>
            </w:r>
          </w:p>
        </w:tc>
        <w:tc>
          <w:tcPr>
            <w:tcW w:w="62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Paid-</w:t>
            </w:r>
          </w:p>
        </w:tc>
        <w:tc>
          <w:tcPr>
            <w:tcW w:w="7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w:t>
            </w:r>
          </w:p>
        </w:tc>
        <w:tc>
          <w:tcPr>
            <w:tcW w:w="86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Comprehe</w:t>
            </w:r>
          </w:p>
        </w:tc>
        <w:tc>
          <w:tcPr>
            <w:tcW w:w="7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Stockhold</w:t>
            </w:r>
          </w:p>
        </w:tc>
        <w:tc>
          <w:tcPr>
            <w:tcW w:w="0" w:type="dxa"/>
            <w:vAlign w:val="bottom"/>
          </w:tcPr>
          <w:p>
            <w:pPr>
              <w:spacing w:after="0"/>
              <w:rPr>
                <w:sz w:val="1"/>
                <w:szCs w:val="1"/>
                <w:color w:val="auto"/>
              </w:rPr>
            </w:pPr>
          </w:p>
        </w:tc>
      </w:tr>
      <w:tr>
        <w:trPr>
          <w:trHeight w:val="109"/>
        </w:trPr>
        <w:tc>
          <w:tcPr>
            <w:tcW w:w="3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0"/>
              </w:rPr>
              <w:t>In</w:t>
            </w:r>
          </w:p>
        </w:tc>
        <w:tc>
          <w:tcPr>
            <w:tcW w:w="80" w:type="dxa"/>
            <w:vAlign w:val="bottom"/>
          </w:tcPr>
          <w:p>
            <w:pPr>
              <w:spacing w:after="0"/>
              <w:rPr>
                <w:sz w:val="9"/>
                <w:szCs w:val="9"/>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ated</w:t>
            </w:r>
          </w:p>
        </w:tc>
        <w:tc>
          <w:tcPr>
            <w:tcW w:w="120" w:type="dxa"/>
            <w:vAlign w:val="bottom"/>
          </w:tcPr>
          <w:p>
            <w:pPr>
              <w:spacing w:after="0"/>
              <w:rPr>
                <w:sz w:val="9"/>
                <w:szCs w:val="9"/>
                <w:color w:val="auto"/>
              </w:rPr>
            </w:pPr>
          </w:p>
        </w:tc>
        <w:tc>
          <w:tcPr>
            <w:tcW w:w="7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nsive</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ers’</w:t>
            </w:r>
          </w:p>
        </w:tc>
        <w:tc>
          <w:tcPr>
            <w:tcW w:w="0" w:type="dxa"/>
            <w:vAlign w:val="bottom"/>
          </w:tcPr>
          <w:p>
            <w:pPr>
              <w:spacing w:after="0"/>
              <w:rPr>
                <w:sz w:val="1"/>
                <w:szCs w:val="1"/>
                <w:color w:val="auto"/>
              </w:rPr>
            </w:pPr>
          </w:p>
        </w:tc>
      </w:tr>
      <w:tr>
        <w:trPr>
          <w:trHeight w:val="81"/>
        </w:trPr>
        <w:tc>
          <w:tcPr>
            <w:tcW w:w="3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Valu</w:t>
            </w: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9"/>
                <w:szCs w:val="9"/>
                <w:color w:val="auto"/>
              </w:rPr>
            </w:pPr>
          </w:p>
        </w:tc>
        <w:tc>
          <w:tcPr>
            <w:tcW w:w="13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3"/>
            <w:vMerge w:val="continue"/>
          </w:tcPr>
          <w:p>
            <w:pPr>
              <w:spacing w:after="0"/>
              <w:rPr>
                <w:sz w:val="9"/>
                <w:szCs w:val="9"/>
                <w:color w:val="auto"/>
              </w:rPr>
            </w:pPr>
          </w:p>
        </w:tc>
        <w:tc>
          <w:tcPr>
            <w:tcW w:w="6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9"/>
                <w:szCs w:val="9"/>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20" w:type="dxa"/>
            <w:vAlign w:val="bottom"/>
          </w:tcPr>
          <w:p>
            <w:pPr>
              <w:spacing w:after="0"/>
              <w:rPr>
                <w:sz w:val="9"/>
                <w:szCs w:val="9"/>
                <w:color w:val="auto"/>
              </w:rPr>
            </w:pPr>
          </w:p>
        </w:tc>
        <w:tc>
          <w:tcPr>
            <w:tcW w:w="7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9"/>
        </w:trPr>
        <w:tc>
          <w:tcPr>
            <w:tcW w:w="3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w:t>
            </w:r>
          </w:p>
        </w:tc>
        <w:tc>
          <w:tcPr>
            <w:tcW w:w="6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44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BALANCE—December 31, 2024</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21,679</w:t>
            </w:r>
          </w:p>
        </w:tc>
        <w:tc>
          <w:tcPr>
            <w:tcW w:w="220" w:type="dxa"/>
            <w:vAlign w:val="bottom"/>
            <w:tcBorders>
              <w:right w:val="single" w:sz="8" w:color="auto"/>
            </w:tcBorders>
            <w:shd w:val="clear" w:color="auto" w:fill="CFF0FC"/>
          </w:tcPr>
          <w:p>
            <w:pPr>
              <w:spacing w:after="0"/>
              <w:rPr>
                <w:sz w:val="10"/>
                <w:szCs w:val="10"/>
                <w:color w:val="auto"/>
              </w:rPr>
            </w:pP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629,207,115</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w w:val="97"/>
              </w:rPr>
              <w:t>3,094,</w:t>
            </w: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(1,095,2</w:t>
            </w:r>
          </w:p>
        </w:tc>
        <w:tc>
          <w:tcPr>
            <w:tcW w:w="160" w:type="dxa"/>
            <w:vAlign w:val="bottom"/>
            <w:tcBorders>
              <w:right w:val="single" w:sz="8" w:color="CFF0FC"/>
            </w:tcBorders>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(1,195)</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$ 1,997,823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gridSpan w:val="2"/>
            <w:shd w:val="clear" w:color="auto" w:fill="CFF0FC"/>
          </w:tcPr>
          <w:p>
            <w:pPr>
              <w:ind w:left="33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continue"/>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vMerge w:val="continue"/>
            <w:shd w:val="clear" w:color="auto" w:fill="CFF0FC"/>
          </w:tcPr>
          <w:p>
            <w:pPr>
              <w:spacing w:after="0"/>
              <w:rPr>
                <w:sz w:val="14"/>
                <w:szCs w:val="14"/>
                <w:color w:val="auto"/>
              </w:rPr>
            </w:pPr>
          </w:p>
        </w:tc>
        <w:tc>
          <w:tcPr>
            <w:tcW w:w="740" w:type="dxa"/>
            <w:vAlign w:val="bottom"/>
            <w:tcBorders>
              <w:right w:val="single" w:sz="8" w:color="CFF0FC"/>
            </w:tcBorders>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0"/>
                <w:szCs w:val="10"/>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61,04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Borders>
              <w:right w:val="single" w:sz="8" w:color="auto"/>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330,413</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82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174,906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purchase plan</w:t>
            </w:r>
          </w:p>
        </w:tc>
        <w:tc>
          <w:tcPr>
            <w:tcW w:w="820" w:type="dxa"/>
            <w:vAlign w:val="bottom"/>
            <w:tcBorders>
              <w:right w:val="single" w:sz="8" w:color="auto"/>
            </w:tcBorders>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gridSpan w:val="2"/>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of RSUs—net</w:t>
            </w:r>
          </w:p>
        </w:tc>
        <w:tc>
          <w:tcPr>
            <w:tcW w:w="820" w:type="dxa"/>
            <w:vAlign w:val="bottom"/>
            <w:tcBorders>
              <w:right w:val="single" w:sz="8" w:color="auto"/>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9,095,994</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(43,4</w:t>
            </w: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(43,471)</w:t>
            </w:r>
          </w:p>
        </w:tc>
        <w:tc>
          <w:tcPr>
            <w:tcW w:w="0" w:type="dxa"/>
            <w:vAlign w:val="bottom"/>
          </w:tcPr>
          <w:p>
            <w:pPr>
              <w:spacing w:after="0"/>
              <w:rPr>
                <w:sz w:val="1"/>
                <w:szCs w:val="1"/>
                <w:color w:val="auto"/>
              </w:rPr>
            </w:pPr>
          </w:p>
        </w:tc>
      </w:tr>
      <w:tr>
        <w:trPr>
          <w:trHeight w:val="171"/>
        </w:trPr>
        <w:tc>
          <w:tcPr>
            <w:tcW w:w="3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of tax</w:t>
            </w:r>
          </w:p>
        </w:tc>
        <w:tc>
          <w:tcPr>
            <w:tcW w:w="820" w:type="dxa"/>
            <w:vAlign w:val="bottom"/>
            <w:tcBorders>
              <w:right w:val="single" w:sz="8" w:color="auto"/>
            </w:tcBorders>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restricted stock awards for business</w:t>
            </w:r>
          </w:p>
        </w:tc>
        <w:tc>
          <w:tcPr>
            <w:tcW w:w="82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792,174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34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acquisition</w:t>
            </w:r>
          </w:p>
        </w:tc>
        <w:tc>
          <w:tcPr>
            <w:tcW w:w="820" w:type="dxa"/>
            <w:vAlign w:val="bottom"/>
            <w:tcBorders>
              <w:right w:val="single" w:sz="8" w:color="auto"/>
            </w:tcBorders>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4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3"/>
                <w:szCs w:val="13"/>
                <w:color w:val="auto"/>
              </w:rPr>
              <w:t xml:space="preserve">Issuance of common stock for business acquisition </w:t>
            </w:r>
            <w:r>
              <w:rPr>
                <w:rFonts w:ascii="Times New Roman" w:cs="Times New Roman" w:eastAsia="Times New Roman" w:hAnsi="Times New Roman"/>
                <w:sz w:val="17"/>
                <w:szCs w:val="17"/>
                <w:color w:val="auto"/>
                <w:vertAlign w:val="superscript"/>
              </w:rPr>
              <w:t>(1)</w:t>
            </w:r>
          </w:p>
        </w:tc>
        <w:tc>
          <w:tcPr>
            <w:tcW w:w="82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26,035,603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250,4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250,441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82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(7,000,000)</w:t>
            </w:r>
          </w:p>
        </w:tc>
        <w:tc>
          <w:tcPr>
            <w:tcW w:w="10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(72,274)</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(72,275)</w:t>
            </w:r>
          </w:p>
        </w:tc>
        <w:tc>
          <w:tcPr>
            <w:tcW w:w="0" w:type="dxa"/>
            <w:vAlign w:val="bottom"/>
          </w:tcPr>
          <w:p>
            <w:pPr>
              <w:spacing w:after="0"/>
              <w:rPr>
                <w:sz w:val="1"/>
                <w:szCs w:val="1"/>
                <w:color w:val="auto"/>
              </w:rPr>
            </w:pPr>
          </w:p>
        </w:tc>
      </w:tr>
      <w:tr>
        <w:trPr>
          <w:trHeight w:val="126"/>
        </w:trPr>
        <w:tc>
          <w:tcPr>
            <w:tcW w:w="3440" w:type="dxa"/>
            <w:vAlign w:val="bottom"/>
            <w:gridSpan w:val="2"/>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Accretion of redeemable non-controlling interest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220" w:type="dxa"/>
            <w:vAlign w:val="bottom"/>
            <w:tcBorders>
              <w:right w:val="single" w:sz="8" w:color="auto"/>
            </w:tcBorders>
            <w:shd w:val="clear" w:color="auto" w:fill="CFF0FC"/>
          </w:tcPr>
          <w:p>
            <w:pPr>
              <w:spacing w:after="0"/>
              <w:rPr>
                <w:sz w:val="10"/>
                <w:szCs w:val="10"/>
                <w:color w:val="auto"/>
              </w:rPr>
            </w:pP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0"/>
                <w:szCs w:val="10"/>
                <w:color w:val="auto"/>
              </w:rPr>
            </w:pPr>
          </w:p>
        </w:tc>
        <w:tc>
          <w:tcPr>
            <w:tcW w:w="132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40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(1,27</w:t>
            </w: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(1,276)</w:t>
            </w:r>
          </w:p>
        </w:tc>
        <w:tc>
          <w:tcPr>
            <w:tcW w:w="0" w:type="dxa"/>
            <w:vAlign w:val="bottom"/>
          </w:tcPr>
          <w:p>
            <w:pPr>
              <w:spacing w:after="0"/>
              <w:rPr>
                <w:sz w:val="1"/>
                <w:szCs w:val="1"/>
                <w:color w:val="auto"/>
              </w:rPr>
            </w:pPr>
          </w:p>
        </w:tc>
      </w:tr>
      <w:tr>
        <w:trPr>
          <w:trHeight w:val="171"/>
        </w:trPr>
        <w:tc>
          <w:tcPr>
            <w:tcW w:w="3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32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tcBorders>
              <w:right w:val="single" w:sz="8" w:color="CFF0FC"/>
            </w:tcBorders>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color w:val="auto"/>
              </w:rPr>
              <w:t>Reclassification of redeemable non-controlling interest</w:t>
            </w: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(22,955)</w:t>
            </w: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0"/>
                <w:szCs w:val="10"/>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to note payable to minority investor</w:t>
            </w:r>
          </w:p>
        </w:tc>
        <w:tc>
          <w:tcPr>
            <w:tcW w:w="820" w:type="dxa"/>
            <w:vAlign w:val="bottom"/>
            <w:tcBorders>
              <w:right w:val="single" w:sz="8" w:color="auto"/>
            </w:tcBorders>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tcBorders>
              <w:right w:val="single" w:sz="8" w:color="auto"/>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2"/>
                <w:szCs w:val="12"/>
                <w:color w:val="auto"/>
              </w:rPr>
            </w:pPr>
          </w:p>
        </w:tc>
        <w:tc>
          <w:tcPr>
            <w:tcW w:w="132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4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7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33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12"/>
                <w:szCs w:val="12"/>
                <w:color w:val="auto"/>
              </w:rPr>
            </w:pPr>
          </w:p>
        </w:tc>
        <w:tc>
          <w:tcPr>
            <w:tcW w:w="6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(17,421)</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(17,421)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3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BALANCE—March 31, 2025</w:t>
            </w:r>
          </w:p>
        </w:tc>
        <w:tc>
          <w:tcPr>
            <w:tcW w:w="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vMerge w:val="restart"/>
            <w:shd w:val="clear" w:color="auto" w:fill="CFF0FC"/>
          </w:tcPr>
          <w:p>
            <w:pPr>
              <w:spacing w:after="0"/>
              <w:rPr>
                <w:sz w:val="10"/>
                <w:szCs w:val="10"/>
                <w:color w:val="auto"/>
              </w:rPr>
            </w:pP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vMerge w:val="restart"/>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658,636,205</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3,363,</w:t>
            </w: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(1,184,9</w:t>
            </w:r>
          </w:p>
        </w:tc>
        <w:tc>
          <w:tcPr>
            <w:tcW w:w="16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(1,210)</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2,177,460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tcBorders>
              <w:right w:val="single" w:sz="8" w:color="auto"/>
            </w:tcBorders>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vMerge w:val="continue"/>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0"/>
                <w:szCs w:val="10"/>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45,97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45,975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gridSpan w:val="2"/>
            <w:vMerge w:val="continue"/>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Borders>
              <w:right w:val="single" w:sz="8" w:color="auto"/>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360,029</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of RSUs—net</w:t>
            </w:r>
          </w:p>
        </w:tc>
        <w:tc>
          <w:tcPr>
            <w:tcW w:w="82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986,566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(881)</w:t>
            </w:r>
          </w:p>
        </w:tc>
        <w:tc>
          <w:tcPr>
            <w:tcW w:w="0" w:type="dxa"/>
            <w:vAlign w:val="bottom"/>
          </w:tcPr>
          <w:p>
            <w:pPr>
              <w:spacing w:after="0"/>
              <w:rPr>
                <w:sz w:val="1"/>
                <w:szCs w:val="1"/>
                <w:color w:val="auto"/>
              </w:rPr>
            </w:pPr>
          </w:p>
        </w:tc>
      </w:tr>
      <w:tr>
        <w:trPr>
          <w:trHeight w:val="171"/>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of tax</w:t>
            </w:r>
          </w:p>
        </w:tc>
        <w:tc>
          <w:tcPr>
            <w:tcW w:w="820" w:type="dxa"/>
            <w:vAlign w:val="bottom"/>
            <w:tcBorders>
              <w:right w:val="single" w:sz="8" w:color="auto"/>
            </w:tcBorders>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gridSpan w:val="2"/>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820" w:type="dxa"/>
            <w:vAlign w:val="bottom"/>
            <w:tcBorders>
              <w:right w:val="single" w:sz="8" w:color="auto"/>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right w:val="single" w:sz="8" w:color="CFF0FC"/>
            </w:tcBorders>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(10,988,327)</w:t>
            </w:r>
          </w:p>
        </w:tc>
        <w:tc>
          <w:tcPr>
            <w:tcW w:w="100" w:type="dxa"/>
            <w:vAlign w:val="bottom"/>
            <w:shd w:val="clear" w:color="auto" w:fill="CFF0FC"/>
          </w:tcPr>
          <w:p>
            <w:pPr>
              <w:spacing w:after="0"/>
              <w:rPr>
                <w:sz w:val="10"/>
                <w:szCs w:val="10"/>
                <w:color w:val="auto"/>
              </w:rPr>
            </w:pPr>
          </w:p>
        </w:tc>
        <w:tc>
          <w:tcPr>
            <w:tcW w:w="40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0"/>
                <w:szCs w:val="10"/>
                <w:color w:val="auto"/>
              </w:rPr>
            </w:pPr>
          </w:p>
        </w:tc>
        <w:tc>
          <w:tcPr>
            <w:tcW w:w="5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(100,21</w:t>
            </w:r>
          </w:p>
        </w:tc>
        <w:tc>
          <w:tcPr>
            <w:tcW w:w="16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(100,220)</w:t>
            </w:r>
          </w:p>
        </w:tc>
        <w:tc>
          <w:tcPr>
            <w:tcW w:w="0" w:type="dxa"/>
            <w:vAlign w:val="bottom"/>
          </w:tcPr>
          <w:p>
            <w:pPr>
              <w:spacing w:after="0"/>
              <w:rPr>
                <w:sz w:val="1"/>
                <w:szCs w:val="1"/>
                <w:color w:val="auto"/>
              </w:rPr>
            </w:pPr>
          </w:p>
        </w:tc>
      </w:tr>
      <w:tr>
        <w:trPr>
          <w:trHeight w:val="171"/>
        </w:trPr>
        <w:tc>
          <w:tcPr>
            <w:tcW w:w="3440" w:type="dxa"/>
            <w:vAlign w:val="bottom"/>
            <w:gridSpan w:val="2"/>
            <w:vMerge w:val="continue"/>
            <w:shd w:val="clear" w:color="auto" w:fill="CFF0FC"/>
          </w:tcPr>
          <w:p>
            <w:pPr>
              <w:spacing w:after="0"/>
              <w:rPr>
                <w:sz w:val="14"/>
                <w:szCs w:val="14"/>
                <w:color w:val="auto"/>
              </w:rPr>
            </w:pPr>
          </w:p>
        </w:tc>
        <w:tc>
          <w:tcPr>
            <w:tcW w:w="820" w:type="dxa"/>
            <w:vAlign w:val="bottom"/>
            <w:tcBorders>
              <w:right w:val="single" w:sz="8" w:color="auto"/>
            </w:tcBorders>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60" w:type="dxa"/>
            <w:vAlign w:val="bottom"/>
            <w:tcBorders>
              <w:right w:val="single" w:sz="8" w:color="CFF0FC"/>
            </w:tcBorders>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tcBorders>
              <w:right w:val="single" w:sz="8" w:color="CFF0FC"/>
            </w:tcBorders>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tcBorders>
              <w:right w:val="single" w:sz="8" w:color="auto"/>
            </w:tcBorders>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right w:val="single" w:sz="8" w:color="auto"/>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2"/>
                <w:szCs w:val="12"/>
                <w:color w:val="auto"/>
              </w:rPr>
            </w:pPr>
          </w:p>
        </w:tc>
        <w:tc>
          <w:tcPr>
            <w:tcW w:w="132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4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12,960</w:t>
            </w: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BALANCE—June 30, 2025</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vMerge w:val="restart"/>
          </w:tcPr>
          <w:p>
            <w:pPr>
              <w:spacing w:after="0"/>
              <w:rPr>
                <w:sz w:val="10"/>
                <w:szCs w:val="10"/>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vMerge w:val="restart"/>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648,994,473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w w:val="97"/>
              </w:rPr>
              <w:t>3,409,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(1,272,1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(1,157)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2,136,350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Borders>
              <w:right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Borders>
              <w:top w:val="single" w:sz="8" w:color="auto"/>
            </w:tcBorders>
            <w:vMerge w:val="restart"/>
            <w:shd w:val="clear" w:color="auto" w:fill="CFF0FC"/>
          </w:tcPr>
          <w:p>
            <w:pPr>
              <w:spacing w:after="0"/>
              <w:rPr>
                <w:sz w:val="10"/>
                <w:szCs w:val="10"/>
                <w:color w:val="auto"/>
              </w:rPr>
            </w:pP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vMerge w:val="restart"/>
            <w:shd w:val="clear" w:color="auto" w:fill="CFF0FC"/>
          </w:tcPr>
          <w:p>
            <w:pPr>
              <w:spacing w:after="0"/>
              <w:rPr>
                <w:sz w:val="10"/>
                <w:szCs w:val="10"/>
                <w:color w:val="auto"/>
              </w:rPr>
            </w:pPr>
          </w:p>
        </w:tc>
        <w:tc>
          <w:tcPr>
            <w:tcW w:w="640" w:type="dxa"/>
            <w:vAlign w:val="bottom"/>
            <w:tcBorders>
              <w:top w:val="single" w:sz="8" w:color="auto"/>
            </w:tcBorders>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0"/>
                <w:szCs w:val="10"/>
                <w:color w:val="auto"/>
              </w:rPr>
            </w:pPr>
          </w:p>
        </w:tc>
        <w:tc>
          <w:tcPr>
            <w:tcW w:w="11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FF0FC"/>
            </w:tcBorders>
            <w:vMerge w:val="restart"/>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vMerge w:val="restart"/>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39,19</w:t>
            </w: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vMerge w:val="restart"/>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vMerge w:val="restart"/>
            <w:shd w:val="clear" w:color="auto" w:fill="CFF0FC"/>
          </w:tcPr>
          <w:p>
            <w:pPr>
              <w:spacing w:after="0"/>
              <w:rPr>
                <w:sz w:val="10"/>
                <w:szCs w:val="10"/>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tcBorders>
              <w:right w:val="single" w:sz="8" w:color="auto"/>
            </w:tcBorders>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Borders>
              <w:right w:val="single" w:sz="8" w:color="auto"/>
            </w:tcBorders>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548,441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gridSpan w:val="2"/>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820" w:type="dxa"/>
            <w:vAlign w:val="bottom"/>
            <w:tcBorders>
              <w:right w:val="single" w:sz="8" w:color="auto"/>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424,270</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purchase plan</w:t>
            </w:r>
          </w:p>
        </w:tc>
        <w:tc>
          <w:tcPr>
            <w:tcW w:w="820" w:type="dxa"/>
            <w:vAlign w:val="bottom"/>
            <w:tcBorders>
              <w:right w:val="single" w:sz="8" w:color="auto"/>
            </w:tcBorders>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tcBorders>
              <w:right w:val="single" w:sz="8" w:color="CFF0FC"/>
            </w:tcBorders>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of RSUs—net</w:t>
            </w:r>
          </w:p>
        </w:tc>
        <w:tc>
          <w:tcPr>
            <w:tcW w:w="82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1,994,729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(3,91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(3,910)</w:t>
            </w:r>
          </w:p>
        </w:tc>
        <w:tc>
          <w:tcPr>
            <w:tcW w:w="0" w:type="dxa"/>
            <w:vAlign w:val="bottom"/>
          </w:tcPr>
          <w:p>
            <w:pPr>
              <w:spacing w:after="0"/>
              <w:rPr>
                <w:sz w:val="1"/>
                <w:szCs w:val="1"/>
                <w:color w:val="auto"/>
              </w:rPr>
            </w:pPr>
          </w:p>
        </w:tc>
      </w:tr>
      <w:tr>
        <w:trPr>
          <w:trHeight w:val="171"/>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of tax</w:t>
            </w:r>
          </w:p>
        </w:tc>
        <w:tc>
          <w:tcPr>
            <w:tcW w:w="820" w:type="dxa"/>
            <w:vAlign w:val="bottom"/>
            <w:tcBorders>
              <w:right w:val="single" w:sz="8" w:color="auto"/>
            </w:tcBorders>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Repurchase and retirement of common stock</w:t>
            </w:r>
          </w:p>
        </w:tc>
        <w:tc>
          <w:tcPr>
            <w:tcW w:w="820" w:type="dxa"/>
            <w:vAlign w:val="bottom"/>
            <w:tcBorders>
              <w:right w:val="single" w:sz="8" w:color="auto"/>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right w:val="single" w:sz="8" w:color="CFF0FC"/>
            </w:tcBorders>
            <w:gridSpan w:val="3"/>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(4,779,310)</w:t>
            </w:r>
          </w:p>
        </w:tc>
        <w:tc>
          <w:tcPr>
            <w:tcW w:w="10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4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(44,988)</w:t>
            </w: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(44,988)</w:t>
            </w:r>
          </w:p>
        </w:tc>
        <w:tc>
          <w:tcPr>
            <w:tcW w:w="0" w:type="dxa"/>
            <w:vAlign w:val="bottom"/>
          </w:tcPr>
          <w:p>
            <w:pPr>
              <w:spacing w:after="0"/>
              <w:rPr>
                <w:sz w:val="1"/>
                <w:szCs w:val="1"/>
                <w:color w:val="auto"/>
              </w:rPr>
            </w:pPr>
          </w:p>
        </w:tc>
      </w:tr>
      <w:tr>
        <w:trPr>
          <w:trHeight w:val="148"/>
        </w:trPr>
        <w:tc>
          <w:tcPr>
            <w:tcW w:w="34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tcBorders>
              <w:right w:val="single" w:sz="8" w:color="auto"/>
            </w:tcBorders>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FF0FC"/>
            </w:tcBorders>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1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3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BALANCE—September 30, 2025</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vMerge w:val="restart"/>
          </w:tcPr>
          <w:p>
            <w:pPr>
              <w:spacing w:after="0"/>
              <w:rPr>
                <w:sz w:val="10"/>
                <w:szCs w:val="10"/>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vMerge w:val="restart"/>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vMerge w:val="restart"/>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647,182,603</w:t>
            </w:r>
          </w:p>
        </w:tc>
        <w:tc>
          <w:tcPr>
            <w:tcW w:w="1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3,449,</w:t>
            </w:r>
          </w:p>
        </w:tc>
        <w:tc>
          <w:tcPr>
            <w:tcW w:w="16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(1,319,1</w:t>
            </w:r>
          </w:p>
        </w:tc>
        <w:tc>
          <w:tcPr>
            <w:tcW w:w="16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(1,074)</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$ 2,129,822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gridSpan w:val="2"/>
          </w:tcPr>
          <w:p>
            <w:pPr>
              <w:ind w:left="33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continue"/>
          </w:tcPr>
          <w:p>
            <w:pPr>
              <w:spacing w:after="0"/>
              <w:rPr>
                <w:sz w:val="14"/>
                <w:szCs w:val="14"/>
                <w:color w:val="auto"/>
              </w:rPr>
            </w:pPr>
          </w:p>
        </w:tc>
        <w:tc>
          <w:tcPr>
            <w:tcW w:w="220" w:type="dxa"/>
            <w:vAlign w:val="bottom"/>
            <w:tcBorders>
              <w:right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-3256915</wp:posOffset>
            </wp:positionV>
            <wp:extent cx="684085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40855" cy="18859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-222250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-222250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-222250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-222250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-222250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-222250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-222250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-222250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-222250</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3" w:lineRule="exact"/>
        <w:rPr>
          <w:sz w:val="20"/>
          <w:szCs w:val="20"/>
          <w:color w:val="auto"/>
        </w:rPr>
      </w:pPr>
    </w:p>
    <w:p>
      <w:pPr>
        <w:ind w:firstLine="8"/>
        <w:spacing w:after="0"/>
        <w:tabs>
          <w:tab w:leader="none" w:pos="17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Issuance of common stock for business acquisition includes 10,356,096 of restricted shares of common stock subject to re-vesting requirements (see Note 17).</w:t>
      </w:r>
    </w:p>
    <w:p>
      <w:pPr>
        <w:spacing w:after="0" w:line="220" w:lineRule="exact"/>
        <w:rPr>
          <w:rFonts w:ascii="Times New Roman" w:cs="Times New Roman" w:eastAsia="Times New Roman" w:hAnsi="Times New Roman"/>
          <w:sz w:val="20"/>
          <w:szCs w:val="20"/>
          <w:color w:val="auto"/>
          <w:vertAlign w:val="superscript"/>
        </w:rPr>
      </w:pP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See notes to condensed consolidated financial statements.</w:t>
      </w:r>
    </w:p>
    <w:p>
      <w:pPr>
        <w:spacing w:after="0" w:line="2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81" w:right="719" w:bottom="1440" w:gutter="0" w:footer="0" w:header="0"/>
        </w:sectPr>
      </w:pPr>
    </w:p>
    <w:bookmarkStart w:id="8" w:name="page9"/>
    <w:bookmarkEnd w:id="8"/>
    <w:p>
      <w:pPr>
        <w:ind w:left="2900" w:right="2620" w:hanging="263"/>
        <w:spacing w:after="0" w:line="263" w:lineRule="auto"/>
        <w:tabs>
          <w:tab w:leader="none" w:pos="30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INTELLIGENT SOLUTIONS HOLDINGS INC. AND SUBSIDIARIES CONDENSED 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p>
      <w:pPr>
        <w:jc w:val="center"/>
        <w:ind w:left="8160"/>
        <w:spacing w:after="0"/>
        <w:rPr>
          <w:sz w:val="20"/>
          <w:szCs w:val="20"/>
          <w:color w:val="auto"/>
        </w:rPr>
      </w:pPr>
      <w:r>
        <w:rPr>
          <w:rFonts w:ascii="Times New Roman" w:cs="Times New Roman" w:eastAsia="Times New Roman" w:hAnsi="Times New Roman"/>
          <w:sz w:val="15"/>
          <w:szCs w:val="15"/>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83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24"/>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2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3"/>
                <w:szCs w:val="13"/>
                <w:color w:val="auto"/>
              </w:rPr>
            </w:pPr>
          </w:p>
        </w:tc>
      </w:tr>
      <w:tr>
        <w:trPr>
          <w:trHeight w:val="156"/>
        </w:trPr>
        <w:tc>
          <w:tcPr>
            <w:tcW w:w="83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28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66,435</w:t>
            </w:r>
          </w:p>
        </w:tc>
        <w:tc>
          <w:tcPr>
            <w:tcW w:w="260" w:type="dxa"/>
            <w:vAlign w:val="bottom"/>
          </w:tcPr>
          <w:p>
            <w:pPr>
              <w:spacing w:after="0"/>
              <w:rPr>
                <w:sz w:val="14"/>
                <w:szCs w:val="14"/>
                <w:color w:val="auto"/>
              </w:rPr>
            </w:pPr>
          </w:p>
        </w:tc>
        <w:tc>
          <w:tcPr>
            <w:tcW w:w="28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(6,432)</w:t>
            </w: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 activities: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Depreciation and amortization of software, equipment, and property</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42,120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44,376</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intangible assets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68,640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68,641</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17,883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(1,208)</w:t>
            </w:r>
          </w:p>
        </w:tc>
      </w:tr>
      <w:tr>
        <w:trPr>
          <w:trHeight w:val="162"/>
        </w:trPr>
        <w:tc>
          <w:tcPr>
            <w:tcW w:w="830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93,794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146,216</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fees</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1,562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1,405</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discount on debt</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117</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Change in fair value of derivative instruments</w:t>
            </w:r>
          </w:p>
        </w:tc>
        <w:tc>
          <w:tcPr>
            <w:tcW w:w="280" w:type="dxa"/>
            <w:vAlign w:val="bottom"/>
          </w:tcPr>
          <w:p>
            <w:pPr>
              <w:spacing w:after="0"/>
              <w:rPr>
                <w:sz w:val="14"/>
                <w:szCs w:val="14"/>
                <w:color w:val="auto"/>
              </w:rPr>
            </w:pPr>
          </w:p>
        </w:tc>
        <w:tc>
          <w:tcPr>
            <w:tcW w:w="12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(10,019)</w:t>
            </w: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8,441</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Noncash interest expense</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2,365</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1,491</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Accounts receivable—Net</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(5,051)</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(33,743)</w:t>
            </w: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Deferred contract costs</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2,026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(566)</w:t>
            </w: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Other current assets</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(2,422)</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(2,770)</w:t>
            </w: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Deferred contract costs—Non-current</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1,655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(1,902)</w:t>
            </w: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(3,199)</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139</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Operating lease assets</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1,789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1,855</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Income taxes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10,482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(30,733)</w:t>
            </w: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spacing w:after="0"/>
              <w:rPr>
                <w:sz w:val="14"/>
                <w:szCs w:val="14"/>
                <w:color w:val="auto"/>
              </w:rPr>
            </w:pPr>
          </w:p>
        </w:tc>
        <w:tc>
          <w:tcPr>
            <w:tcW w:w="12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(6,707)</w:t>
            </w: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3,813</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Accrued expenses</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(364)</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(6,720)</w:t>
            </w: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280" w:type="dxa"/>
            <w:vAlign w:val="bottom"/>
          </w:tcPr>
          <w:p>
            <w:pPr>
              <w:spacing w:after="0"/>
              <w:rPr>
                <w:sz w:val="14"/>
                <w:szCs w:val="14"/>
                <w:color w:val="auto"/>
              </w:rPr>
            </w:pPr>
          </w:p>
        </w:tc>
        <w:tc>
          <w:tcPr>
            <w:tcW w:w="12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(3,166)</w:t>
            </w: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(3,277)</w:t>
            </w: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Deferred revenues</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(17,875)</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10,073</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Other liabilities</w:t>
            </w:r>
          </w:p>
        </w:tc>
        <w:tc>
          <w:tcPr>
            <w:tcW w:w="280" w:type="dxa"/>
            <w:vAlign w:val="bottom"/>
          </w:tcPr>
          <w:p>
            <w:pPr>
              <w:spacing w:after="0"/>
              <w:rPr>
                <w:sz w:val="14"/>
                <w:szCs w:val="14"/>
                <w:color w:val="auto"/>
              </w:rPr>
            </w:pPr>
          </w:p>
        </w:tc>
        <w:tc>
          <w:tcPr>
            <w:tcW w:w="12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(594)</w:t>
            </w: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(2,901)</w:t>
            </w:r>
          </w:p>
        </w:tc>
      </w:tr>
      <w:tr>
        <w:trPr>
          <w:trHeight w:val="156"/>
        </w:trPr>
        <w:tc>
          <w:tcPr>
            <w:tcW w:w="8300" w:type="dxa"/>
            <w:vAlign w:val="bottom"/>
            <w:tcBorders>
              <w:bottom w:val="single" w:sz="8" w:color="CFF0FC"/>
            </w:tcBorders>
            <w:shd w:val="clear" w:color="auto" w:fill="CFF0FC"/>
          </w:tcPr>
          <w:p>
            <w:pPr>
              <w:ind w:left="620"/>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259,464</w:t>
            </w:r>
          </w:p>
        </w:tc>
        <w:tc>
          <w:tcPr>
            <w:tcW w:w="26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196,315</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3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Purchases of software, equipment, and property</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(52,966)</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(46,684)</w:t>
            </w: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Acquisition of EvolutionIQ, Inc., net of cash acquired</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(410,412)</w:t>
            </w:r>
          </w:p>
        </w:tc>
      </w:tr>
      <w:tr>
        <w:trPr>
          <w:trHeight w:val="20"/>
        </w:trPr>
        <w:tc>
          <w:tcPr>
            <w:tcW w:w="8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8300" w:type="dxa"/>
            <w:vAlign w:val="bottom"/>
            <w:shd w:val="clear" w:color="auto" w:fill="CFF0FC"/>
          </w:tcPr>
          <w:p>
            <w:pPr>
              <w:ind w:left="6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(52,966)</w:t>
            </w:r>
          </w:p>
        </w:tc>
        <w:tc>
          <w:tcPr>
            <w:tcW w:w="2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(457,096)</w:t>
            </w:r>
          </w:p>
        </w:tc>
      </w:tr>
      <w:tr>
        <w:trPr>
          <w:trHeight w:val="155"/>
        </w:trPr>
        <w:tc>
          <w:tcPr>
            <w:tcW w:w="83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9,314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3,603</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Proceeds from employee stock purchase plan</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4,338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5,044</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Payments for employee taxes withheld upon vesting of equity awards</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(18,631)</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(48,262)</w:t>
            </w: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280" w:type="dxa"/>
            <w:vAlign w:val="bottom"/>
          </w:tcPr>
          <w:p>
            <w:pPr>
              <w:spacing w:after="0"/>
              <w:rPr>
                <w:sz w:val="14"/>
                <w:szCs w:val="14"/>
                <w:color w:val="auto"/>
              </w:rPr>
            </w:pPr>
          </w:p>
        </w:tc>
        <w:tc>
          <w:tcPr>
            <w:tcW w:w="12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(100,166)</w:t>
            </w: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(212,485)</w:t>
            </w: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Proceeds from issuance of long-term debt</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225,000</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Payments of fees associated with the debt modification</w:t>
            </w:r>
          </w:p>
        </w:tc>
        <w:tc>
          <w:tcPr>
            <w:tcW w:w="280" w:type="dxa"/>
            <w:vAlign w:val="bottom"/>
          </w:tcPr>
          <w:p>
            <w:pPr>
              <w:spacing w:after="0"/>
              <w:rPr>
                <w:sz w:val="14"/>
                <w:szCs w:val="14"/>
                <w:color w:val="auto"/>
              </w:rPr>
            </w:pPr>
          </w:p>
        </w:tc>
        <w:tc>
          <w:tcPr>
            <w:tcW w:w="12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(6,565)</w:t>
            </w: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Principal payments on long-term debt</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(9,774)</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(7,508)</w:t>
            </w:r>
          </w:p>
        </w:tc>
      </w:tr>
      <w:tr>
        <w:trPr>
          <w:trHeight w:val="20"/>
        </w:trPr>
        <w:tc>
          <w:tcPr>
            <w:tcW w:w="8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8300" w:type="dxa"/>
            <w:vAlign w:val="bottom"/>
          </w:tcPr>
          <w:p>
            <w:pPr>
              <w:ind w:left="620"/>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280" w:type="dxa"/>
            <w:vAlign w:val="bottom"/>
          </w:tcPr>
          <w:p>
            <w:pPr>
              <w:spacing w:after="0"/>
              <w:rPr>
                <w:sz w:val="13"/>
                <w:szCs w:val="13"/>
                <w:color w:val="auto"/>
              </w:rPr>
            </w:pPr>
          </w:p>
        </w:tc>
        <w:tc>
          <w:tcPr>
            <w:tcW w:w="12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(114,919)</w:t>
            </w:r>
          </w:p>
        </w:tc>
        <w:tc>
          <w:tcPr>
            <w:tcW w:w="280" w:type="dxa"/>
            <w:vAlign w:val="bottom"/>
          </w:tcPr>
          <w:p>
            <w:pPr>
              <w:spacing w:after="0"/>
              <w:rPr>
                <w:sz w:val="13"/>
                <w:szCs w:val="13"/>
                <w:color w:val="auto"/>
              </w:rPr>
            </w:pPr>
          </w:p>
        </w:tc>
        <w:tc>
          <w:tcPr>
            <w:tcW w:w="11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(41,173)</w:t>
            </w:r>
          </w:p>
        </w:tc>
      </w:tr>
      <w:tr>
        <w:trPr>
          <w:trHeight w:val="155"/>
        </w:trPr>
        <w:tc>
          <w:tcPr>
            <w:tcW w:w="83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EFFECT OF EXCHANGE RATE CHANGES ON CASH AND CASH EQUIVALENTS</w:t>
            </w: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155</w:t>
            </w:r>
          </w:p>
        </w:tc>
        <w:tc>
          <w:tcPr>
            <w:tcW w:w="26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112</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3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CHANGE IN CASH AND CASH EQUIVALENTS</w:t>
            </w:r>
          </w:p>
        </w:tc>
        <w:tc>
          <w:tcPr>
            <w:tcW w:w="280" w:type="dxa"/>
            <w:vAlign w:val="bottom"/>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91,734</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(301,842)</w:t>
            </w:r>
          </w:p>
        </w:tc>
      </w:tr>
      <w:tr>
        <w:trPr>
          <w:trHeight w:val="162"/>
        </w:trPr>
        <w:tc>
          <w:tcPr>
            <w:tcW w:w="83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Beginning of period</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111,192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398,983</w:t>
            </w:r>
          </w:p>
        </w:tc>
        <w:tc>
          <w:tcPr>
            <w:tcW w:w="100" w:type="dxa"/>
            <w:vAlign w:val="bottom"/>
          </w:tcPr>
          <w:p>
            <w:pPr>
              <w:spacing w:after="0"/>
              <w:rPr>
                <w:sz w:val="14"/>
                <w:szCs w:val="14"/>
                <w:color w:val="auto"/>
              </w:rPr>
            </w:pPr>
          </w:p>
        </w:tc>
      </w:tr>
      <w:tr>
        <w:trPr>
          <w:trHeight w:val="196"/>
        </w:trPr>
        <w:tc>
          <w:tcPr>
            <w:tcW w:w="8300" w:type="dxa"/>
            <w:vAlign w:val="bottom"/>
            <w:tcBorders>
              <w:bottom w:val="single" w:sz="8" w:color="CFF0FC"/>
            </w:tcBorders>
            <w:shd w:val="clear" w:color="auto" w:fill="CFF0FC"/>
          </w:tcPr>
          <w:p>
            <w:pPr>
              <w:ind w:left="160"/>
              <w:spacing w:after="0" w:line="156" w:lineRule="exact"/>
              <w:rPr>
                <w:sz w:val="20"/>
                <w:szCs w:val="20"/>
                <w:color w:val="auto"/>
              </w:rPr>
            </w:pPr>
            <w:r>
              <w:rPr>
                <w:rFonts w:ascii="Times New Roman" w:cs="Times New Roman" w:eastAsia="Times New Roman" w:hAnsi="Times New Roman"/>
                <w:sz w:val="15"/>
                <w:szCs w:val="15"/>
                <w:color w:val="auto"/>
              </w:rPr>
              <w:t>End of period</w:t>
            </w:r>
          </w:p>
        </w:tc>
        <w:tc>
          <w:tcPr>
            <w:tcW w:w="28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202,926</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97,141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300" w:type="dxa"/>
            <w:vAlign w:val="bottom"/>
          </w:tcPr>
          <w:p>
            <w:pPr>
              <w:spacing w:after="0" w:line="143" w:lineRule="exact"/>
              <w:rPr>
                <w:sz w:val="20"/>
                <w:szCs w:val="20"/>
                <w:color w:val="auto"/>
              </w:rPr>
            </w:pPr>
            <w:r>
              <w:rPr>
                <w:rFonts w:ascii="Times New Roman" w:cs="Times New Roman" w:eastAsia="Times New Roman" w:hAnsi="Times New Roman"/>
                <w:sz w:val="15"/>
                <w:szCs w:val="15"/>
                <w:color w:val="auto"/>
              </w:rPr>
              <w:t>NONCASH INVESTING AND FINANCING ACTIVITIES:</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8300" w:type="dxa"/>
            <w:vAlign w:val="bottom"/>
            <w:tcBorders>
              <w:bottom w:val="single" w:sz="8" w:color="CFF0FC"/>
            </w:tcBorders>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Noncash purchases of software, equipment, and property</w:t>
            </w:r>
          </w:p>
        </w:tc>
        <w:tc>
          <w:tcPr>
            <w:tcW w:w="280" w:type="dxa"/>
            <w:vAlign w:val="bottom"/>
            <w:tcBorders>
              <w:bottom w:val="single" w:sz="8" w:color="auto"/>
            </w:tcBorders>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2,633</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300" w:type="dxa"/>
            <w:vAlign w:val="bottom"/>
          </w:tcPr>
          <w:p>
            <w:pPr>
              <w:ind w:left="160"/>
              <w:spacing w:after="0" w:line="143" w:lineRule="exact"/>
              <w:rPr>
                <w:sz w:val="20"/>
                <w:szCs w:val="20"/>
                <w:color w:val="auto"/>
              </w:rPr>
            </w:pPr>
            <w:r>
              <w:rPr>
                <w:rFonts w:ascii="Times New Roman" w:cs="Times New Roman" w:eastAsia="Times New Roman" w:hAnsi="Times New Roman"/>
                <w:sz w:val="15"/>
                <w:szCs w:val="15"/>
                <w:color w:val="auto"/>
              </w:rPr>
              <w:t>Stock issued related the acquisition of EvolutionIQ, Inc.</w:t>
            </w:r>
          </w:p>
        </w:tc>
        <w:tc>
          <w:tcPr>
            <w:tcW w:w="280" w:type="dxa"/>
            <w:vAlign w:val="bottom"/>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80"/>
              <w:spacing w:after="0" w:line="143"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250,441</w:t>
            </w:r>
          </w:p>
        </w:tc>
        <w:tc>
          <w:tcPr>
            <w:tcW w:w="100" w:type="dxa"/>
            <w:vAlign w:val="bottom"/>
          </w:tcPr>
          <w:p>
            <w:pPr>
              <w:spacing w:after="0"/>
              <w:rPr>
                <w:sz w:val="12"/>
                <w:szCs w:val="12"/>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300" w:type="dxa"/>
            <w:vAlign w:val="bottom"/>
            <w:shd w:val="clear" w:color="auto" w:fill="CFF0FC"/>
          </w:tcPr>
          <w:p>
            <w:pPr>
              <w:ind w:left="160"/>
              <w:spacing w:after="0" w:line="143" w:lineRule="exact"/>
              <w:rPr>
                <w:sz w:val="20"/>
                <w:szCs w:val="20"/>
                <w:color w:val="auto"/>
              </w:rPr>
            </w:pPr>
            <w:r>
              <w:rPr>
                <w:rFonts w:ascii="Times New Roman" w:cs="Times New Roman" w:eastAsia="Times New Roman" w:hAnsi="Times New Roman"/>
                <w:sz w:val="15"/>
                <w:szCs w:val="15"/>
                <w:color w:val="auto"/>
              </w:rPr>
              <w:t>Issuance of promissory note to minority investor of redeemable preferred securities</w:t>
            </w:r>
          </w:p>
        </w:tc>
        <w:tc>
          <w:tcPr>
            <w:tcW w:w="280" w:type="dxa"/>
            <w:vAlign w:val="bottom"/>
            <w:shd w:val="clear" w:color="auto" w:fill="CFF0FC"/>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FF0FC"/>
          </w:tcPr>
          <w:p>
            <w:pPr>
              <w:jc w:val="right"/>
              <w:ind w:right="280"/>
              <w:spacing w:after="0" w:line="143"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22,955</w:t>
            </w:r>
          </w:p>
        </w:tc>
        <w:tc>
          <w:tcPr>
            <w:tcW w:w="100" w:type="dxa"/>
            <w:vAlign w:val="bottom"/>
            <w:shd w:val="clear" w:color="auto" w:fill="CFF0FC"/>
          </w:tcPr>
          <w:p>
            <w:pPr>
              <w:spacing w:after="0"/>
              <w:rPr>
                <w:sz w:val="15"/>
                <w:szCs w:val="15"/>
                <w:color w:val="auto"/>
              </w:rPr>
            </w:pPr>
          </w:p>
        </w:tc>
      </w:tr>
      <w:tr>
        <w:trPr>
          <w:trHeight w:val="143"/>
        </w:trPr>
        <w:tc>
          <w:tcPr>
            <w:tcW w:w="8300" w:type="dxa"/>
            <w:vAlign w:val="bottom"/>
            <w:tcBorders>
              <w:top w:val="single" w:sz="8" w:color="CFF0FC"/>
            </w:tcBorders>
          </w:tcPr>
          <w:p>
            <w:pPr>
              <w:spacing w:after="0" w:line="143" w:lineRule="exact"/>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202"/>
        </w:trPr>
        <w:tc>
          <w:tcPr>
            <w:tcW w:w="8300" w:type="dxa"/>
            <w:vAlign w:val="bottom"/>
            <w:tcBorders>
              <w:bottom w:val="single" w:sz="8" w:color="CFF0FC"/>
            </w:tcBorders>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Cash paid for interest</w:t>
            </w:r>
          </w:p>
        </w:tc>
        <w:tc>
          <w:tcPr>
            <w:tcW w:w="280" w:type="dxa"/>
            <w:vAlign w:val="bottom"/>
            <w:tcBorders>
              <w:bottom w:val="single" w:sz="8" w:color="auto"/>
            </w:tcBorders>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57,637</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51,893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300" w:type="dxa"/>
            <w:vAlign w:val="bottom"/>
          </w:tcPr>
          <w:p>
            <w:pPr>
              <w:ind w:left="160"/>
              <w:spacing w:after="0" w:line="143" w:lineRule="exact"/>
              <w:rPr>
                <w:sz w:val="20"/>
                <w:szCs w:val="20"/>
                <w:color w:val="auto"/>
              </w:rPr>
            </w:pPr>
            <w:r>
              <w:rPr>
                <w:rFonts w:ascii="Times New Roman" w:cs="Times New Roman" w:eastAsia="Times New Roman" w:hAnsi="Times New Roman"/>
                <w:sz w:val="15"/>
                <w:szCs w:val="15"/>
                <w:color w:val="auto"/>
              </w:rPr>
              <w:t>Cash paid for income taxes—Net</w:t>
            </w:r>
          </w:p>
        </w:tc>
        <w:tc>
          <w:tcPr>
            <w:tcW w:w="280" w:type="dxa"/>
            <w:vAlign w:val="bottom"/>
            <w:tcBorders>
              <w:bottom w:val="single" w:sz="8" w:color="auto"/>
            </w:tcBorders>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9,142</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26,199</w:t>
            </w:r>
          </w:p>
        </w:tc>
        <w:tc>
          <w:tcPr>
            <w:tcW w:w="100" w:type="dxa"/>
            <w:vAlign w:val="bottom"/>
          </w:tcPr>
          <w:p>
            <w:pPr>
              <w:spacing w:after="0"/>
              <w:rPr>
                <w:sz w:val="12"/>
                <w:szCs w:val="12"/>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-2785110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-2356485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-1525270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-1302385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-873760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-856615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-642620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-624840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-385445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-367665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-153670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-136525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left="380" w:right="2600"/>
        <w:spacing w:after="0" w:line="268" w:lineRule="auto"/>
        <w:rPr>
          <w:sz w:val="20"/>
          <w:szCs w:val="20"/>
          <w:color w:val="auto"/>
        </w:rPr>
      </w:pPr>
      <w:r>
        <w:rPr>
          <w:rFonts w:ascii="Times New Roman" w:cs="Times New Roman" w:eastAsia="Times New Roman" w:hAnsi="Times New Roman"/>
          <w:sz w:val="18"/>
          <w:szCs w:val="18"/>
          <w:b w:val="1"/>
          <w:bCs w:val="1"/>
          <w:color w:val="auto"/>
        </w:rPr>
        <w:t>CCC INTELLIGENT SOLUTIONS HOLDINGS INC. NOTES TO CONDENSED CONSOLIDATED FINANCIAL STATEMENTS (Unaudited)</w:t>
      </w:r>
    </w:p>
    <w:p>
      <w:pPr>
        <w:spacing w:after="0" w:line="171" w:lineRule="exact"/>
        <w:rPr>
          <w:sz w:val="20"/>
          <w:szCs w:val="20"/>
          <w:color w:val="auto"/>
        </w:rPr>
      </w:pPr>
    </w:p>
    <w:p>
      <w:pPr>
        <w:ind w:left="512" w:hanging="512"/>
        <w:spacing w:after="0"/>
        <w:tabs>
          <w:tab w:leader="none" w:pos="51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left="512" w:right="200" w:hanging="3"/>
        <w:spacing w:after="0" w:line="289" w:lineRule="auto"/>
        <w:tabs>
          <w:tab w:leader="none" w:pos="91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Intelligent Solutions Holdings Inc. (the “Company”), a Delaware corporation, is a leading software as a service (“SaaS”) and artificial intelligence (“AI”) platform provider for the multi-trillion-dollar insurance economy powering operations for insurers, repairers, automakers, part suppliers, and more. CCC’s cloud technology connects businesses digitizing mission-critical workflows, commerce and customer experiences.</w:t>
      </w:r>
    </w:p>
    <w:p>
      <w:pPr>
        <w:spacing w:after="0" w:line="50" w:lineRule="exact"/>
        <w:rPr>
          <w:sz w:val="20"/>
          <w:szCs w:val="20"/>
          <w:color w:val="auto"/>
        </w:rPr>
      </w:pPr>
    </w:p>
    <w:p>
      <w:pPr>
        <w:ind w:left="512" w:right="540"/>
        <w:spacing w:after="0" w:line="282" w:lineRule="auto"/>
        <w:rPr>
          <w:sz w:val="20"/>
          <w:szCs w:val="20"/>
          <w:color w:val="auto"/>
        </w:rPr>
      </w:pPr>
      <w:r>
        <w:rPr>
          <w:rFonts w:ascii="Times New Roman" w:cs="Times New Roman" w:eastAsia="Times New Roman" w:hAnsi="Times New Roman"/>
          <w:sz w:val="18"/>
          <w:szCs w:val="18"/>
          <w:color w:val="auto"/>
        </w:rPr>
        <w:t>The Company’s cloud-based SaaS platform connects trading partners, facilitates commerce, and supports mission-critical, AI enabled digital workflows.</w:t>
      </w:r>
    </w:p>
    <w:p>
      <w:pPr>
        <w:spacing w:after="0" w:line="54" w:lineRule="exact"/>
        <w:rPr>
          <w:sz w:val="20"/>
          <w:szCs w:val="20"/>
          <w:color w:val="auto"/>
        </w:rPr>
      </w:pPr>
    </w:p>
    <w:p>
      <w:pPr>
        <w:ind w:left="512" w:right="120"/>
        <w:spacing w:after="0" w:line="282" w:lineRule="auto"/>
        <w:rPr>
          <w:sz w:val="20"/>
          <w:szCs w:val="20"/>
          <w:color w:val="auto"/>
        </w:rPr>
      </w:pPr>
      <w:r>
        <w:rPr>
          <w:rFonts w:ascii="Times New Roman" w:cs="Times New Roman" w:eastAsia="Times New Roman" w:hAnsi="Times New Roman"/>
          <w:sz w:val="18"/>
          <w:szCs w:val="18"/>
          <w:color w:val="auto"/>
        </w:rPr>
        <w:t>The Company is headquartered in Chicago, Illinois. The Company’s primary operations are in the United States (“U.S.”) and it also has operations in China.</w:t>
      </w:r>
    </w:p>
    <w:p>
      <w:pPr>
        <w:spacing w:after="0" w:line="158" w:lineRule="exact"/>
        <w:rPr>
          <w:sz w:val="20"/>
          <w:szCs w:val="20"/>
          <w:color w:val="auto"/>
        </w:rPr>
      </w:pPr>
    </w:p>
    <w:p>
      <w:pPr>
        <w:ind w:left="512" w:hanging="512"/>
        <w:spacing w:after="0"/>
        <w:tabs>
          <w:tab w:leader="none" w:pos="51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512" w:right="2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condensed consolidated balance sheets as of September 30, 2026 and December 31, 2025, the condensed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statements of operations and comprehensive income (loss) for the three and nine months ended September 30, 2026 and 2025, the condensed consolidated statements of mezzanine equity and stockholders’ equity for the three and nine months ended September 30, 2026 and 2025, and the condensed consolidated statements of cash flows for the nine months ended September 30, 2026 and 2025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w:t>
      </w:r>
    </w:p>
    <w:p>
      <w:pPr>
        <w:spacing w:after="0" w:line="78" w:lineRule="exact"/>
        <w:rPr>
          <w:rFonts w:ascii="Times New Roman" w:cs="Times New Roman" w:eastAsia="Times New Roman" w:hAnsi="Times New Roman"/>
          <w:sz w:val="18"/>
          <w:szCs w:val="18"/>
          <w:b w:val="1"/>
          <w:bCs w:val="1"/>
          <w:color w:val="auto"/>
        </w:rPr>
      </w:pPr>
    </w:p>
    <w:p>
      <w:pPr>
        <w:ind w:left="512" w:right="2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w:t>
      </w:r>
    </w:p>
    <w:p>
      <w:pPr>
        <w:spacing w:after="0" w:line="79" w:lineRule="exact"/>
        <w:rPr>
          <w:rFonts w:ascii="Times New Roman" w:cs="Times New Roman" w:eastAsia="Times New Roman" w:hAnsi="Times New Roman"/>
          <w:sz w:val="18"/>
          <w:szCs w:val="18"/>
          <w:b w:val="1"/>
          <w:bCs w:val="1"/>
          <w:color w:val="auto"/>
        </w:rPr>
      </w:pPr>
    </w:p>
    <w:p>
      <w:pPr>
        <w:ind w:left="512"/>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the Company’s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2025.</w:t>
      </w:r>
    </w:p>
    <w:p>
      <w:pPr>
        <w:spacing w:after="0" w:line="59" w:lineRule="exact"/>
        <w:rPr>
          <w:rFonts w:ascii="Times New Roman" w:cs="Times New Roman" w:eastAsia="Times New Roman" w:hAnsi="Times New Roman"/>
          <w:sz w:val="18"/>
          <w:szCs w:val="18"/>
          <w:b w:val="1"/>
          <w:bCs w:val="1"/>
          <w:color w:val="auto"/>
        </w:rPr>
      </w:pPr>
    </w:p>
    <w:p>
      <w:pPr>
        <w:ind w:left="51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significant accounting policies are described in Note 2, Summary of Significant Accounting Policies, to the consolidated financial statements included in the Company’s Annual Report on Form 10-K for the year ended December 31, 2025. There have been no material changes to the significant accounting policies since December 31, 2025.</w:t>
      </w:r>
    </w:p>
    <w:p>
      <w:pPr>
        <w:spacing w:after="0" w:line="63" w:lineRule="exact"/>
        <w:rPr>
          <w:rFonts w:ascii="Times New Roman" w:cs="Times New Roman" w:eastAsia="Times New Roman" w:hAnsi="Times New Roman"/>
          <w:sz w:val="18"/>
          <w:szCs w:val="18"/>
          <w:b w:val="1"/>
          <w:bCs w:val="1"/>
          <w:color w:val="auto"/>
        </w:rPr>
      </w:pPr>
    </w:p>
    <w:p>
      <w:pPr>
        <w:ind w:left="512" w:right="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Accounting</w:t>
      </w:r>
      <w:r>
        <w:rPr>
          <w:rFonts w:ascii="Times New Roman" w:cs="Times New Roman" w:eastAsia="Times New Roman" w:hAnsi="Times New Roman"/>
          <w:sz w:val="18"/>
          <w:szCs w:val="18"/>
          <w:color w:val="auto"/>
        </w:rPr>
        <w:t>—The accompanying condensed consolidated financial statements are prepared in accordance with GAAP and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of the Company and its wholly-owned and majority-owned subsidiaries. All intercompany balances and transactions have been eliminated in consolidation. The condensed consolidated financial statements include 100% of the accounts of wholly-owned and majority-owned subsidiaries. The ownership interest of the minority investor as of December 31, 2024 is recorded as a non-controlling interest in CCCIS Cayman Holdings Limited (“CCC Cayman”), the parent of the Company’s China operations.</w:t>
      </w:r>
    </w:p>
    <w:p>
      <w:pPr>
        <w:spacing w:after="0" w:line="18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81" w:right="379" w:bottom="1440" w:gutter="0" w:footer="0" w:header="0"/>
        </w:sectPr>
      </w:pPr>
    </w:p>
    <w:bookmarkStart w:id="10" w:name="page11"/>
    <w:bookmarkEnd w:id="10"/>
    <w:p>
      <w:pPr>
        <w:ind w:left="512"/>
        <w:spacing w:after="0" w:line="255"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the condensed consolidated financial statements requires management to make estimates and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affect the reported amounts, and the disclosures of contingent amounts, in the Company’s condensed consolidated financial statements and the accompanying notes. The Company bases its estimates on historical experience and various other assumptions that it believes to be reasonable under the circumstances. Although the Company regularly assesses its estimates, actual results could differ from management’s estimates if past experience or other assumptions are not substantially accurate. Changes in estimates are recorded in the period in which they become known. Significant estimates in these condensed consolidated financial statements include the estimation of contract transaction prices, the determination of the amortization period for contract assets, the valuation of goodwill and intangible assets, and the estimates and assumptions associated with stock incentive plans.</w:t>
      </w:r>
    </w:p>
    <w:p>
      <w:pPr>
        <w:spacing w:after="0" w:line="77" w:lineRule="exact"/>
        <w:rPr>
          <w:sz w:val="20"/>
          <w:szCs w:val="20"/>
          <w:color w:val="auto"/>
        </w:rPr>
      </w:pPr>
    </w:p>
    <w:p>
      <w:pPr>
        <w:ind w:left="512" w:right="60"/>
        <w:spacing w:after="0" w:line="256"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w:t>
      </w:r>
      <w:r>
        <w:rPr>
          <w:rFonts w:ascii="Times New Roman" w:cs="Times New Roman" w:eastAsia="Times New Roman" w:hAnsi="Times New Roman"/>
          <w:sz w:val="18"/>
          <w:szCs w:val="18"/>
          <w:color w:val="auto"/>
        </w:rPr>
        <w:t>—In September 2025, the Financial Accounting Standards Board (“FASB”) issued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Standards Update 2025-06, </w:t>
      </w:r>
      <w:r>
        <w:rPr>
          <w:rFonts w:ascii="Times New Roman" w:cs="Times New Roman" w:eastAsia="Times New Roman" w:hAnsi="Times New Roman"/>
          <w:sz w:val="18"/>
          <w:szCs w:val="18"/>
          <w:i w:val="1"/>
          <w:iCs w:val="1"/>
          <w:color w:val="auto"/>
        </w:rPr>
        <w:t>Intangibles-Goodwill and Other - Internal-Use Software (Subtopic 350-40): Targeted Improvements to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Internal-Use Software. </w:t>
      </w:r>
      <w:r>
        <w:rPr>
          <w:rFonts w:ascii="Times New Roman" w:cs="Times New Roman" w:eastAsia="Times New Roman" w:hAnsi="Times New Roman"/>
          <w:sz w:val="18"/>
          <w:szCs w:val="18"/>
          <w:color w:val="auto"/>
        </w:rPr>
        <w:t>Among other things, this update removes the accounting consideration of software project development stages,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an entity to start capitalizing software costs when management has authorized and committed to funding the software project, and it is probable that the project will be completed and used to perform its intended function. The guidance can be applied on a prospective basis, modified basis, or retrospective basis. The amendments in this update are effective for fiscal years beginning after December 15, 2027, and interim periods in those fiscal years. The Company is evaluating the impact of the adoption of ASU 2025-06 to its consolidated financial statements.</w:t>
      </w:r>
    </w:p>
    <w:p>
      <w:pPr>
        <w:spacing w:after="0" w:line="77" w:lineRule="exact"/>
        <w:rPr>
          <w:sz w:val="20"/>
          <w:szCs w:val="20"/>
          <w:color w:val="auto"/>
        </w:rPr>
      </w:pPr>
    </w:p>
    <w:p>
      <w:pPr>
        <w:ind w:left="512" w:right="1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update requires new disclosures aimed at enhancing transparency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by requiring disaggregation of specific expense captions within the statement of operations. Under the update, entities are required to disclose a breakdown of certain expense categories, such as: employee compensation; depreciation; amortization, and other material components. This ASU is effective for fiscal years beginning after December 15, 2026, with early adoption permitted. The Company is evaluating the disclosure requirements related to this update.</w:t>
      </w:r>
    </w:p>
    <w:p>
      <w:pPr>
        <w:spacing w:after="0" w:line="76" w:lineRule="exact"/>
        <w:rPr>
          <w:sz w:val="20"/>
          <w:szCs w:val="20"/>
          <w:color w:val="auto"/>
        </w:rPr>
      </w:pPr>
    </w:p>
    <w:p>
      <w:pPr>
        <w:ind w:left="512" w:right="700"/>
        <w:spacing w:after="0" w:line="282" w:lineRule="auto"/>
        <w:rPr>
          <w:sz w:val="20"/>
          <w:szCs w:val="20"/>
          <w:color w:val="auto"/>
        </w:rPr>
      </w:pPr>
      <w:r>
        <w:rPr>
          <w:rFonts w:ascii="Times New Roman" w:cs="Times New Roman" w:eastAsia="Times New Roman" w:hAnsi="Times New Roman"/>
          <w:sz w:val="18"/>
          <w:szCs w:val="18"/>
          <w:color w:val="auto"/>
        </w:rPr>
        <w:t>There have been no other recent accounting pronouncements or changes in accounting pronouncements that are of significance or potential significance to us.</w:t>
      </w:r>
    </w:p>
    <w:p>
      <w:pPr>
        <w:spacing w:after="0" w:line="158" w:lineRule="exact"/>
        <w:rPr>
          <w:sz w:val="20"/>
          <w:szCs w:val="20"/>
          <w:color w:val="auto"/>
        </w:rPr>
      </w:pPr>
    </w:p>
    <w:p>
      <w:pPr>
        <w:ind w:left="512" w:right="8560" w:hanging="512"/>
        <w:spacing w:after="0" w:line="400" w:lineRule="auto"/>
        <w:tabs>
          <w:tab w:leader="none" w:pos="512"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ACQUISITION </w:t>
      </w:r>
      <w:r>
        <w:rPr>
          <w:rFonts w:ascii="Times New Roman" w:cs="Times New Roman" w:eastAsia="Times New Roman" w:hAnsi="Times New Roman"/>
          <w:sz w:val="17"/>
          <w:szCs w:val="17"/>
          <w:i w:val="1"/>
          <w:iCs w:val="1"/>
          <w:color w:val="auto"/>
        </w:rPr>
        <w:t>EvolutionIQ</w:t>
      </w:r>
    </w:p>
    <w:p>
      <w:pPr>
        <w:jc w:val="both"/>
        <w:ind w:left="512" w:right="160"/>
        <w:spacing w:after="0" w:line="28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January 6, 2025, the Company completed its acquisition of EvolutionIQ, Inc. (“EvolutionIQ”), a privately held provider of AI-driven solutions for disability and injury claims management, for total consideration of $674.3 million. Refer to Note 3, “Business Acquisition,” in the Company’s Annual Report on Form 10-K for the year ended December 31, 2025 for additional details, including the final purchase price allocation.</w:t>
      </w:r>
    </w:p>
    <w:p>
      <w:pPr>
        <w:spacing w:after="0" w:line="49" w:lineRule="exact"/>
        <w:rPr>
          <w:rFonts w:ascii="Times New Roman" w:cs="Times New Roman" w:eastAsia="Times New Roman" w:hAnsi="Times New Roman"/>
          <w:sz w:val="17"/>
          <w:szCs w:val="17"/>
          <w:b w:val="1"/>
          <w:bCs w:val="1"/>
          <w:color w:val="auto"/>
        </w:rPr>
      </w:pPr>
    </w:p>
    <w:p>
      <w:pPr>
        <w:ind w:left="512" w:right="1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acquisition was accounted for as a business combination in accordance with Accounting Standard Codification 805. The purchase price allocation was finalized during the quarter ended December 31, 2025. The transaction resulted in the recognition of $537.8 million of goodwill and $167.9 million of identifiable intangible assets (consisting of acquired technology, customer relationships, and a trademark), which remain unchanged from year-end 2025. Goodwill and intangible assets are not deductible for tax purposes.</w:t>
      </w:r>
    </w:p>
    <w:p>
      <w:pPr>
        <w:spacing w:after="0" w:line="71" w:lineRule="exact"/>
        <w:rPr>
          <w:rFonts w:ascii="Times New Roman" w:cs="Times New Roman" w:eastAsia="Times New Roman" w:hAnsi="Times New Roman"/>
          <w:sz w:val="17"/>
          <w:szCs w:val="17"/>
          <w:b w:val="1"/>
          <w:bCs w:val="1"/>
          <w:color w:val="auto"/>
        </w:rPr>
      </w:pPr>
    </w:p>
    <w:p>
      <w:pPr>
        <w:ind w:left="512" w:right="18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accordance with the acquisition agreement, $8.9 million of the purchase price was held in escrow for post-closing adjustments and indemnity holdbacks. During 2025, the purchase price adjustment escrow was settled, with $2.6 million paid to the sellers and $4.7 million returned to the Company (reducing the purchase consideration and related goodwill). As of September 30, 2026, the remaining escrow for general indemnity was $1.6 million, unchanged from December 31, 2025, and subject to release within 36 months of the closing date, pending any indemnity claims. Additionally, during the first quarter of 2026, the $3.2 million option holdback related to certain unvested EvolutionIQ stock options was settled, with the Company retaining $3.1 million in cash and returning $0.1 million to the selling shareholders, consistent with the terms of the acquisition agreement.</w:t>
      </w:r>
    </w:p>
    <w:p>
      <w:pPr>
        <w:spacing w:after="0" w:line="80" w:lineRule="exact"/>
        <w:rPr>
          <w:rFonts w:ascii="Times New Roman" w:cs="Times New Roman" w:eastAsia="Times New Roman" w:hAnsi="Times New Roman"/>
          <w:sz w:val="17"/>
          <w:szCs w:val="17"/>
          <w:b w:val="1"/>
          <w:bCs w:val="1"/>
          <w:color w:val="auto"/>
        </w:rPr>
      </w:pPr>
    </w:p>
    <w:p>
      <w:pPr>
        <w:ind w:left="51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 business combinations were completed during the three and nine months ended September 30, 2026.</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89" w:right="359" w:bottom="1440" w:gutter="0" w:footer="0" w:header="0"/>
        </w:sectPr>
      </w:pPr>
    </w:p>
    <w:bookmarkStart w:id="11" w:name="page12"/>
    <w:bookmarkEnd w:id="11"/>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9" w:lineRule="exact"/>
        <w:rPr>
          <w:rFonts w:ascii="Times New Roman" w:cs="Times New Roman" w:eastAsia="Times New Roman" w:hAnsi="Times New Roman"/>
          <w:sz w:val="18"/>
          <w:szCs w:val="18"/>
          <w:b w:val="1"/>
          <w:bCs w:val="1"/>
          <w:color w:val="auto"/>
        </w:rPr>
      </w:pPr>
    </w:p>
    <w:p>
      <w:pPr>
        <w:ind w:left="520" w:right="20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Disaggregation of Revenue</w:t>
      </w:r>
      <w:r>
        <w:rPr>
          <w:rFonts w:ascii="Times New Roman" w:cs="Times New Roman" w:eastAsia="Times New Roman" w:hAnsi="Times New Roman"/>
          <w:sz w:val="18"/>
          <w:szCs w:val="18"/>
          <w:color w:val="auto"/>
        </w:rPr>
        <w:t>—The Company provides disaggregation of revenue based on type of service as it believes these categories best depict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the nature, amount, timing and uncertainty of revenue and cash flows are affected by economic factors.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summarizes revenue by type of service for the three and nine months ended September 30, 2026 and 2025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30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29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9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060" w:type="dxa"/>
            <w:vAlign w:val="bottom"/>
            <w:shd w:val="clear" w:color="auto" w:fill="CFF0FC"/>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281,466</w:t>
            </w:r>
          </w:p>
        </w:tc>
        <w:tc>
          <w:tcPr>
            <w:tcW w:w="136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256,656</w:t>
            </w:r>
          </w:p>
        </w:tc>
        <w:tc>
          <w:tcPr>
            <w:tcW w:w="6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825,571</w:t>
            </w:r>
          </w:p>
        </w:tc>
        <w:tc>
          <w:tcPr>
            <w:tcW w:w="8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749,771</w:t>
            </w:r>
          </w:p>
        </w:tc>
        <w:tc>
          <w:tcPr>
            <w:tcW w:w="100" w:type="dxa"/>
            <w:vAlign w:val="bottom"/>
            <w:shd w:val="clear" w:color="auto" w:fill="CFF0FC"/>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3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35,727</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29,365</w:t>
            </w:r>
          </w:p>
        </w:tc>
        <w:tc>
          <w:tcPr>
            <w:tcW w:w="100" w:type="dxa"/>
            <w:vAlign w:val="bottom"/>
          </w:tcPr>
          <w:p>
            <w:pPr>
              <w:spacing w:after="0"/>
              <w:rPr>
                <w:sz w:val="18"/>
                <w:szCs w:val="18"/>
                <w:color w:val="auto"/>
              </w:rPr>
            </w:pPr>
          </w:p>
        </w:tc>
      </w:tr>
      <w:tr>
        <w:trPr>
          <w:trHeight w:val="230"/>
        </w:trPr>
        <w:tc>
          <w:tcPr>
            <w:tcW w:w="2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shd w:val="clear" w:color="auto" w:fill="CFF0FC"/>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294,093</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267,120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861,298</w:t>
            </w:r>
          </w:p>
        </w:tc>
        <w:tc>
          <w:tcPr>
            <w:tcW w:w="8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779,136</w:t>
            </w:r>
          </w:p>
        </w:tc>
        <w:tc>
          <w:tcPr>
            <w:tcW w:w="100" w:type="dxa"/>
            <w:vAlign w:val="bottom"/>
            <w:shd w:val="clear" w:color="auto" w:fill="CFF0FC"/>
          </w:tcPr>
          <w:p>
            <w:pPr>
              <w:spacing w:after="0"/>
              <w:rPr>
                <w:sz w:val="19"/>
                <w:szCs w:val="19"/>
                <w:color w:val="auto"/>
              </w:rPr>
            </w:pPr>
          </w:p>
        </w:tc>
      </w:tr>
      <w:tr>
        <w:trPr>
          <w:trHeight w:val="20"/>
        </w:trPr>
        <w:tc>
          <w:tcPr>
            <w:tcW w:w="29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left="520" w:right="60"/>
        <w:spacing w:after="0" w:line="257" w:lineRule="auto"/>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r>
        <w:rPr>
          <w:rFonts w:ascii="Times New Roman" w:cs="Times New Roman" w:eastAsia="Times New Roman" w:hAnsi="Times New Roman"/>
          <w:sz w:val="18"/>
          <w:szCs w:val="18"/>
          <w:color w:val="auto"/>
        </w:rPr>
        <w:t>—Remaining performance obligations represent contracted revenue that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yet been recognized, which includes deferred revenue and amounts that will be invoiced and recognized as revenue in future periods. As of September 30, 2026, approximately $1,808 million of revenue is expected to be recognized from remaining performance obligations in the amount of approximately $806 million during the following twelve months, and approximately $1,002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w:t>
      </w:r>
    </w:p>
    <w:p>
      <w:pPr>
        <w:spacing w:after="0" w:line="74" w:lineRule="exact"/>
        <w:rPr>
          <w:sz w:val="20"/>
          <w:szCs w:val="20"/>
          <w:color w:val="auto"/>
        </w:rPr>
      </w:pPr>
    </w:p>
    <w:p>
      <w:pPr>
        <w:jc w:val="both"/>
        <w:ind w:left="520" w:right="40"/>
        <w:spacing w:after="0" w:line="258" w:lineRule="auto"/>
        <w:rPr>
          <w:sz w:val="20"/>
          <w:szCs w:val="20"/>
          <w:color w:val="auto"/>
        </w:rPr>
      </w:pPr>
      <w:r>
        <w:rPr>
          <w:rFonts w:ascii="Times New Roman" w:cs="Times New Roman" w:eastAsia="Times New Roman" w:hAnsi="Times New Roman"/>
          <w:sz w:val="18"/>
          <w:szCs w:val="18"/>
          <w:i w:val="1"/>
          <w:iCs w:val="1"/>
          <w:color w:val="auto"/>
        </w:rPr>
        <w:t>Deferred Revenue</w:t>
      </w:r>
      <w:r>
        <w:rPr>
          <w:rFonts w:ascii="Times New Roman" w:cs="Times New Roman" w:eastAsia="Times New Roman" w:hAnsi="Times New Roman"/>
          <w:sz w:val="18"/>
          <w:szCs w:val="18"/>
          <w:color w:val="auto"/>
        </w:rPr>
        <w:t>—Revenue recognized for the three months ended September 30, 2026 from amounts in deferred revenue as of June 30, 2026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$57.9 million. Revenue recognized for the three months ended September 30, 2025 from amounts in deferred revenue as of June 30, 2025 was $54.9 million. Revenue recognized for the nine months ended September 30, 2026 from amounts in deferred revenue as of December 31, 2025 was $71.7 million. Revenue recognized for the nine months ended September 30, 2025 from amounts in deferred revenue as of December 31, 2024 was $43.6 million.</w:t>
      </w:r>
    </w:p>
    <w:p>
      <w:pPr>
        <w:spacing w:after="0" w:line="75" w:lineRule="exact"/>
        <w:rPr>
          <w:sz w:val="20"/>
          <w:szCs w:val="20"/>
          <w:color w:val="auto"/>
        </w:rPr>
      </w:pPr>
    </w:p>
    <w:p>
      <w:pPr>
        <w:ind w:left="520" w:right="520"/>
        <w:spacing w:after="0" w:line="262" w:lineRule="auto"/>
        <w:rPr>
          <w:sz w:val="20"/>
          <w:szCs w:val="20"/>
          <w:color w:val="auto"/>
        </w:rPr>
      </w:pPr>
      <w:r>
        <w:rPr>
          <w:rFonts w:ascii="Times New Roman" w:cs="Times New Roman" w:eastAsia="Times New Roman" w:hAnsi="Times New Roman"/>
          <w:sz w:val="18"/>
          <w:szCs w:val="18"/>
          <w:i w:val="1"/>
          <w:iCs w:val="1"/>
          <w:color w:val="auto"/>
        </w:rPr>
        <w:t>Contract Assets and Liabilities</w:t>
      </w:r>
      <w:r>
        <w:rPr>
          <w:rFonts w:ascii="Times New Roman" w:cs="Times New Roman" w:eastAsia="Times New Roman" w:hAnsi="Times New Roman"/>
          <w:sz w:val="18"/>
          <w:szCs w:val="18"/>
          <w:color w:val="auto"/>
        </w:rPr>
        <w:t>—The opening and closing balances of the Company’s receivables,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are as follows (in thousands):</w:t>
      </w:r>
    </w:p>
    <w:tbl>
      <w:tblPr>
        <w:tblLayout w:type="fixed"/>
        <w:tblInd w:w="580" w:type="dxa"/>
        <w:tblCellMar>
          <w:top w:w="0" w:type="dxa"/>
          <w:left w:w="0" w:type="dxa"/>
          <w:bottom w:w="0" w:type="dxa"/>
          <w:right w:w="0" w:type="dxa"/>
        </w:tblCellMar>
      </w:tblPr>
      <w:tr>
        <w:trPr>
          <w:trHeight w:val="194"/>
        </w:trPr>
        <w:tc>
          <w:tcPr>
            <w:tcW w:w="5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90"/>
              <w:spacing w:after="0" w:line="195"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receivables—Net of allowances</w:t>
            </w: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142,078</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137,056</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22,479</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(accounts receivable, non-current)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25,532</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54,917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72,793</w:t>
            </w:r>
          </w:p>
        </w:tc>
        <w:tc>
          <w:tcPr>
            <w:tcW w:w="100" w:type="dxa"/>
            <w:vAlign w:val="bottom"/>
            <w:shd w:val="clear" w:color="auto" w:fill="CFF0FC"/>
          </w:tcPr>
          <w:p>
            <w:pPr>
              <w:spacing w:after="0"/>
              <w:rPr>
                <w:sz w:val="18"/>
                <w:szCs w:val="18"/>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(deferred revenues, non-current)</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119" w:lineRule="exact"/>
        <w:rPr>
          <w:rFonts w:ascii="Times New Roman" w:cs="Times New Roman" w:eastAsia="Times New Roman" w:hAnsi="Times New Roman"/>
          <w:sz w:val="18"/>
          <w:szCs w:val="18"/>
          <w:b w:val="1"/>
          <w:bCs w:val="1"/>
          <w:color w:val="auto"/>
        </w:rPr>
      </w:pPr>
    </w:p>
    <w:p>
      <w:pPr>
        <w:ind w:left="520"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—In February 2025, the Company entered into three interest rate swap agreements to reduce its exposure to variability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cash flows resulting from interest rate risk related to its floating rate long-term debt (see Note 14). The fair value of the interest rate swap agreements was estimated using inputs that were observable or that could be corroborated by observable market data and therefore was classified within Level 2 of the fair value hierarchy as of September 30, 2026.</w:t>
      </w:r>
    </w:p>
    <w:p>
      <w:pPr>
        <w:spacing w:after="0" w:line="73" w:lineRule="exact"/>
        <w:rPr>
          <w:rFonts w:ascii="Times New Roman" w:cs="Times New Roman" w:eastAsia="Times New Roman" w:hAnsi="Times New Roman"/>
          <w:sz w:val="18"/>
          <w:szCs w:val="18"/>
          <w:b w:val="1"/>
          <w:bCs w:val="1"/>
          <w:color w:val="auto"/>
        </w:rPr>
      </w:pPr>
    </w:p>
    <w:p>
      <w:pPr>
        <w:ind w:left="52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does not designate its interest rate swap agreements as hedging instruments and records the changes in fair value within other income (expense)-net on the condensed consolidated statements of operations and comprehensive income (loss). As of September 30, 2026, the Company's interest rate swap agreements were in asset positions, with a total fair value of $2.6 million recorded within other current assets in the accompanying condensed consolidated balance sheet as of September 30,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The following table presents the fair value of the assets measured at fair value on a recurring basis at September 30, 2026 (in thousands):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8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8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-25400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fair value of the liabilities measured at fair value on a recurring basis at December 31, 2025 (in thousands):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ind w:left="520" w:right="240"/>
        <w:spacing w:after="0" w:line="262" w:lineRule="auto"/>
        <w:rPr>
          <w:sz w:val="20"/>
          <w:szCs w:val="20"/>
          <w:color w:val="auto"/>
        </w:rPr>
      </w:pPr>
      <w:r>
        <w:rPr>
          <w:rFonts w:ascii="Times New Roman" w:cs="Times New Roman" w:eastAsia="Times New Roman" w:hAnsi="Times New Roman"/>
          <w:sz w:val="18"/>
          <w:szCs w:val="18"/>
          <w:b w:val="1"/>
          <w:bCs w:val="1"/>
          <w:color w:val="auto"/>
        </w:rPr>
        <w:t>Assets and Liabilities Measured at Fair Value on a Nonrecurring Basis</w:t>
      </w:r>
      <w:r>
        <w:rPr>
          <w:rFonts w:ascii="Times New Roman" w:cs="Times New Roman" w:eastAsia="Times New Roman" w:hAnsi="Times New Roman"/>
          <w:sz w:val="18"/>
          <w:szCs w:val="18"/>
          <w:color w:val="auto"/>
        </w:rPr>
        <w:t>—The Company has assets that under certain conditions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w:t>
      </w:r>
    </w:p>
    <w:p>
      <w:pPr>
        <w:spacing w:after="0" w:line="72" w:lineRule="exact"/>
        <w:rPr>
          <w:sz w:val="20"/>
          <w:szCs w:val="20"/>
          <w:color w:val="auto"/>
        </w:rPr>
      </w:pPr>
    </w:p>
    <w:p>
      <w:pPr>
        <w:ind w:left="520" w:right="340"/>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impairment charges related to these assets during the three and nine months ended September 30, 2026 and 2025.</w:t>
      </w:r>
    </w:p>
    <w:p>
      <w:pPr>
        <w:spacing w:after="0" w:line="50" w:lineRule="exact"/>
        <w:rPr>
          <w:sz w:val="20"/>
          <w:szCs w:val="20"/>
          <w:color w:val="auto"/>
        </w:rPr>
      </w:pPr>
    </w:p>
    <w:p>
      <w:pPr>
        <w:ind w:left="520" w:right="60"/>
        <w:spacing w:after="0" w:line="263" w:lineRule="auto"/>
        <w:rPr>
          <w:sz w:val="20"/>
          <w:szCs w:val="20"/>
          <w:color w:val="auto"/>
        </w:rPr>
      </w:pPr>
      <w:r>
        <w:rPr>
          <w:rFonts w:ascii="Times New Roman" w:cs="Times New Roman" w:eastAsia="Times New Roman" w:hAnsi="Times New Roman"/>
          <w:sz w:val="18"/>
          <w:szCs w:val="18"/>
          <w:b w:val="1"/>
          <w:bCs w:val="1"/>
          <w:color w:val="auto"/>
        </w:rPr>
        <w:t>Fair Value of Other Financial Instruments</w:t>
      </w:r>
      <w:r>
        <w:rPr>
          <w:rFonts w:ascii="Times New Roman" w:cs="Times New Roman" w:eastAsia="Times New Roman" w:hAnsi="Times New Roman"/>
          <w:sz w:val="18"/>
          <w:szCs w:val="18"/>
          <w:color w:val="auto"/>
        </w:rPr>
        <w:t>—The following table presents the carrying amounts, net of debt discount, and estimated fair values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financial instruments that are not recorded at fair value on the condensed consolidated balance sheets (in thousands):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35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including current maturities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1,280,303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1,276,411</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1,289,968</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1,294,220</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left="520" w:right="280"/>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spacing w:after="0" w:line="17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recognized an income tax provision of $9.7 million and $15.4 million for the three months ended September 30, 2026 and 2025, respectively. The income tax provision for the three months ended September 30, 2026 was primarily due to the Company’s pre-tax book income, as well as the tax impact related to stock-based compensation expense, partially offset by the tax impact related to estimated research and development credits. The income tax provision for the three months ended September 30, 2025 was primarily due to the Company's pre-tax book income, as well as the tax impact related to stock-based compensation expense, partially offset by the tax impact related to estimated research and development credits.</w:t>
      </w:r>
    </w:p>
    <w:p>
      <w:pPr>
        <w:spacing w:after="0" w:line="79" w:lineRule="exact"/>
        <w:rPr>
          <w:rFonts w:ascii="Times New Roman" w:cs="Times New Roman" w:eastAsia="Times New Roman" w:hAnsi="Times New Roman"/>
          <w:sz w:val="18"/>
          <w:szCs w:val="18"/>
          <w:b w:val="1"/>
          <w:bCs w:val="1"/>
          <w:color w:val="auto"/>
        </w:rPr>
      </w:pPr>
    </w:p>
    <w:p>
      <w:pPr>
        <w:ind w:left="52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recognized an income tax provision of $37.5 million and an income tax benefit of $5.1 million for the nine months ended September 30, 2026 and 2025, respectively. The income tax provision for the nine months ended September 30, 2026 was primarily due to the Company’s pre-tax book income, as well as the tax impact related to stock-based compensation expense. The income tax benefit for the nine months ended September 30, 2025 was primarily due to the Company's pre-tax book loss, as well as the tax rate impact of non-deductible stock-based compensation.</w:t>
      </w:r>
    </w:p>
    <w:p>
      <w:pPr>
        <w:spacing w:after="0" w:line="75" w:lineRule="exact"/>
        <w:rPr>
          <w:rFonts w:ascii="Times New Roman" w:cs="Times New Roman" w:eastAsia="Times New Roman" w:hAnsi="Times New Roman"/>
          <w:sz w:val="18"/>
          <w:szCs w:val="18"/>
          <w:b w:val="1"/>
          <w:bCs w:val="1"/>
          <w:color w:val="auto"/>
        </w:rPr>
      </w:pPr>
    </w:p>
    <w:p>
      <w:pPr>
        <w:ind w:left="52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made income tax payments of $7.3 million and $0.3 million during the three months ended September 30, 2026 and 2025, respectively. The Company received negligible refunds during the three months ended September 30, 2026 and refunds of $0.7 million from various states during the three months ended September 30, 2025.</w:t>
      </w:r>
    </w:p>
    <w:p>
      <w:pPr>
        <w:spacing w:after="0" w:line="67" w:lineRule="exact"/>
        <w:rPr>
          <w:rFonts w:ascii="Times New Roman" w:cs="Times New Roman" w:eastAsia="Times New Roman" w:hAnsi="Times New Roman"/>
          <w:sz w:val="18"/>
          <w:szCs w:val="18"/>
          <w:b w:val="1"/>
          <w:bCs w:val="1"/>
          <w:color w:val="auto"/>
        </w:rPr>
      </w:pPr>
    </w:p>
    <w:p>
      <w:pPr>
        <w:ind w:left="52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made income tax payments of $12.4 million and $27.6 million during the nine months ended September 30, 2026 and 2025, respectively. The Company received a federal refund of $2.9 million and refunds of $0.4 million from various states during the nine months ended September 30, 2026 and received refunds of $1.4 million from various states during the nine months ended September 30,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left="520" w:right="160"/>
        <w:spacing w:after="0" w:line="282" w:lineRule="auto"/>
        <w:rPr>
          <w:sz w:val="20"/>
          <w:szCs w:val="20"/>
          <w:color w:val="auto"/>
        </w:rPr>
      </w:pPr>
      <w:r>
        <w:rPr>
          <w:rFonts w:ascii="Times New Roman" w:cs="Times New Roman" w:eastAsia="Times New Roman" w:hAnsi="Times New Roman"/>
          <w:sz w:val="18"/>
          <w:szCs w:val="18"/>
          <w:color w:val="auto"/>
        </w:rPr>
        <w:t>As of September 30, 2026, unrecognized tax benefits were materially consistent with the amount as of December 31, 2025. The Company believes its liability for unrecognized tax benefits, excluding interest and penalties, will not materially change over the following twelve months.</w:t>
      </w:r>
    </w:p>
    <w:p>
      <w:pPr>
        <w:spacing w:after="0" w:line="158"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receivable—Net as of September 30, 2026 and December 31, 2025, consists of the following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146,122</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140,829</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and sales reserves</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(3,773)</w:t>
            </w:r>
          </w:p>
        </w:tc>
      </w:tr>
      <w:tr>
        <w:trPr>
          <w:trHeight w:val="250"/>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142,078</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right="560"/>
        <w:spacing w:after="0" w:line="282" w:lineRule="auto"/>
        <w:rPr>
          <w:sz w:val="20"/>
          <w:szCs w:val="20"/>
          <w:color w:val="auto"/>
        </w:rPr>
      </w:pPr>
      <w:r>
        <w:rPr>
          <w:rFonts w:ascii="Times New Roman" w:cs="Times New Roman" w:eastAsia="Times New Roman" w:hAnsi="Times New Roman"/>
          <w:sz w:val="18"/>
          <w:szCs w:val="18"/>
          <w:color w:val="auto"/>
        </w:rPr>
        <w:t>As of September 30, 2026, no customers accounted for 10% or greater of accounts receivable—Net. As of December 31, 2025, one customer accounted for 11% of accounts receivable—Net.</w:t>
      </w:r>
    </w:p>
    <w:p>
      <w:pPr>
        <w:spacing w:after="0" w:line="54" w:lineRule="exact"/>
        <w:rPr>
          <w:sz w:val="20"/>
          <w:szCs w:val="20"/>
          <w:color w:val="auto"/>
        </w:rPr>
      </w:pPr>
    </w:p>
    <w:p>
      <w:pPr>
        <w:ind w:left="520" w:right="260"/>
        <w:spacing w:after="0" w:line="261" w:lineRule="auto"/>
        <w:rPr>
          <w:sz w:val="20"/>
          <w:szCs w:val="20"/>
          <w:color w:val="auto"/>
        </w:rPr>
      </w:pPr>
      <w:r>
        <w:rPr>
          <w:rFonts w:ascii="Times New Roman" w:cs="Times New Roman" w:eastAsia="Times New Roman" w:hAnsi="Times New Roman"/>
          <w:sz w:val="18"/>
          <w:szCs w:val="18"/>
          <w:color w:val="auto"/>
        </w:rPr>
        <w:t>Changes to the allowance for credit losses and sales reserves during the three and nine months ended September 30, 2026 and 2025 consist of the following (in thousands):</w:t>
      </w:r>
    </w:p>
    <w:tbl>
      <w:tblPr>
        <w:tblLayout w:type="fixed"/>
        <w:tblInd w:w="580" w:type="dxa"/>
        <w:tblCellMar>
          <w:top w:w="0" w:type="dxa"/>
          <w:left w:w="0" w:type="dxa"/>
          <w:bottom w:w="0" w:type="dxa"/>
          <w:right w:w="0" w:type="dxa"/>
        </w:tblCellMar>
      </w:tblPr>
      <w:tr>
        <w:trPr>
          <w:trHeight w:val="194"/>
        </w:trPr>
        <w:tc>
          <w:tcPr>
            <w:tcW w:w="3640" w:type="dxa"/>
            <w:vAlign w:val="bottom"/>
          </w:tcPr>
          <w:p>
            <w:pPr>
              <w:spacing w:after="0"/>
              <w:rPr>
                <w:sz w:val="16"/>
                <w:szCs w:val="16"/>
                <w:color w:val="auto"/>
              </w:rPr>
            </w:pPr>
          </w:p>
        </w:tc>
        <w:tc>
          <w:tcPr>
            <w:tcW w:w="284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6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6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shd w:val="clear" w:color="auto" w:fill="CFF0FC"/>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bad debt and sales reserves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Pr>
          <w:p>
            <w:pPr>
              <w:spacing w:after="0"/>
              <w:rPr>
                <w:sz w:val="18"/>
                <w:szCs w:val="18"/>
                <w:color w:val="auto"/>
              </w:rPr>
            </w:pPr>
          </w:p>
        </w:tc>
      </w:tr>
      <w:tr>
        <w:trPr>
          <w:trHeight w:val="216"/>
        </w:trPr>
        <w:tc>
          <w:tcPr>
            <w:tcW w:w="36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Write-offs—Net</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(1,346)</w:t>
            </w:r>
          </w:p>
        </w:tc>
        <w:tc>
          <w:tcPr>
            <w:tcW w:w="10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(4,293)</w:t>
            </w:r>
          </w:p>
        </w:tc>
        <w:tc>
          <w:tcPr>
            <w:tcW w:w="10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(5,015)</w:t>
            </w:r>
          </w:p>
        </w:tc>
      </w:tr>
      <w:tr>
        <w:trPr>
          <w:trHeight w:val="20"/>
        </w:trPr>
        <w:tc>
          <w:tcPr>
            <w:tcW w:w="364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6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60" w:type="dxa"/>
            <w:vAlign w:val="bottom"/>
          </w:tcPr>
          <w:p>
            <w:pPr>
              <w:spacing w:after="0"/>
              <w:rPr>
                <w:sz w:val="18"/>
                <w:szCs w:val="18"/>
                <w:color w:val="auto"/>
              </w:rPr>
            </w:pPr>
          </w:p>
        </w:tc>
        <w:tc>
          <w:tcPr>
            <w:tcW w:w="11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4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current assets as of September 30, 2026 and December 31, 2025 consists of the following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SaaS costs</w:t>
            </w: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Prepaid service fees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software and equipment maintenance</w:t>
            </w: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tcPr>
          <w:p>
            <w:pPr>
              <w:spacing w:after="0"/>
              <w:rPr>
                <w:sz w:val="18"/>
                <w:szCs w:val="18"/>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33,679</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100" w:type="dxa"/>
            <w:vAlign w:val="bottom"/>
            <w:shd w:val="clear" w:color="auto" w:fill="CFF0FC"/>
          </w:tcPr>
          <w:p>
            <w:pPr>
              <w:spacing w:after="0"/>
              <w:rPr>
                <w:sz w:val="19"/>
                <w:szCs w:val="19"/>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SOFTWARE, EQUIPMENT, AND PROPERTY</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Software, equipment, and property as of September 30, 2026 and December 31, 2025 consists of the following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 and database</w:t>
            </w:r>
          </w:p>
        </w:tc>
        <w:tc>
          <w:tcPr>
            <w:tcW w:w="3160" w:type="dxa"/>
            <w:vAlign w:val="bottom"/>
            <w:gridSpan w:val="2"/>
            <w:shd w:val="clear" w:color="auto" w:fill="CFF0FC"/>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364,247</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land</w:t>
            </w:r>
          </w:p>
        </w:tc>
        <w:tc>
          <w:tcPr>
            <w:tcW w:w="110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110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software, equipment, and property</w:t>
            </w: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0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(231,610)</w:t>
            </w:r>
          </w:p>
        </w:tc>
        <w:tc>
          <w:tcPr>
            <w:tcW w:w="3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(192,351)</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Software, equipment, and property—Net</w:t>
            </w:r>
          </w:p>
        </w:tc>
        <w:tc>
          <w:tcPr>
            <w:tcW w:w="1100" w:type="dxa"/>
            <w:vAlign w:val="bottom"/>
            <w:tcBorders>
              <w:top w:val="single" w:sz="8" w:color="CFF0FC"/>
            </w:tcBorders>
          </w:tcPr>
          <w:p>
            <w:pPr>
              <w:spacing w:after="0"/>
              <w:rPr>
                <w:sz w:val="18"/>
                <w:szCs w:val="18"/>
                <w:color w:val="auto"/>
              </w:rPr>
            </w:pPr>
          </w:p>
        </w:tc>
        <w:tc>
          <w:tcPr>
            <w:tcW w:w="2060" w:type="dxa"/>
            <w:vAlign w:val="bottom"/>
            <w:tcBorders>
              <w:top w:val="single" w:sz="8" w:color="auto"/>
              <w:bottom w:val="single" w:sz="8" w:color="auto"/>
            </w:tcBorders>
          </w:tcPr>
          <w:p>
            <w:pPr>
              <w:jc w:val="right"/>
              <w:ind w:right="18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173,171</w:t>
            </w:r>
          </w:p>
        </w:tc>
        <w:tc>
          <w:tcPr>
            <w:tcW w:w="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166,796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2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-1362075</wp:posOffset>
            </wp:positionV>
            <wp:extent cx="59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-1362075</wp:posOffset>
            </wp:positionV>
            <wp:extent cx="596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-1079500</wp:posOffset>
            </wp:positionV>
            <wp:extent cx="59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-1079500</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ind w:left="520" w:right="8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related to software, equipment and property was $14.8 million and $17.0 million for the three months ended September 30, 2026 and 2025, respectively. Depreciation and amortization expense related to software, equipment and property was $42.1 million and $44.4 million for the nine months ended September 30, 2026 and 2025, respectively.</w:t>
      </w:r>
    </w:p>
    <w:p>
      <w:pPr>
        <w:spacing w:after="0" w:line="38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rFonts w:ascii="Times New Roman" w:cs="Times New Roman" w:eastAsia="Times New Roman" w:hAnsi="Times New Roman"/>
          <w:sz w:val="18"/>
          <w:szCs w:val="18"/>
          <w:b w:val="1"/>
          <w:bCs w:val="1"/>
          <w:color w:val="auto"/>
        </w:rPr>
      </w:pPr>
    </w:p>
    <w:p>
      <w:pPr>
        <w:ind w:left="52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real estate in the form of office space and data center facilities. Generally, at the inception of the contract, the term for real estate leases ranges from 2 to 17 years and the term for equipment leases is 1 to 3 years. Some real estate leases include options to renew that can extend the original term by 3 to 5 years.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for the three and nine months ended September 30, 2026 and 2025 were as follows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2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76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54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8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00" w:type="dxa"/>
            <w:vAlign w:val="bottom"/>
            <w:shd w:val="clear" w:color="auto" w:fill="CFF0FC"/>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6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3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Pr>
          <w:p>
            <w:pPr>
              <w:spacing w:after="0"/>
              <w:rPr>
                <w:sz w:val="18"/>
                <w:szCs w:val="18"/>
                <w:color w:val="auto"/>
              </w:rPr>
            </w:pPr>
          </w:p>
        </w:tc>
      </w:tr>
      <w:tr>
        <w:trPr>
          <w:trHeight w:val="229"/>
        </w:trPr>
        <w:tc>
          <w:tcPr>
            <w:tcW w:w="2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lease costs</w:t>
            </w:r>
          </w:p>
        </w:tc>
        <w:tc>
          <w:tcPr>
            <w:tcW w:w="6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54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8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100" w:type="dxa"/>
            <w:vAlign w:val="bottom"/>
            <w:shd w:val="clear" w:color="auto" w:fill="CFF0FC"/>
          </w:tcPr>
          <w:p>
            <w:pPr>
              <w:spacing w:after="0"/>
              <w:rPr>
                <w:sz w:val="19"/>
                <w:szCs w:val="19"/>
                <w:color w:val="auto"/>
              </w:rPr>
            </w:pPr>
          </w:p>
        </w:tc>
      </w:tr>
      <w:tr>
        <w:trPr>
          <w:trHeight w:val="20"/>
        </w:trPr>
        <w:tc>
          <w:tcPr>
            <w:tcW w:w="21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right="5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made cash payments for operating leases of $6.2 million and $6.9 million, respectively.</w:t>
      </w:r>
    </w:p>
    <w:p>
      <w:pPr>
        <w:spacing w:after="0" w:line="54" w:lineRule="exact"/>
        <w:rPr>
          <w:sz w:val="20"/>
          <w:szCs w:val="20"/>
          <w:color w:val="auto"/>
        </w:rPr>
      </w:pPr>
    </w:p>
    <w:p>
      <w:pPr>
        <w:jc w:val="both"/>
        <w:ind w:left="520" w:right="240"/>
        <w:spacing w:after="0" w:line="220" w:lineRule="exact"/>
        <w:rPr>
          <w:sz w:val="20"/>
          <w:szCs w:val="20"/>
          <w:color w:val="auto"/>
        </w:rPr>
      </w:pPr>
      <w:r>
        <w:rPr>
          <w:rFonts w:ascii="Times New Roman" w:cs="Times New Roman" w:eastAsia="Times New Roman" w:hAnsi="Times New Roman"/>
          <w:sz w:val="18"/>
          <w:szCs w:val="18"/>
          <w:color w:val="auto"/>
        </w:rPr>
        <w:t>During the three months ended September 30, 2026, the Company did not recognize any operating lease right-of-use assets in exchange for lease liabilities. During the nine months ended September 30, 2026, the Company recognized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in exchange for lease liabilities of $0.2 million. During the three months ended September 30, 2025, the Company obtained operating lease assets in exchange for lease liabilities of $0.3 million. During the nine months ended September 30, 2025, the Company obtained operating lease assets in exchange for lease liabilities of $9.1 million, which includes $8.8 million of operating lease asset in connection with the acquisition of EvolutionIQ.</w:t>
      </w:r>
    </w:p>
    <w:p>
      <w:pPr>
        <w:spacing w:after="0" w:line="200" w:lineRule="exact"/>
        <w:rPr>
          <w:sz w:val="20"/>
          <w:szCs w:val="20"/>
          <w:color w:val="auto"/>
        </w:rPr>
      </w:pPr>
    </w:p>
    <w:p>
      <w:pPr>
        <w:spacing w:after="0" w:line="321"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and intangible assets are primarily the result of business acquisitions.</w:t>
      </w:r>
    </w:p>
    <w:p>
      <w:pPr>
        <w:spacing w:after="0" w:line="117" w:lineRule="exact"/>
        <w:rPr>
          <w:rFonts w:ascii="Times New Roman" w:cs="Times New Roman" w:eastAsia="Times New Roman" w:hAnsi="Times New Roman"/>
          <w:sz w:val="18"/>
          <w:szCs w:val="18"/>
          <w:b w:val="1"/>
          <w:bCs w:val="1"/>
          <w:color w:val="auto"/>
        </w:rPr>
      </w:pPr>
    </w:p>
    <w:p>
      <w:pPr>
        <w:jc w:val="both"/>
        <w:ind w:left="520" w:right="720"/>
        <w:spacing w:after="0" w:line="3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performs its annual impairment assessment of goodwill and indefinite life intangible assets as of November 30 of each year. No impairments to goodwill or indefinite life intangible assets were recorded during the three and nine months ended September 30, 2026.</w:t>
      </w:r>
    </w:p>
    <w:p>
      <w:pPr>
        <w:spacing w:after="0" w:line="1" w:lineRule="exact"/>
        <w:rPr>
          <w:rFonts w:ascii="Times New Roman" w:cs="Times New Roman" w:eastAsia="Times New Roman" w:hAnsi="Times New Roman"/>
          <w:sz w:val="18"/>
          <w:szCs w:val="18"/>
          <w:b w:val="1"/>
          <w:bCs w:val="1"/>
          <w:color w:val="auto"/>
        </w:rPr>
      </w:pPr>
    </w:p>
    <w:p>
      <w:pPr>
        <w:ind w:left="520" w:right="6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gross amount, accumulated impairment loss and carrying amount of goodwill as of September 30, 2026 and December 31, 2025.</w:t>
      </w:r>
    </w:p>
    <w:tbl>
      <w:tblPr>
        <w:tblLayout w:type="fixed"/>
        <w:tblInd w:w="580" w:type="dxa"/>
        <w:tblCellMar>
          <w:top w:w="0" w:type="dxa"/>
          <w:left w:w="0" w:type="dxa"/>
          <w:bottom w:w="0" w:type="dxa"/>
          <w:right w:w="0" w:type="dxa"/>
        </w:tblCellMar>
      </w:tblPr>
      <w:tr>
        <w:trPr>
          <w:trHeight w:val="194"/>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2"/>
          </w:tcPr>
          <w:p>
            <w:pPr>
              <w:jc w:val="center"/>
              <w:ind w:right="5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1760" w:type="dxa"/>
            <w:vAlign w:val="bottom"/>
            <w:gridSpan w:val="2"/>
          </w:tcPr>
          <w:p>
            <w:pPr>
              <w:ind w:left="62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Impairment Loss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00" w:type="dxa"/>
            <w:vAlign w:val="bottom"/>
          </w:tcPr>
          <w:p>
            <w:pPr>
              <w:spacing w:after="0"/>
              <w:rPr>
                <w:sz w:val="20"/>
                <w:szCs w:val="20"/>
                <w:color w:val="auto"/>
              </w:rPr>
            </w:pPr>
          </w:p>
        </w:tc>
      </w:tr>
      <w:tr>
        <w:trPr>
          <w:trHeight w:val="210"/>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2,058,753</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(103,202)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1,955,551</w:t>
            </w:r>
          </w:p>
        </w:tc>
        <w:tc>
          <w:tcPr>
            <w:tcW w:w="100" w:type="dxa"/>
            <w:vAlign w:val="bottom"/>
            <w:shd w:val="clear" w:color="auto" w:fill="CFF0FC"/>
          </w:tcPr>
          <w:p>
            <w:pPr>
              <w:spacing w:after="0"/>
              <w:rPr>
                <w:sz w:val="18"/>
                <w:szCs w:val="18"/>
                <w:color w:val="auto"/>
              </w:rPr>
            </w:pPr>
          </w:p>
        </w:tc>
      </w:tr>
      <w:tr>
        <w:trPr>
          <w:trHeight w:val="234"/>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2,058,753</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(103,202)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1,955,551</w:t>
            </w:r>
          </w:p>
        </w:tc>
        <w:tc>
          <w:tcPr>
            <w:tcW w:w="100" w:type="dxa"/>
            <w:vAlign w:val="bottom"/>
          </w:tcPr>
          <w:p>
            <w:pPr>
              <w:spacing w:after="0"/>
              <w:rPr>
                <w:sz w:val="20"/>
                <w:szCs w:val="20"/>
                <w:color w:val="auto"/>
              </w:rPr>
            </w:pPr>
          </w:p>
        </w:tc>
      </w:tr>
    </w:tbl>
    <w:p>
      <w:pPr>
        <w:spacing w:after="0" w:line="71"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The accumulated impairment loss is due to impairment charges of $77.4 million and $25.8 million recognized during the years ended December 31, 2023 and December 31, 2019,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carrying amount of goodwill during the three and nine months ended September 30,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—No intangible asset impairments were recorded during the three and nine months ended September 30, 2026.</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6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intangible assets balance as of September 30, 2026 is reflected below (in 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8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16-18</w:t>
            </w:r>
          </w:p>
        </w:tc>
        <w:tc>
          <w:tcPr>
            <w:tcW w:w="13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$1,324,130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$(679,949)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$644,181</w:t>
            </w:r>
          </w:p>
        </w:tc>
      </w:tr>
      <w:tr>
        <w:trPr>
          <w:trHeight w:val="216"/>
        </w:trPr>
        <w:tc>
          <w:tcPr>
            <w:tcW w:w="60" w:type="dxa"/>
            <w:vAlign w:val="bottom"/>
          </w:tcPr>
          <w:p>
            <w:pPr>
              <w:spacing w:after="0"/>
              <w:rPr>
                <w:sz w:val="18"/>
                <w:szCs w:val="18"/>
                <w:color w:val="auto"/>
              </w:rPr>
            </w:pPr>
          </w:p>
        </w:tc>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Acquired technologies</w:t>
            </w:r>
          </w:p>
        </w:tc>
        <w:tc>
          <w:tcPr>
            <w:tcW w:w="1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380" w:type="dxa"/>
            <w:vAlign w:val="bottom"/>
            <w:gridSpan w:val="4"/>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139,100</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(32,578)</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106,522</w:t>
            </w: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Trademarks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r>
      <w:tr>
        <w:trPr>
          <w:trHeight w:val="209"/>
        </w:trPr>
        <w:tc>
          <w:tcPr>
            <w:tcW w:w="60" w:type="dxa"/>
            <w:vAlign w:val="bottom"/>
          </w:tcPr>
          <w:p>
            <w:pPr>
              <w:spacing w:after="0"/>
              <w:rPr>
                <w:sz w:val="18"/>
                <w:szCs w:val="18"/>
                <w:color w:val="auto"/>
              </w:rPr>
            </w:pPr>
          </w:p>
        </w:tc>
        <w:tc>
          <w:tcPr>
            <w:tcW w:w="3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1,464,530</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(712,982)</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751,548</w:t>
            </w: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Trademarks—indefinite life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190,470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190,470</w:t>
            </w:r>
          </w:p>
        </w:tc>
      </w:tr>
      <w:tr>
        <w:trPr>
          <w:trHeight w:val="250"/>
        </w:trPr>
        <w:tc>
          <w:tcPr>
            <w:tcW w:w="60" w:type="dxa"/>
            <w:vAlign w:val="bottom"/>
          </w:tcPr>
          <w:p>
            <w:pPr>
              <w:spacing w:after="0"/>
              <w:rPr>
                <w:sz w:val="21"/>
                <w:szCs w:val="21"/>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$1,655,000</w:t>
            </w: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$(712,982)</w:t>
            </w: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$942,018</w:t>
            </w:r>
          </w:p>
        </w:tc>
      </w:tr>
      <w:tr>
        <w:trPr>
          <w:trHeight w:val="390"/>
        </w:trPr>
        <w:tc>
          <w:tcPr>
            <w:tcW w:w="6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intangible assets balance as of December 31, 2025 is reflected below (in thousands):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8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16-18</w:t>
            </w:r>
          </w:p>
        </w:tc>
        <w:tc>
          <w:tcPr>
            <w:tcW w:w="13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1,324,130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(624,609)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699,521</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Acquired technologies</w:t>
            </w:r>
          </w:p>
        </w:tc>
        <w:tc>
          <w:tcPr>
            <w:tcW w:w="122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7-8</w:t>
            </w:r>
          </w:p>
        </w:tc>
        <w:tc>
          <w:tcPr>
            <w:tcW w:w="13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139,100</w:t>
            </w: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(19,473)</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119,627</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Trademarks</w:t>
            </w:r>
          </w:p>
        </w:tc>
        <w:tc>
          <w:tcPr>
            <w:tcW w:w="12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88"/>
              </w:rPr>
              <w:t>5</w:t>
            </w:r>
          </w:p>
        </w:tc>
        <w:tc>
          <w:tcPr>
            <w:tcW w:w="13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88"/>
              </w:rPr>
              <w:t>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1,464,530</w:t>
            </w: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(644,342)</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820,188</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Trademarks—indefinite life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10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1,655,000</w:t>
            </w:r>
          </w:p>
        </w:tc>
        <w:tc>
          <w:tcPr>
            <w:tcW w:w="16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(644,342)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1,010,658</w:t>
            </w:r>
          </w:p>
        </w:tc>
        <w:tc>
          <w:tcPr>
            <w:tcW w:w="100" w:type="dxa"/>
            <w:vAlign w:val="bottom"/>
            <w:shd w:val="clear" w:color="auto" w:fill="CFF0FC"/>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-2133600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-2116455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-2133600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-2116455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59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right="320"/>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$22.9 million and $22.9 million for the three months ended September 30, 2026 and 2025, respectively. Amortization expense for intangible assets was $68.6 million and $68.6 million for the nine months ended September 30, 2026 and 2025, respectively.</w:t>
      </w:r>
    </w:p>
    <w:p>
      <w:pPr>
        <w:spacing w:after="0" w:line="68"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Future amortization expense for the remainder of the year ended December 31, 2026 and the following four years ended December 31 and thereafter for intangible assets as of September 30, 2026 is as follows (in thousands):</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Years Ending December 31: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22,880</w:t>
            </w:r>
          </w:p>
        </w:tc>
      </w:tr>
      <w:tr>
        <w:trPr>
          <w:trHeight w:val="216"/>
        </w:trPr>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91,520</w:t>
            </w:r>
          </w:p>
        </w:tc>
      </w:tr>
      <w:tr>
        <w:trPr>
          <w:trHeight w:val="216"/>
        </w:trPr>
        <w:tc>
          <w:tcPr>
            <w:tcW w:w="580" w:type="dxa"/>
            <w:vAlign w:val="bottom"/>
          </w:tcPr>
          <w:p>
            <w:pPr>
              <w:spacing w:after="0"/>
              <w:rPr>
                <w:sz w:val="18"/>
                <w:szCs w:val="18"/>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91,520</w:t>
            </w:r>
          </w:p>
        </w:tc>
      </w:tr>
      <w:tr>
        <w:trPr>
          <w:trHeight w:val="216"/>
        </w:trPr>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90,892</w:t>
            </w:r>
          </w:p>
        </w:tc>
      </w:tr>
      <w:tr>
        <w:trPr>
          <w:trHeight w:val="216"/>
        </w:trPr>
        <w:tc>
          <w:tcPr>
            <w:tcW w:w="580" w:type="dxa"/>
            <w:vAlign w:val="bottom"/>
          </w:tcPr>
          <w:p>
            <w:pPr>
              <w:spacing w:after="0"/>
              <w:rPr>
                <w:sz w:val="18"/>
                <w:szCs w:val="18"/>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90,575</w:t>
            </w:r>
          </w:p>
        </w:tc>
      </w:tr>
      <w:tr>
        <w:trPr>
          <w:trHeight w:val="216"/>
        </w:trPr>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364,161</w:t>
            </w:r>
          </w:p>
        </w:tc>
      </w:tr>
      <w:tr>
        <w:trPr>
          <w:trHeight w:val="20"/>
        </w:trPr>
        <w:tc>
          <w:tcPr>
            <w:tcW w:w="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751,548</w:t>
            </w:r>
          </w:p>
        </w:tc>
      </w:tr>
      <w:tr>
        <w:trPr>
          <w:trHeight w:val="628"/>
        </w:trPr>
        <w:tc>
          <w:tcPr>
            <w:tcW w:w="580" w:type="dxa"/>
            <w:vAlign w:val="bottom"/>
          </w:tcPr>
          <w:p>
            <w:pPr>
              <w:spacing w:after="0"/>
              <w:rPr>
                <w:sz w:val="24"/>
                <w:szCs w:val="24"/>
                <w:color w:val="auto"/>
              </w:rPr>
            </w:pPr>
          </w:p>
        </w:tc>
        <w:tc>
          <w:tcPr>
            <w:tcW w:w="2840" w:type="dxa"/>
            <w:vAlign w:val="bottom"/>
            <w:tcBorders>
              <w:top w:val="single" w:sz="8" w:color="CFF0FC"/>
            </w:tcBorders>
          </w:tcPr>
          <w:p>
            <w:pPr>
              <w:spacing w:after="0"/>
              <w:rPr>
                <w:sz w:val="24"/>
                <w:szCs w:val="24"/>
                <w:color w:val="auto"/>
              </w:rPr>
            </w:pPr>
          </w:p>
        </w:tc>
        <w:tc>
          <w:tcPr>
            <w:tcW w:w="5920" w:type="dxa"/>
            <w:vAlign w:val="bottom"/>
            <w:tcBorders>
              <w:top w:val="single" w:sz="8" w:color="CFF0FC"/>
            </w:tcBorders>
          </w:tcPr>
          <w:p>
            <w:pPr>
              <w:jc w:val="right"/>
              <w:ind w:right="3530"/>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-933450</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-916940</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6" w:name="page17"/>
    <w:bookmarkEnd w:id="16"/>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as of September 30, 2026 and December 31, 2025 consists of the following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50,821</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55,292</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tax</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Royalties and licenses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insurance benefits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 agreement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Pr>
          <w:p>
            <w:pPr>
              <w:spacing w:after="0"/>
              <w:rPr>
                <w:sz w:val="18"/>
                <w:szCs w:val="18"/>
                <w:color w:val="auto"/>
              </w:rPr>
            </w:pPr>
          </w:p>
        </w:tc>
      </w:tr>
      <w:tr>
        <w:trPr>
          <w:trHeight w:val="216"/>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78,976</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80,897</w:t>
            </w:r>
          </w:p>
        </w:tc>
        <w:tc>
          <w:tcPr>
            <w:tcW w:w="10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liabilities as of September 30, 2026 and December 31, 2025 consists of the following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payable—non-current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interest rate swaps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8"/>
                <w:szCs w:val="18"/>
                <w:color w:val="auto"/>
              </w:rPr>
            </w:pPr>
          </w:p>
        </w:tc>
      </w:tr>
      <w:tr>
        <w:trPr>
          <w:trHeight w:val="249"/>
        </w:trPr>
        <w:tc>
          <w:tcPr>
            <w:tcW w:w="7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liabilities</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-25400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rFonts w:ascii="Times New Roman" w:cs="Times New Roman" w:eastAsia="Times New Roman" w:hAnsi="Times New Roman"/>
          <w:sz w:val="18"/>
          <w:szCs w:val="18"/>
          <w:b w:val="1"/>
          <w:bCs w:val="1"/>
          <w:color w:val="auto"/>
        </w:rPr>
      </w:pPr>
    </w:p>
    <w:p>
      <w:pPr>
        <w:ind w:left="520" w:right="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September 21, 2021, CCC Intelligent Solutions Inc., the Company’s operating subsidiary, entered into a credit agreement (as amended, the “2021 Credit Agreement”). Refer to Note 15, “Long-Term Debt,” in the Company’s Annual Report on Form 10-K for the year ended December 31, 2025 for a full description of the 2021 Credit Agreement (including detailed terms and amendments). The Company’s long-term debt comprises a senior secured term loan (the “Term Loan”) and a revolving credit facility (the “2021 Revolving Credit Facility”) under the 2021 Credit Agreement.</w:t>
      </w:r>
    </w:p>
    <w:p>
      <w:pPr>
        <w:spacing w:after="0" w:line="54" w:lineRule="exact"/>
        <w:rPr>
          <w:rFonts w:ascii="Times New Roman" w:cs="Times New Roman" w:eastAsia="Times New Roman" w:hAnsi="Times New Roman"/>
          <w:sz w:val="18"/>
          <w:szCs w:val="18"/>
          <w:b w:val="1"/>
          <w:bCs w:val="1"/>
          <w:color w:val="auto"/>
        </w:rPr>
      </w:pPr>
    </w:p>
    <w:p>
      <w:pPr>
        <w:ind w:left="52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Term Loan and Revolving Credit </w:t>
      </w:r>
      <w:r>
        <w:rPr>
          <w:rFonts w:ascii="Times New Roman" w:cs="Times New Roman" w:eastAsia="Times New Roman" w:hAnsi="Times New Roman"/>
          <w:sz w:val="18"/>
          <w:szCs w:val="18"/>
          <w:color w:val="auto"/>
        </w:rPr>
        <w:t>Facility – At September 30, 2026, the Term Loan had an outstanding principal balance of $1,281.2 million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$13.0 million classified as current), compared to $1,291.0 million at December 31, 2025. The Term Loan matures on January 23, 2032 and requires quarterly principal payments of $3.3 million through December 31, 2031, with the remaining balance due at maturity. No amounts were drawn on the $250.0 million 2021 Revolving Credit Facility as of September 30, 2026. The 2021 Revolving Credit Facility matures on September 23, 2029 (subject to a springing maturity on June 22, 2028 if more than $234.0 million of Term Loan remains outstanding at that date).</w:t>
      </w:r>
    </w:p>
    <w:p>
      <w:pPr>
        <w:spacing w:after="0" w:line="77" w:lineRule="exact"/>
        <w:rPr>
          <w:rFonts w:ascii="Times New Roman" w:cs="Times New Roman" w:eastAsia="Times New Roman" w:hAnsi="Times New Roman"/>
          <w:sz w:val="18"/>
          <w:szCs w:val="18"/>
          <w:b w:val="1"/>
          <w:bCs w:val="1"/>
          <w:color w:val="auto"/>
        </w:rPr>
      </w:pPr>
    </w:p>
    <w:p>
      <w:pPr>
        <w:ind w:left="52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2026, the Company had $1.0 million of outstanding standby letters of credit, which reduced the available borrowing capacity under the 2021 Revolving Credit Facility to $249.0 million. As of September 30, 2026, and December 31, 2025, $249.0 million and $248.9 million were available to be borrowed, respectively, under the 2021 Revolving Credit Facility.</w:t>
      </w:r>
    </w:p>
    <w:p>
      <w:pPr>
        <w:spacing w:after="0" w:line="63" w:lineRule="exact"/>
        <w:rPr>
          <w:rFonts w:ascii="Times New Roman" w:cs="Times New Roman" w:eastAsia="Times New Roman" w:hAnsi="Times New Roman"/>
          <w:sz w:val="18"/>
          <w:szCs w:val="18"/>
          <w:b w:val="1"/>
          <w:bCs w:val="1"/>
          <w:color w:val="auto"/>
        </w:rPr>
      </w:pPr>
    </w:p>
    <w:p>
      <w:pPr>
        <w:ind w:left="52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i w:val="1"/>
          <w:iCs w:val="1"/>
          <w:color w:val="auto"/>
        </w:rPr>
        <w:t xml:space="preserve">Interest Rates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Borrowings under the 2021 Credit Agreement bear interest at variable rates (Term Secured Overnight Financing Rate ("SOFR")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 rate) plus an applicable margin. Under the 2021 Credit Agreement’s current terms, the Term Loan interest margin is 2.00% for SOFR-based loans (1.00% for base rate loans), with a potential 0.25% margin reduction if the Company’s first lien debt credit ratings reach specified thresholds (BB-/Ba3 or better). A quarterly commitment fee of up to 0.50% applies to unused commitments under the 2021 Revolving Credit Facility.</w:t>
      </w:r>
    </w:p>
    <w:p>
      <w:pPr>
        <w:spacing w:after="0" w:line="57" w:lineRule="exact"/>
        <w:rPr>
          <w:rFonts w:ascii="Times New Roman" w:cs="Times New Roman" w:eastAsia="Times New Roman" w:hAnsi="Times New Roman"/>
          <w:sz w:val="18"/>
          <w:szCs w:val="18"/>
          <w:b w:val="1"/>
          <w:bCs w:val="1"/>
          <w:color w:val="auto"/>
        </w:rPr>
      </w:pPr>
    </w:p>
    <w:p>
      <w:pPr>
        <w:ind w:left="520"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September 30, 2026 and 2025, the weighted-average interest rate on the outstanding borrowings under the Term Loan was 5.8% and 6.4%, respectively.</w:t>
      </w:r>
    </w:p>
    <w:p>
      <w:pPr>
        <w:spacing w:after="0" w:line="53" w:lineRule="exact"/>
        <w:rPr>
          <w:rFonts w:ascii="Times New Roman" w:cs="Times New Roman" w:eastAsia="Times New Roman" w:hAnsi="Times New Roman"/>
          <w:sz w:val="18"/>
          <w:szCs w:val="18"/>
          <w:b w:val="1"/>
          <w:bCs w:val="1"/>
          <w:color w:val="auto"/>
        </w:rPr>
      </w:pPr>
    </w:p>
    <w:p>
      <w:pPr>
        <w:ind w:left="5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nine months ended September 30, 2026 and 2025, the weighted-average interest rate on the outstanding borrowings under the Term Loan was 5.8% and 6.3%,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ind w:left="5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Collateral and Covenants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 Loan and Revolving Credit Facility are senior secured obligations, guaranteed by the Cypress Intermediate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II, LLC, and certain of the Company's other U.S. subsidiaries, and secured by first-priority liens on the equity of CCC Intelligent Solutions Inc. and substantially all of its assets (subject to customary exceptions). The 2021 Credit Agreement contains customary affirmative and negative covenants (including limitations on additional debt, liens, mergers, dividends, and investments) and a financial covenant requiring that if Revolver borrowings exceed 35% of the aggregate commitments of the Company, the leverage ratio of CCC Intelligent Solutions Inc. and certain of its subsidiaries cannot exceed 6.25 to 1.00. Revolver borrowings did not exceed this threshold as of September 30, 2026, and the Company was in compliance with all financial covenants.</w:t>
      </w:r>
    </w:p>
    <w:p>
      <w:pPr>
        <w:spacing w:after="0" w:line="79"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9180" w:type="dxa"/>
            <w:vAlign w:val="bottom"/>
            <w:gridSpan w:val="5"/>
          </w:tcPr>
          <w:p>
            <w:pPr>
              <w:jc w:val="right"/>
              <w:ind w:right="1440"/>
              <w:spacing w:after="0"/>
              <w:rPr>
                <w:sz w:val="20"/>
                <w:szCs w:val="20"/>
                <w:color w:val="auto"/>
              </w:rPr>
            </w:pPr>
            <w:r>
              <w:rPr>
                <w:rFonts w:ascii="Times New Roman" w:cs="Times New Roman" w:eastAsia="Times New Roman" w:hAnsi="Times New Roman"/>
                <w:sz w:val="18"/>
                <w:szCs w:val="18"/>
                <w:color w:val="auto"/>
                <w:w w:val="99"/>
              </w:rPr>
              <w:t>Long-term debt as of September 30, 2026 and December 31, 2025, consists of the following (in thousands):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1,281,216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1,290,990</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Term Loan—discount</w:t>
            </w:r>
          </w:p>
        </w:tc>
        <w:tc>
          <w:tcPr>
            <w:tcW w:w="340" w:type="dxa"/>
            <w:vAlign w:val="bottom"/>
          </w:tcPr>
          <w:p>
            <w:pPr>
              <w:spacing w:after="0"/>
              <w:rPr>
                <w:sz w:val="18"/>
                <w:szCs w:val="18"/>
                <w:color w:val="auto"/>
              </w:rPr>
            </w:pPr>
          </w:p>
        </w:tc>
        <w:tc>
          <w:tcPr>
            <w:tcW w:w="2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(912)</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(1,022)</w:t>
            </w:r>
          </w:p>
        </w:tc>
      </w:tr>
      <w:tr>
        <w:trPr>
          <w:trHeight w:val="216"/>
        </w:trPr>
        <w:tc>
          <w:tcPr>
            <w:tcW w:w="60" w:type="dxa"/>
            <w:vAlign w:val="bottom"/>
          </w:tcPr>
          <w:p>
            <w:pPr>
              <w:spacing w:after="0"/>
              <w:rPr>
                <w:sz w:val="18"/>
                <w:szCs w:val="18"/>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Loan—deferred financing fees</w:t>
            </w:r>
          </w:p>
        </w:tc>
        <w:tc>
          <w:tcPr>
            <w:tcW w:w="34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(10,708)</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(11,994)</w:t>
            </w:r>
          </w:p>
        </w:tc>
      </w:tr>
      <w:tr>
        <w:trPr>
          <w:trHeight w:val="209"/>
        </w:trPr>
        <w:tc>
          <w:tcPr>
            <w:tcW w:w="60" w:type="dxa"/>
            <w:vAlign w:val="bottom"/>
          </w:tcPr>
          <w:p>
            <w:pPr>
              <w:spacing w:after="0"/>
              <w:rPr>
                <w:sz w:val="18"/>
                <w:szCs w:val="18"/>
                <w:color w:val="auto"/>
              </w:rPr>
            </w:pPr>
          </w:p>
        </w:tc>
        <w:tc>
          <w:tcPr>
            <w:tcW w:w="65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Term Loan—Net of discount &amp; fees</w:t>
            </w:r>
          </w:p>
        </w:tc>
        <w:tc>
          <w:tcPr>
            <w:tcW w:w="34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1,269,596</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1,277,974</w:t>
            </w:r>
          </w:p>
        </w:tc>
        <w:tc>
          <w:tcPr>
            <w:tcW w:w="100" w:type="dxa"/>
            <w:vAlign w:val="bottom"/>
            <w:tcBorders>
              <w:top w:val="single" w:sz="8" w:color="CFF0FC"/>
            </w:tcBorders>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(13,033)</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(13,033)</w:t>
            </w:r>
          </w:p>
        </w:tc>
      </w:tr>
      <w:tr>
        <w:trPr>
          <w:trHeight w:val="209"/>
        </w:trPr>
        <w:tc>
          <w:tcPr>
            <w:tcW w:w="60" w:type="dxa"/>
            <w:vAlign w:val="bottom"/>
          </w:tcPr>
          <w:p>
            <w:pPr>
              <w:spacing w:after="0"/>
              <w:rPr>
                <w:sz w:val="18"/>
                <w:szCs w:val="18"/>
                <w:color w:val="auto"/>
              </w:rPr>
            </w:pPr>
          </w:p>
        </w:tc>
        <w:tc>
          <w:tcPr>
            <w:tcW w:w="65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long-term debt—Net of current portion</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1,256,563</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1,264,941</w:t>
            </w:r>
          </w:p>
        </w:tc>
        <w:tc>
          <w:tcPr>
            <w:tcW w:w="100" w:type="dxa"/>
            <w:vAlign w:val="bottom"/>
            <w:tcBorders>
              <w:top w:val="single" w:sz="8" w:color="CFF0FC"/>
            </w:tcBorders>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-462280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right="16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Interest Rate Swaps </w:t>
      </w:r>
      <w:r>
        <w:rPr>
          <w:rFonts w:ascii="Times New Roman" w:cs="Times New Roman" w:eastAsia="Times New Roman" w:hAnsi="Times New Roman"/>
          <w:sz w:val="17"/>
          <w:szCs w:val="17"/>
          <w:color w:val="auto"/>
        </w:rPr>
        <w:t>– The Company utilizes interest rate swap agreements to hedge a portion of its floating-rate debt. These swaps (not designated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hedges for accounting purposes) effectively fix the interest rate on a $750.0 million notional amount of the Term Loan at approximately 3.94% through July 31, 2027. As of September 30, 2026, the Company's interest rate swap agreements were in asset positions, with a total fair value of $2.6 million recorded within other current assets in the accompanying condensed consolidated balance sheet as of September 30, 2026 (Level 2 measurement - Refer to Note 5). Changes in swap fair value are recorded in earnings, and the Company paid swap settlements of $0.5 million and $1.5 million during the three and nine months ended September 30, 2026, respectively, recorded in other income (expense)—net.</w:t>
      </w:r>
    </w:p>
    <w:p>
      <w:pPr>
        <w:spacing w:after="0" w:line="382"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121" w:lineRule="exact"/>
        <w:rPr>
          <w:rFonts w:ascii="Times New Roman" w:cs="Times New Roman" w:eastAsia="Times New Roman" w:hAnsi="Times New Roman"/>
          <w:sz w:val="18"/>
          <w:szCs w:val="18"/>
          <w:b w:val="1"/>
          <w:bCs w:val="1"/>
          <w:color w:val="auto"/>
        </w:rPr>
      </w:pPr>
    </w:p>
    <w:p>
      <w:pPr>
        <w:ind w:left="520" w:right="2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additional information regarding the Series A Preferred Stock issued by CCCIS Cayman Holdings Limited, an indirect majority owned subsidiary of the Company and parent of the Company's China subsidiaries (“CCC Cayman”), including the terms of the related stock purchase agreements and redemption features, see “Note 17. Redeemable Non-Controlling Interest” of our Annual Report on Form 10-K for the year ended December 31, 2025.</w:t>
      </w:r>
    </w:p>
    <w:p>
      <w:pPr>
        <w:spacing w:after="0" w:line="71" w:lineRule="exact"/>
        <w:rPr>
          <w:rFonts w:ascii="Times New Roman" w:cs="Times New Roman" w:eastAsia="Times New Roman" w:hAnsi="Times New Roman"/>
          <w:sz w:val="18"/>
          <w:szCs w:val="18"/>
          <w:b w:val="1"/>
          <w:bCs w:val="1"/>
          <w:color w:val="auto"/>
        </w:rPr>
      </w:pPr>
    </w:p>
    <w:p>
      <w:pPr>
        <w:ind w:left="52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17, 2025, the Company received a notice of redemption under the Series A Preferred Stock purchase agreement and related documents. Upon receipt of the notice, the Series A Preferred Stock became mandatorily redeemable and payable by CCC Cayman, without recourse to the Company, and was no longer presented within mezzanine equity as a redeemable non-controlling interest.</w:t>
      </w:r>
    </w:p>
    <w:p>
      <w:pPr>
        <w:spacing w:after="0" w:line="108" w:lineRule="exact"/>
        <w:rPr>
          <w:rFonts w:ascii="Times New Roman" w:cs="Times New Roman" w:eastAsia="Times New Roman" w:hAnsi="Times New Roman"/>
          <w:sz w:val="18"/>
          <w:szCs w:val="18"/>
          <w:b w:val="1"/>
          <w:bCs w:val="1"/>
          <w:color w:val="auto"/>
        </w:rPr>
      </w:pPr>
    </w:p>
    <w:p>
      <w:pPr>
        <w:ind w:left="52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2026, no redeemable non-controlling interest was outstanding. The related obligation is presented as a note payable to minority investor by CCC Cayman and without recourse to the Company within current liabilities on the Company’s condensed consolidated balance sheet. See Note 16 for additional information.</w:t>
      </w:r>
    </w:p>
    <w:p>
      <w:pPr>
        <w:spacing w:after="0" w:line="94" w:lineRule="exact"/>
        <w:rPr>
          <w:rFonts w:ascii="Times New Roman" w:cs="Times New Roman" w:eastAsia="Times New Roman" w:hAnsi="Times New Roman"/>
          <w:sz w:val="18"/>
          <w:szCs w:val="18"/>
          <w:b w:val="1"/>
          <w:bCs w:val="1"/>
          <w:color w:val="auto"/>
        </w:rPr>
      </w:pPr>
    </w:p>
    <w:p>
      <w:pPr>
        <w:jc w:val="both"/>
        <w:ind w:left="52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was no accretion of redeemable non-controlling interest during the three and nine months ended September 30, 2026. During the nine months ended September 30, 2025, the Company recorded $1.3 million of accretion and reclassified $23.0 million from redeemable non-controlling interest to note payable to minority investor upon receipt of the redemption notice.</w:t>
      </w:r>
    </w:p>
    <w:p>
      <w:pPr>
        <w:spacing w:after="0" w:line="10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PAYABLE TO MINORITY INVESTOR</w:t>
      </w:r>
    </w:p>
    <w:p>
      <w:pPr>
        <w:spacing w:after="0" w:line="121" w:lineRule="exact"/>
        <w:rPr>
          <w:rFonts w:ascii="Times New Roman" w:cs="Times New Roman" w:eastAsia="Times New Roman" w:hAnsi="Times New Roman"/>
          <w:sz w:val="18"/>
          <w:szCs w:val="18"/>
          <w:b w:val="1"/>
          <w:bCs w:val="1"/>
          <w:color w:val="auto"/>
        </w:rPr>
      </w:pPr>
    </w:p>
    <w:p>
      <w:pPr>
        <w:ind w:left="52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notice of redemption of the Series A Preferred Stock of CCC Cayman and in accordance with the provisions of the Series A Preferred Stock purchase agreement and related documents (see Note 15), on May 16, 2025, CCC Cayman issued a promissory note (the “Promissory Note”) to the holder of the Series A Preferred Stock of CCC Cayman. The obligors under the Promissory Note are CCC Cayman and its subsidiaries, without recourse to the Company.</w:t>
      </w:r>
    </w:p>
    <w:p>
      <w:pPr>
        <w:spacing w:after="0" w:line="71" w:lineRule="exact"/>
        <w:rPr>
          <w:rFonts w:ascii="Times New Roman" w:cs="Times New Roman" w:eastAsia="Times New Roman" w:hAnsi="Times New Roman"/>
          <w:sz w:val="18"/>
          <w:szCs w:val="18"/>
          <w:b w:val="1"/>
          <w:bCs w:val="1"/>
          <w:color w:val="auto"/>
        </w:rPr>
      </w:pPr>
    </w:p>
    <w:p>
      <w:pPr>
        <w:ind w:left="52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Promissory Note had an initial principal amount outstanding of $23.4 million, which included accrued interest of $0.4 million. The Promissory Note accrues interest at a rate of 12.0% per annum, compounded daily. All accrued interest is payable in kind and added to the outstanding principal amount. During the three and nine months ended September 30, 2026, the Company recognized $0.8 million and $2.4 million of interest expense on the Promissory Note,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ind w:left="520" w:right="160"/>
        <w:spacing w:after="0" w:line="261" w:lineRule="auto"/>
        <w:rPr>
          <w:sz w:val="20"/>
          <w:szCs w:val="20"/>
          <w:color w:val="auto"/>
        </w:rPr>
      </w:pPr>
      <w:r>
        <w:rPr>
          <w:rFonts w:ascii="Times New Roman" w:cs="Times New Roman" w:eastAsia="Times New Roman" w:hAnsi="Times New Roman"/>
          <w:sz w:val="18"/>
          <w:szCs w:val="18"/>
          <w:color w:val="auto"/>
        </w:rPr>
        <w:t>The Promissory Note’s maturity date is defined as the date CCC Cayman has available funds and assets, as defined in the Series A Preferred Stock purchase agreement and related documents, that are available and sufficient to pay in full the redemption price for the holder's shares of Series A Preferred Stock. The Promissory Note allows for CCC Cayman to prepay, in whole or in part, any outstanding principal or interest prior to the maturity date without penalty.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the total amount outstanding under the Promissory Note was $27.6 million.</w:t>
      </w:r>
    </w:p>
    <w:p>
      <w:pPr>
        <w:spacing w:after="0" w:line="221"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117" w:lineRule="exact"/>
        <w:rPr>
          <w:rFonts w:ascii="Times New Roman" w:cs="Times New Roman" w:eastAsia="Times New Roman" w:hAnsi="Times New Roman"/>
          <w:sz w:val="18"/>
          <w:szCs w:val="18"/>
          <w:b w:val="1"/>
          <w:bCs w:val="1"/>
          <w:color w:val="auto"/>
        </w:rPr>
      </w:pPr>
    </w:p>
    <w:p>
      <w:pPr>
        <w:ind w:left="520" w:right="10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—The Company is authorized to issue up to 100,000,000 shares of undesignated preferred stock with a par value of $0.0001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with such designations, voting and other rights and preferences as may be determined from time to time by the Company’s board of directors. As of September 30, 2026, there were no shares of preferred stock issued or outstanding.</w:t>
      </w:r>
    </w:p>
    <w:p>
      <w:pPr>
        <w:spacing w:after="0" w:line="62" w:lineRule="exact"/>
        <w:rPr>
          <w:rFonts w:ascii="Times New Roman" w:cs="Times New Roman" w:eastAsia="Times New Roman" w:hAnsi="Times New Roman"/>
          <w:sz w:val="18"/>
          <w:szCs w:val="18"/>
          <w:b w:val="1"/>
          <w:bCs w:val="1"/>
          <w:color w:val="auto"/>
        </w:rPr>
      </w:pPr>
    </w:p>
    <w:p>
      <w:pPr>
        <w:ind w:left="520" w:right="2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—The Company is authorized to issue up to 5,000,000,000 shares of common stock with a par value of $0.0001 per share.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of common stock is entitled to one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spacing w:after="0" w:line="75" w:lineRule="exact"/>
        <w:rPr>
          <w:rFonts w:ascii="Times New Roman" w:cs="Times New Roman" w:eastAsia="Times New Roman" w:hAnsi="Times New Roman"/>
          <w:sz w:val="18"/>
          <w:szCs w:val="18"/>
          <w:b w:val="1"/>
          <w:bCs w:val="1"/>
          <w:color w:val="auto"/>
        </w:rPr>
      </w:pPr>
    </w:p>
    <w:p>
      <w:pPr>
        <w:ind w:left="520" w:righ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590,525,042 and 605,449,050 shares of common stock issued and outstanding as of September 30, 2026 and December 31, 2025, respectively.</w:t>
      </w:r>
    </w:p>
    <w:p>
      <w:pPr>
        <w:spacing w:after="0" w:line="51" w:lineRule="exact"/>
        <w:rPr>
          <w:rFonts w:ascii="Times New Roman" w:cs="Times New Roman" w:eastAsia="Times New Roman" w:hAnsi="Times New Roman"/>
          <w:sz w:val="18"/>
          <w:szCs w:val="18"/>
          <w:b w:val="1"/>
          <w:bCs w:val="1"/>
          <w:color w:val="auto"/>
        </w:rPr>
      </w:pPr>
    </w:p>
    <w:p>
      <w:pPr>
        <w:ind w:left="520" w:right="2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Restricted Common Stock</w:t>
      </w:r>
      <w:r>
        <w:rPr>
          <w:rFonts w:ascii="Times New Roman" w:cs="Times New Roman" w:eastAsia="Times New Roman" w:hAnsi="Times New Roman"/>
          <w:sz w:val="18"/>
          <w:szCs w:val="18"/>
          <w:color w:val="auto"/>
        </w:rPr>
        <w:t>—As part of the acquisition of EvolutionIQ in January 2025 (see Note 3), the Company issued 10,356,096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subject to re-vesting conditions. The restricted shares have service-based vesting conditions and vest annually over two years. As of September 30, 2026, 5,178,048 restricted shares remain unvested. The fair value of the restricted shares at the acquisition date was $118.2 million, of which $71.5 million was included as purchase consideration and the remaining $46.7 million will be recognized as stock-based compensation expense over the vesting period.</w:t>
      </w:r>
    </w:p>
    <w:p>
      <w:pPr>
        <w:spacing w:after="0" w:line="7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Secondary Offerings and Stock Repurchase</w:t>
      </w:r>
      <w:r>
        <w:rPr>
          <w:rFonts w:ascii="Times New Roman" w:cs="Times New Roman" w:eastAsia="Times New Roman" w:hAnsi="Times New Roman"/>
          <w:sz w:val="18"/>
          <w:szCs w:val="18"/>
          <w:color w:val="auto"/>
        </w:rPr>
        <w:t>—There were no secondary offerings during the three and nine months ended September 30, 2026.</w:t>
      </w:r>
    </w:p>
    <w:p>
      <w:pPr>
        <w:spacing w:after="0" w:line="119" w:lineRule="exact"/>
        <w:rPr>
          <w:rFonts w:ascii="Times New Roman" w:cs="Times New Roman" w:eastAsia="Times New Roman" w:hAnsi="Times New Roman"/>
          <w:sz w:val="18"/>
          <w:szCs w:val="18"/>
          <w:b w:val="1"/>
          <w:bCs w:val="1"/>
          <w:color w:val="auto"/>
        </w:rPr>
      </w:pPr>
    </w:p>
    <w:p>
      <w:pPr>
        <w:ind w:left="52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2025, a secondary offering was completed and 7,000,000 shares of common stock were repurchased by the Company for an aggregate price of $72.3 million. The shares repurchased by the Company were formally retired. The excess purchase price over par value was charged directly to accumulated deficit. In connection with the secondary offering, the Company incurred costs of $0.2 million and $0.5 million during the three and nine months ended September 30, 2025, included within general and administrative expenses on the condensed consolidated statement of operations and comprehensive income (loss).</w:t>
      </w:r>
    </w:p>
    <w:p>
      <w:pPr>
        <w:spacing w:after="0" w:line="73" w:lineRule="exact"/>
        <w:rPr>
          <w:rFonts w:ascii="Times New Roman" w:cs="Times New Roman" w:eastAsia="Times New Roman" w:hAnsi="Times New Roman"/>
          <w:sz w:val="18"/>
          <w:szCs w:val="18"/>
          <w:b w:val="1"/>
          <w:bCs w:val="1"/>
          <w:color w:val="auto"/>
        </w:rPr>
      </w:pPr>
    </w:p>
    <w:p>
      <w:pPr>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Share Repurchase Program</w:t>
      </w:r>
      <w:r>
        <w:rPr>
          <w:rFonts w:ascii="Times New Roman" w:cs="Times New Roman" w:eastAsia="Times New Roman" w:hAnsi="Times New Roman"/>
          <w:sz w:val="18"/>
          <w:szCs w:val="18"/>
          <w:color w:val="auto"/>
        </w:rPr>
        <w:t>—In December 2025, the Company’s board of directors authorized the repurchase of up to $500.0 million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outstanding shares of common stock (the “2025 Share Repurchase Program”). Under the 2025 Share Repurchase Program, the Company is authorized to repurchase shares through open market purchases, privately negotiated transactions, accelerated share repurchases, or by other means, including through the use of trading plans intended to qualify under Rule 10b5-1 under the Securities Exchange Act of 1934, in accordance with applicable securities laws and other restrictions. The 2025 Repurchase Program does not obligate the Company to repurchase any amount of common stock. The specific timing and amount of repurchases may vary based on available capital resources, market conditions, management’s discretion, security laws limitations, and other factors.</w:t>
      </w:r>
    </w:p>
    <w:p>
      <w:pPr>
        <w:spacing w:after="0" w:line="76" w:lineRule="exact"/>
        <w:rPr>
          <w:rFonts w:ascii="Times New Roman" w:cs="Times New Roman" w:eastAsia="Times New Roman" w:hAnsi="Times New Roman"/>
          <w:sz w:val="18"/>
          <w:szCs w:val="18"/>
          <w:b w:val="1"/>
          <w:bCs w:val="1"/>
          <w:color w:val="auto"/>
        </w:rPr>
      </w:pPr>
    </w:p>
    <w:p>
      <w:pPr>
        <w:ind w:left="52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2026, 16,565,982 shares of common stock were repurchased by the Company under the 2025 Share Repurchase Program for an aggregate price of $100.0 million and were formally retired with the excess purchase price over par value charged directly to accumulated deficit. There were no shares repurchased during the three months ended September 30, 2026. As of September 30, 2026, the Company has $100.0 million available to purchase under the 2025 Share Repurchase Program. Under the terms of the Merger Agreement (as defined in Note 25), during the period from the execution of the Merger Agreement until the earlier of the effective time of the Merger or termination of the Merger Agreement, the Company is not permitted to redeem, repurchase or otherwise acquire any of its capital stock without the prior written consent of Parent (as defined in Note 25) (which consent may not be unreasonably withheld, conditioned or delayed), subject to certain exceptions. See Note 25, Subsequent Events, for further discussion of the Merger Agreement.</w:t>
      </w:r>
    </w:p>
    <w:p>
      <w:pPr>
        <w:spacing w:after="0" w:line="83" w:lineRule="exact"/>
        <w:rPr>
          <w:rFonts w:ascii="Times New Roman" w:cs="Times New Roman" w:eastAsia="Times New Roman" w:hAnsi="Times New Roman"/>
          <w:sz w:val="18"/>
          <w:szCs w:val="18"/>
          <w:b w:val="1"/>
          <w:bCs w:val="1"/>
          <w:color w:val="auto"/>
        </w:rPr>
      </w:pPr>
    </w:p>
    <w:p>
      <w:pPr>
        <w:ind w:left="52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2024, the Company’s board of directors authorized the repurchase of up to $300.0 million of the Company’s outstanding shares of common stock (the “2024 Share Repurchase Program”). Under the 2024 Share Repurchase Program, the Company was authorized to repurchase shares through open market purchases, privately negotiated transactions, accelerated share repurchases, or by other means, including through the use of trading plans intended to qualify under Rule 10b5-1 under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left="520" w:right="580"/>
        <w:spacing w:after="0" w:line="282" w:lineRule="auto"/>
        <w:rPr>
          <w:sz w:val="20"/>
          <w:szCs w:val="20"/>
          <w:color w:val="auto"/>
        </w:rPr>
      </w:pPr>
      <w:r>
        <w:rPr>
          <w:rFonts w:ascii="Times New Roman" w:cs="Times New Roman" w:eastAsia="Times New Roman" w:hAnsi="Times New Roman"/>
          <w:sz w:val="18"/>
          <w:szCs w:val="18"/>
          <w:color w:val="auto"/>
        </w:rPr>
        <w:t>Securities Exchange Act of 1934, in accordance with applicable securities laws and other restrictions. The 2024 Repurchase Program did not obligate the Company to repurchase any amount of common stock.</w:t>
      </w:r>
    </w:p>
    <w:p>
      <w:pPr>
        <w:spacing w:after="0" w:line="54"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repurchased 4,779,310 shares for an aggregate purchase price of $44.9 million under the 2024 Share Repurchase Program. During the nine months ended September 30, 2025, the Company repurchased 22,767,637 shares for an aggregate purchase price of $217.2 million under the 2024 Share Repurchase Program. During the three and nine months ended September 30, 2025, the Company incurred $0.1 million and $0.3 million, respectively, of fees directly related to the repurchase of shares. The remaining authorization of the 2024 Share Repurchase Program was utilized through subsequent share repurchases which occurred during the year ended December 31, 2025.</w:t>
      </w:r>
    </w:p>
    <w:p>
      <w:pPr>
        <w:spacing w:after="0" w:line="77" w:lineRule="exact"/>
        <w:rPr>
          <w:sz w:val="20"/>
          <w:szCs w:val="20"/>
          <w:color w:val="auto"/>
        </w:rPr>
      </w:pPr>
    </w:p>
    <w:p>
      <w:pPr>
        <w:ind w:left="520" w:right="60"/>
        <w:spacing w:after="0" w:line="255" w:lineRule="auto"/>
        <w:rPr>
          <w:sz w:val="20"/>
          <w:szCs w:val="20"/>
          <w:color w:val="auto"/>
        </w:rPr>
      </w:pPr>
      <w:r>
        <w:rPr>
          <w:rFonts w:ascii="Times New Roman" w:cs="Times New Roman" w:eastAsia="Times New Roman" w:hAnsi="Times New Roman"/>
          <w:sz w:val="18"/>
          <w:szCs w:val="18"/>
          <w:i w:val="1"/>
          <w:iCs w:val="1"/>
          <w:color w:val="auto"/>
        </w:rPr>
        <w:t>Accelerated Share Repurchase Transaction</w:t>
      </w:r>
      <w:r>
        <w:rPr>
          <w:rFonts w:ascii="Times New Roman" w:cs="Times New Roman" w:eastAsia="Times New Roman" w:hAnsi="Times New Roman"/>
          <w:sz w:val="18"/>
          <w:szCs w:val="18"/>
          <w:color w:val="auto"/>
        </w:rPr>
        <w:t>—On December 12, 2025, the Company entered into an accelerated share repurchase (“ASR”)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with a third-party financial institution to repurchase $300.0 million of its common stock under the 2025 Share Repurchase Program. At inception, the Company paid the financial institution using proceeds from the Fifth Amendment and cash on hand and received an initial delivery of 33,240,998 shares, which were immediately retired. The shares received were equal to 80% of the prepayment amount based on the closing price of the common stock on December 11, 2025 of $7.22 per share. The ASR was accounted for as two separate transactions: a treasury stock transaction for shares received and retired and an equity-classified forward contract indexed to the Company’s common stock. The initial repurchase of shares under the agreement resulted in an immediate reduction of the outstanding shares used to calculate the weighted-average common shares outstanding for basic and diluted earnings per share.</w:t>
      </w:r>
    </w:p>
    <w:p>
      <w:pPr>
        <w:spacing w:after="0" w:line="79"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On February 27, 2026, the Company received a final delivery of 9,606,474 shares of its common stock with a fair value of approximately $60.0 million, representing the final settlement of the ASR agreement. The shares received upon final settlement were immediately retired.</w:t>
      </w:r>
    </w:p>
    <w:p>
      <w:pPr>
        <w:spacing w:after="0" w:line="158"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2021, the 2021 Equity Incentive Plan (the “2021 Plan”) was adopted and approved by the Company’s board of directors and stockholders.</w:t>
      </w:r>
    </w:p>
    <w:p>
      <w:pPr>
        <w:spacing w:after="0" w:line="115" w:lineRule="exact"/>
        <w:rPr>
          <w:rFonts w:ascii="Times New Roman" w:cs="Times New Roman" w:eastAsia="Times New Roman" w:hAnsi="Times New Roman"/>
          <w:sz w:val="18"/>
          <w:szCs w:val="18"/>
          <w:b w:val="1"/>
          <w:bCs w:val="1"/>
          <w:color w:val="auto"/>
        </w:rPr>
      </w:pPr>
    </w:p>
    <w:p>
      <w:pPr>
        <w:ind w:left="520" w:right="4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Restricted Stock Units and Restricted Stock Awards</w:t>
      </w:r>
      <w:r>
        <w:rPr>
          <w:rFonts w:ascii="Times New Roman" w:cs="Times New Roman" w:eastAsia="Times New Roman" w:hAnsi="Times New Roman"/>
          <w:sz w:val="18"/>
          <w:szCs w:val="18"/>
          <w:color w:val="auto"/>
        </w:rPr>
        <w:t>—The table below summarizes the restricted stock unit (“RSU”) and restricted stock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(“RSA”) activity for the nine months ended September 30, 2026:</w:t>
      </w:r>
    </w:p>
    <w:tbl>
      <w:tblPr>
        <w:tblLayout w:type="fixed"/>
        <w:tblInd w:w="580" w:type="dxa"/>
        <w:tblCellMar>
          <w:top w:w="0" w:type="dxa"/>
          <w:left w:w="0" w:type="dxa"/>
          <w:bottom w:w="0" w:type="dxa"/>
          <w:right w:w="0" w:type="dxa"/>
        </w:tblCellMar>
      </w:tblPr>
      <w:tr>
        <w:trPr>
          <w:trHeight w:val="194"/>
        </w:trPr>
        <w:tc>
          <w:tcPr>
            <w:tcW w:w="7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line="195"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7480" w:type="dxa"/>
            <w:vAlign w:val="bottom"/>
          </w:tcPr>
          <w:p>
            <w:pPr>
              <w:spacing w:after="0"/>
              <w:rPr>
                <w:sz w:val="20"/>
                <w:szCs w:val="20"/>
                <w:color w:val="auto"/>
              </w:rPr>
            </w:pPr>
          </w:p>
        </w:tc>
        <w:tc>
          <w:tcPr>
            <w:tcW w:w="1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—December 31, 2025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24,982,281</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14,073,585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(10,525,543)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(3,289,394)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8"/>
                <w:szCs w:val="18"/>
                <w:color w:val="auto"/>
              </w:rPr>
            </w:pPr>
          </w:p>
        </w:tc>
      </w:tr>
      <w:tr>
        <w:trPr>
          <w:trHeight w:val="250"/>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—September 30, 2026</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25,240,929</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-24765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right="500"/>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EvolutionIQ (see Note 3), the Company granted 792,174 RSAs that are subject to service conditions and 27,687 remain unvested as of September 30, 2026.</w:t>
      </w:r>
    </w:p>
    <w:p>
      <w:pPr>
        <w:spacing w:after="0" w:line="54" w:lineRule="exact"/>
        <w:rPr>
          <w:sz w:val="20"/>
          <w:szCs w:val="20"/>
          <w:color w:val="auto"/>
        </w:rPr>
      </w:pPr>
    </w:p>
    <w:p>
      <w:pPr>
        <w:ind w:left="520" w:right="28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14,073,585 RSUs. Of the RSUs granted during the nine months ended September 30, 2026, 12,458,088 have time-based vesting requirements, and 1,615,497 have performance-based vesting requirements. The performance-based awards granted during the nine months ended September 30, 2026, include both a performance and a market condition. The grant date fair value of the performance-based awards with a market condition is estimated on the date of grant using the Monte Carlo simulation model.</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During the nine months ended September 30, 2026, 10,525,543 RSUs vested, of which 2,980,201 were withheld for employee tax obligations.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—The table below summarizes the stock option activity for the nine months ended September 30, 2026:</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580" w:type="dxa"/>
            <w:vAlign w:val="bottom"/>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outstanding—December 31,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21,797,772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106,846</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(2,831,431)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 and canceled</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5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Options outstanding—September 30, 2026</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18,966,341</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71,151</w:t>
            </w:r>
          </w:p>
        </w:tc>
        <w:tc>
          <w:tcPr>
            <w:tcW w:w="100" w:type="dxa"/>
            <w:vAlign w:val="bottom"/>
            <w:tcBorders>
              <w:top w:val="single" w:sz="8" w:color="CFF0FC"/>
            </w:tcBorders>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5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exercisable—September 30, 2026</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18,966,341</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3.06</w:t>
            </w:r>
          </w:p>
        </w:tc>
        <w:tc>
          <w:tcPr>
            <w:tcW w:w="12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71,151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-334010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-25400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-7620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options which vested during the nine months ended September 30, 2026 was $0.5 million.</w:t>
      </w:r>
    </w:p>
    <w:p>
      <w:pPr>
        <w:spacing w:after="0" w:line="11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Cayman Equity Incentive Plan</w:t>
      </w:r>
      <w:r>
        <w:rPr>
          <w:rFonts w:ascii="Times New Roman" w:cs="Times New Roman" w:eastAsia="Times New Roman" w:hAnsi="Times New Roman"/>
          <w:sz w:val="18"/>
          <w:szCs w:val="18"/>
          <w:color w:val="auto"/>
        </w:rPr>
        <w:t>—In December 2022, the Company adopted the CCCIS Cayman Holdings Employees Equity Incentive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Incentive Plans”), which provide for the issuance of stock option awards in CCC Cayman (“Cayman Awards”) to eligible employees of the Company’s China subsidiaries.</w:t>
      </w:r>
    </w:p>
    <w:p>
      <w:pPr>
        <w:spacing w:after="0" w:line="6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Awards under the Cayman Incentive Plans are settled in cash and thus accounted for as liability awards. Awards granted under the Cayman Incentive Plans have time-based vesting and expire on the tenth anniversary of the grant date.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stock options under the Cayman Incentive Plans granted during the nine months ended September 30, 2026. The exercise price of the options granted is equal to the fair value of the underlying shares at the grant date. As of September 30, 2026 and December 31, 2025, 2,275,281 and 2,355,400 stock options under the Cayman Incentive Plans are outstanding.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—In July 2021, the Company adopted the CCC 2021 Employee Stock Purchase Plan (“ESPP”).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886,333 shares were sold under the ESPP.</w:t>
      </w:r>
    </w:p>
    <w:p>
      <w:pPr>
        <w:spacing w:after="0" w:line="117"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8"/>
          <w:szCs w:val="18"/>
          <w:color w:val="auto"/>
        </w:rPr>
        <w:t>The fair value of the ESPP purchase rights sold during the nine months ended September 30, 2026 was estimated using the Black-Scholes option pricing model with the following assumptions:</w:t>
      </w:r>
    </w:p>
    <w:tbl>
      <w:tblPr>
        <w:tblLayout w:type="fixed"/>
        <w:tblInd w:w="60" w:type="dxa"/>
        <w:tblCellMar>
          <w:top w:w="0" w:type="dxa"/>
          <w:left w:w="0" w:type="dxa"/>
          <w:bottom w:w="0" w:type="dxa"/>
          <w:right w:w="0" w:type="dxa"/>
        </w:tblCellMar>
      </w:tblPr>
      <w:tr>
        <w:trPr>
          <w:trHeight w:val="197"/>
        </w:trPr>
        <w:tc>
          <w:tcPr>
            <w:tcW w:w="546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8"/>
                <w:szCs w:val="18"/>
                <w:color w:val="auto"/>
              </w:rPr>
              <w:t>Expected term (in years)</w:t>
            </w:r>
          </w:p>
        </w:tc>
        <w:tc>
          <w:tcPr>
            <w:tcW w:w="5200" w:type="dxa"/>
            <w:vAlign w:val="bottom"/>
            <w:gridSpan w:val="2"/>
            <w:shd w:val="clear" w:color="auto" w:fill="CFF0FC"/>
          </w:tcPr>
          <w:p>
            <w:pPr>
              <w:jc w:val="right"/>
              <w:ind w:right="750"/>
              <w:spacing w:after="0" w:line="197" w:lineRule="exact"/>
              <w:rPr>
                <w:sz w:val="20"/>
                <w:szCs w:val="20"/>
                <w:color w:val="auto"/>
              </w:rPr>
            </w:pPr>
            <w:r>
              <w:rPr>
                <w:rFonts w:ascii="Times New Roman" w:cs="Times New Roman" w:eastAsia="Times New Roman" w:hAnsi="Times New Roman"/>
                <w:sz w:val="18"/>
                <w:szCs w:val="18"/>
                <w:color w:val="auto"/>
              </w:rPr>
              <w:t>0.5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- 33.5%</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20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w:t>
            </w:r>
          </w:p>
        </w:tc>
      </w:tr>
    </w:tbl>
    <w:p>
      <w:pPr>
        <w:spacing w:after="0" w:line="69"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—Stock-based compensation expense has been recorded in the accompanying condensed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comprehensive income (loss) as follows for the three and nine months ended September 30, 2026 and 2025 (in thousands):</w:t>
      </w:r>
    </w:p>
    <w:tbl>
      <w:tblPr>
        <w:tblLayout w:type="fixed"/>
        <w:tblInd w:w="60" w:type="dxa"/>
        <w:tblCellMar>
          <w:top w:w="0" w:type="dxa"/>
          <w:left w:w="0" w:type="dxa"/>
          <w:bottom w:w="0" w:type="dxa"/>
          <w:right w:w="0" w:type="dxa"/>
        </w:tblCellMar>
      </w:tblPr>
      <w:tr>
        <w:trPr>
          <w:trHeight w:val="194"/>
        </w:trPr>
        <w:tc>
          <w:tcPr>
            <w:tcW w:w="3660" w:type="dxa"/>
            <w:vAlign w:val="bottom"/>
          </w:tcPr>
          <w:p>
            <w:pPr>
              <w:spacing w:after="0"/>
              <w:rPr>
                <w:sz w:val="16"/>
                <w:szCs w:val="16"/>
                <w:color w:val="auto"/>
              </w:rPr>
            </w:pPr>
          </w:p>
        </w:tc>
        <w:tc>
          <w:tcPr>
            <w:tcW w:w="284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6"/>
          </w:tcPr>
          <w:p>
            <w:pPr>
              <w:ind w:left="560"/>
              <w:spacing w:after="0" w:line="195" w:lineRule="exact"/>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3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8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45,870</w:t>
            </w:r>
          </w:p>
        </w:tc>
        <w:tc>
          <w:tcPr>
            <w:tcW w:w="10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24,574</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36,568</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54,859</w:t>
            </w:r>
          </w:p>
        </w:tc>
        <w:tc>
          <w:tcPr>
            <w:tcW w:w="100" w:type="dxa"/>
            <w:vAlign w:val="bottom"/>
          </w:tcPr>
          <w:p>
            <w:pPr>
              <w:spacing w:after="0"/>
              <w:rPr>
                <w:sz w:val="18"/>
                <w:szCs w:val="18"/>
                <w:color w:val="auto"/>
              </w:rPr>
            </w:pPr>
          </w:p>
        </w:tc>
      </w:tr>
      <w:tr>
        <w:trPr>
          <w:trHeight w:val="230"/>
        </w:trPr>
        <w:tc>
          <w:tcPr>
            <w:tcW w:w="3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31,536</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39,193</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93,794</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146,216</w:t>
            </w:r>
          </w:p>
        </w:tc>
        <w:tc>
          <w:tcPr>
            <w:tcW w:w="100" w:type="dxa"/>
            <w:vAlign w:val="bottom"/>
            <w:shd w:val="clear" w:color="auto" w:fill="CFF0FC"/>
          </w:tcPr>
          <w:p>
            <w:pPr>
              <w:spacing w:after="0"/>
              <w:rPr>
                <w:sz w:val="19"/>
                <w:szCs w:val="19"/>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-24765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-24765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-24765</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-7620</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September 30, 2026, there was $131 million of unrecognized stock compensation expense related to unvested time-based awards which is expected to be recognized over a weighted-average period of 1.9 years. As of September 30, 2026, there was $16.4 million of unrecognized stock-based compensation expense related to unvested performance-based awards which is expected to be recognized over a weighted-average period of 2.1 years.</w:t>
      </w:r>
    </w:p>
    <w:p>
      <w:pPr>
        <w:spacing w:after="0" w:line="1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1" w:right="339" w:bottom="1440" w:gutter="0" w:footer="0" w:header="0"/>
        </w:sectPr>
      </w:pPr>
    </w:p>
    <w:bookmarkStart w:id="21" w:name="page22"/>
    <w:bookmarkEnd w:id="21"/>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17" w:lineRule="exact"/>
        <w:rPr>
          <w:rFonts w:ascii="Times New Roman" w:cs="Times New Roman" w:eastAsia="Times New Roman" w:hAnsi="Times New Roman"/>
          <w:sz w:val="18"/>
          <w:szCs w:val="18"/>
          <w:b w:val="1"/>
          <w:bCs w:val="1"/>
          <w:color w:val="auto"/>
        </w:rPr>
      </w:pPr>
    </w:p>
    <w:p>
      <w:pPr>
        <w:jc w:val="both"/>
        <w:ind w:left="520" w:right="4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Obligations</w:t>
      </w:r>
      <w:r>
        <w:rPr>
          <w:rFonts w:ascii="Times New Roman" w:cs="Times New Roman" w:eastAsia="Times New Roman" w:hAnsi="Times New Roman"/>
          <w:sz w:val="18"/>
          <w:szCs w:val="18"/>
          <w:color w:val="auto"/>
        </w:rPr>
        <w:t>—The Company has long-term agreements with suppliers and other parties related to licensing data used in its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outsourced data center, disaster recovery and SaaS that expire at various dates through 2031. As of September 30, 2026, there were no material changes from the amounts disclosed as of December 31, 2025.</w:t>
      </w:r>
    </w:p>
    <w:p>
      <w:pPr>
        <w:spacing w:after="0" w:line="62" w:lineRule="exact"/>
        <w:rPr>
          <w:rFonts w:ascii="Times New Roman" w:cs="Times New Roman" w:eastAsia="Times New Roman" w:hAnsi="Times New Roman"/>
          <w:sz w:val="18"/>
          <w:szCs w:val="18"/>
          <w:b w:val="1"/>
          <w:bCs w:val="1"/>
          <w:color w:val="auto"/>
        </w:rPr>
      </w:pPr>
    </w:p>
    <w:p>
      <w:pPr>
        <w:ind w:left="520" w:right="8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The Company’s services and solutions are typically warranted to perform in a manner consistent with general industry standards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if its services and solutions infringe a third party’s intellectual property rights.</w:t>
      </w:r>
    </w:p>
    <w:p>
      <w:pPr>
        <w:spacing w:after="0" w:line="75" w:lineRule="exact"/>
        <w:rPr>
          <w:rFonts w:ascii="Times New Roman" w:cs="Times New Roman" w:eastAsia="Times New Roman" w:hAnsi="Times New Roman"/>
          <w:sz w:val="18"/>
          <w:szCs w:val="18"/>
          <w:b w:val="1"/>
          <w:bCs w:val="1"/>
          <w:color w:val="auto"/>
        </w:rPr>
      </w:pPr>
    </w:p>
    <w:p>
      <w:pPr>
        <w:ind w:left="52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date, the Company has not incurred any material costs as a result of such indemnifications or commitments and has not accrued any liabilities related to such obligations in the accompanying condensed consolidated financial statements.</w:t>
      </w:r>
    </w:p>
    <w:p>
      <w:pPr>
        <w:spacing w:after="0" w:line="49" w:lineRule="exact"/>
        <w:rPr>
          <w:rFonts w:ascii="Times New Roman" w:cs="Times New Roman" w:eastAsia="Times New Roman" w:hAnsi="Times New Roman"/>
          <w:sz w:val="18"/>
          <w:szCs w:val="18"/>
          <w:b w:val="1"/>
          <w:bCs w:val="1"/>
          <w:color w:val="auto"/>
        </w:rPr>
      </w:pPr>
    </w:p>
    <w:p>
      <w:pPr>
        <w:ind w:left="520" w:right="3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Agreements</w:t>
      </w:r>
      <w:r>
        <w:rPr>
          <w:rFonts w:ascii="Times New Roman" w:cs="Times New Roman" w:eastAsia="Times New Roman" w:hAnsi="Times New Roman"/>
          <w:sz w:val="18"/>
          <w:szCs w:val="18"/>
          <w:color w:val="auto"/>
        </w:rPr>
        <w:t>—The Company is a party to employment agreements with key employees that provide for compensation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benefits. These agreements also provide for severance and bonus payments under certain circumstances.</w:t>
      </w:r>
    </w:p>
    <w:p>
      <w:pPr>
        <w:spacing w:after="0" w:line="15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PROCEEDINGS AND CONTINGENCIES</w:t>
      </w:r>
    </w:p>
    <w:p>
      <w:pPr>
        <w:spacing w:after="0" w:line="121" w:lineRule="exact"/>
        <w:rPr>
          <w:rFonts w:ascii="Times New Roman" w:cs="Times New Roman" w:eastAsia="Times New Roman" w:hAnsi="Times New Roman"/>
          <w:sz w:val="18"/>
          <w:szCs w:val="18"/>
          <w:b w:val="1"/>
          <w:bCs w:val="1"/>
          <w:color w:val="auto"/>
        </w:rPr>
      </w:pPr>
    </w:p>
    <w:p>
      <w:pPr>
        <w:ind w:left="52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175"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rFonts w:ascii="Times New Roman" w:cs="Times New Roman" w:eastAsia="Times New Roman" w:hAnsi="Times New Roman"/>
          <w:sz w:val="18"/>
          <w:szCs w:val="18"/>
          <w:b w:val="1"/>
          <w:bCs w:val="1"/>
          <w:color w:val="auto"/>
        </w:rPr>
      </w:pPr>
    </w:p>
    <w:p>
      <w:pPr>
        <w:ind w:left="520"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engaged in transactions within the ordinary course of business with entities affiliated with its principal equity owners and directors.</w:t>
      </w:r>
    </w:p>
    <w:p>
      <w:pPr>
        <w:spacing w:after="0" w:line="53" w:lineRule="exact"/>
        <w:rPr>
          <w:rFonts w:ascii="Times New Roman" w:cs="Times New Roman" w:eastAsia="Times New Roman" w:hAnsi="Times New Roman"/>
          <w:sz w:val="18"/>
          <w:szCs w:val="18"/>
          <w:b w:val="1"/>
          <w:bCs w:val="1"/>
          <w:color w:val="auto"/>
        </w:rPr>
      </w:pPr>
    </w:p>
    <w:p>
      <w:pPr>
        <w:ind w:left="520" w:right="4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revenues recognized and expenses incurred with entities affiliated with one of its principal equity owners and directors for the three and nine months ended September 30, 2026 and 2025 (in thousands):</w:t>
      </w:r>
    </w:p>
    <w:tbl>
      <w:tblPr>
        <w:tblLayout w:type="fixed"/>
        <w:tblInd w:w="580" w:type="dxa"/>
        <w:tblCellMar>
          <w:top w:w="0" w:type="dxa"/>
          <w:left w:w="0" w:type="dxa"/>
          <w:bottom w:w="0" w:type="dxa"/>
          <w:right w:w="0" w:type="dxa"/>
        </w:tblCellMar>
      </w:tblPr>
      <w:tr>
        <w:trPr>
          <w:trHeight w:val="194"/>
        </w:trPr>
        <w:tc>
          <w:tcPr>
            <w:tcW w:w="6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80" w:type="dxa"/>
            <w:vAlign w:val="bottom"/>
            <w:gridSpan w:val="5"/>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20" w:type="dxa"/>
            <w:vAlign w:val="bottom"/>
          </w:tcPr>
          <w:p>
            <w:pPr>
              <w:spacing w:after="0"/>
              <w:rPr>
                <w:sz w:val="16"/>
                <w:szCs w:val="16"/>
                <w:color w:val="auto"/>
              </w:rPr>
            </w:pPr>
          </w:p>
        </w:tc>
        <w:tc>
          <w:tcPr>
            <w:tcW w:w="1940" w:type="dxa"/>
            <w:vAlign w:val="bottom"/>
            <w:gridSpan w:val="5"/>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 the Nine Months</w:t>
            </w:r>
          </w:p>
        </w:tc>
      </w:tr>
      <w:tr>
        <w:trPr>
          <w:trHeight w:val="216"/>
        </w:trPr>
        <w:tc>
          <w:tcPr>
            <w:tcW w:w="6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6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Software subscriptions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1,809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Credit card processing</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Employee health insurance benefits</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 security software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r>
      <w:tr>
        <w:trPr>
          <w:trHeight w:val="198"/>
        </w:trPr>
        <w:tc>
          <w:tcPr>
            <w:tcW w:w="610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Board of director fees for services, including related travel and out-of-pocket</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reimbursements</w:t>
            </w: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FF0FC"/>
          </w:tcPr>
          <w:p>
            <w:pPr>
              <w:spacing w:after="0"/>
              <w:rPr>
                <w:sz w:val="20"/>
                <w:szCs w:val="20"/>
                <w:color w:val="auto"/>
              </w:rPr>
            </w:pPr>
          </w:p>
        </w:tc>
      </w:tr>
    </w:tbl>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Not a related party during the three and nine months ended September 30.</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and 2025, all receivables and payables from related parties were de minimis.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income (expense)—Net consists of the following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0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from change in fair value of interest rate swaps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(7,466)</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Loss from change in fair value of interest rate caps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derivative instruments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(479)</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income (expense)—Net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(6,688)</w:t>
            </w: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-24765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rFonts w:ascii="Times New Roman" w:cs="Times New Roman" w:eastAsia="Times New Roman" w:hAnsi="Times New Roman"/>
          <w:sz w:val="18"/>
          <w:szCs w:val="18"/>
          <w:b w:val="1"/>
          <w:bCs w:val="1"/>
          <w:color w:val="auto"/>
        </w:rPr>
      </w:pPr>
    </w:p>
    <w:p>
      <w:pPr>
        <w:ind w:left="52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basic earnings per share by dividing the net income (loss) attributable to common stockholders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w:t>
      </w:r>
    </w:p>
    <w:p>
      <w:pPr>
        <w:spacing w:after="0" w:line="75" w:lineRule="exact"/>
        <w:rPr>
          <w:sz w:val="20"/>
          <w:szCs w:val="20"/>
          <w:color w:val="auto"/>
        </w:rPr>
      </w:pPr>
    </w:p>
    <w:p>
      <w:pPr>
        <w:ind w:left="520" w:right="2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reconciliation of the numerator and denominator used to compute basic and diluted earnings per share of common stock (in thousands, except for share and per share data).</w:t>
      </w:r>
    </w:p>
    <w:tbl>
      <w:tblPr>
        <w:tblLayout w:type="fixed"/>
        <w:tblInd w:w="580" w:type="dxa"/>
        <w:tblCellMar>
          <w:top w:w="0" w:type="dxa"/>
          <w:left w:w="0" w:type="dxa"/>
          <w:bottom w:w="0" w:type="dxa"/>
          <w:right w:w="0" w:type="dxa"/>
        </w:tblCellMar>
      </w:tblPr>
      <w:tr>
        <w:trPr>
          <w:trHeight w:val="194"/>
        </w:trPr>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jc w:val="right"/>
              <w:ind w:right="580"/>
              <w:spacing w:after="0" w:line="194"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6"/>
                <w:szCs w:val="16"/>
                <w:color w:val="auto"/>
              </w:rPr>
            </w:pPr>
          </w:p>
        </w:tc>
        <w:tc>
          <w:tcPr>
            <w:tcW w:w="2720" w:type="dxa"/>
            <w:vAlign w:val="bottom"/>
            <w:gridSpan w:val="5"/>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4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30,231</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(6,432)</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(1,276)</w:t>
            </w:r>
          </w:p>
        </w:tc>
      </w:tr>
      <w:tr>
        <w:trPr>
          <w:trHeight w:val="20"/>
        </w:trPr>
        <w:tc>
          <w:tcPr>
            <w:tcW w:w="4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30,231</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(7,708)</w:t>
            </w:r>
          </w:p>
        </w:tc>
      </w:tr>
      <w:tr>
        <w:trPr>
          <w:trHeight w:val="198"/>
        </w:trPr>
        <w:tc>
          <w:tcPr>
            <w:tcW w:w="4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stock—basic and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575,679,641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631,440,015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578,837,408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635,263,670</w:t>
            </w:r>
          </w:p>
        </w:tc>
        <w:tc>
          <w:tcPr>
            <w:tcW w:w="100" w:type="dxa"/>
            <w:vAlign w:val="bottom"/>
          </w:tcPr>
          <w:p>
            <w:pPr>
              <w:spacing w:after="0"/>
              <w:rPr>
                <w:sz w:val="20"/>
                <w:szCs w:val="20"/>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17,751,347</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16,453,813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stock—diluted</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593,430,988</w:t>
            </w: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631,440,015</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595,291,220</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635,263,670</w:t>
            </w:r>
          </w:p>
        </w:tc>
        <w:tc>
          <w:tcPr>
            <w:tcW w:w="100" w:type="dxa"/>
            <w:vAlign w:val="bottom"/>
            <w:tcBorders>
              <w:top w:val="single" w:sz="8" w:color="CFF0FC"/>
            </w:tcBorders>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-1388110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-1388110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-1388110</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-1388110</wp:posOffset>
            </wp:positionV>
            <wp:extent cx="596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-556895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-556895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-556895</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-556895</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10,044,406 and 26,385,228 common stock equivalent shares were excluded from the computation of diluted per share amounts for the three months ended September 30, 2026 and 2025, respectively, because their effect was anti-dilutive.</w:t>
      </w:r>
    </w:p>
    <w:p>
      <w:pPr>
        <w:spacing w:after="0" w:line="54"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12,373,389 and 28,796,872 common stock equivalent shares were excluded from the computation of diluted per share amounts for the nine months ended September 30, 2026 and 2025, respectively, because their effect was anti-dilutive.</w:t>
      </w:r>
    </w:p>
    <w:p>
      <w:pPr>
        <w:spacing w:after="0" w:line="54" w:lineRule="exact"/>
        <w:rPr>
          <w:sz w:val="20"/>
          <w:szCs w:val="20"/>
          <w:color w:val="auto"/>
        </w:rPr>
      </w:pPr>
    </w:p>
    <w:p>
      <w:pPr>
        <w:ind w:left="520" w:right="80"/>
        <w:spacing w:after="0" w:line="255" w:lineRule="auto"/>
        <w:rPr>
          <w:sz w:val="20"/>
          <w:szCs w:val="20"/>
          <w:color w:val="auto"/>
        </w:rPr>
      </w:pPr>
      <w:r>
        <w:rPr>
          <w:rFonts w:ascii="Times New Roman" w:cs="Times New Roman" w:eastAsia="Times New Roman" w:hAnsi="Times New Roman"/>
          <w:sz w:val="18"/>
          <w:szCs w:val="18"/>
          <w:color w:val="auto"/>
        </w:rPr>
        <w:t>With respect to the July 30, 2021 business combination involving Dragoneer Growth Opportunities Corp. and Cypress Holdings Inc., pursuant to which Dragoneer changed its name to CCC Intelligent Solutions Holdings Inc. (the “2021 Business Combination”), see “Note 19. Capital Stock” of our Annual Report on Form 10-K for the year ended December 31, 2025. As part of the 2021 Business Combination, 8,625,000 shares issued and held by Dragoneer (the “Sponsor Vesting Shares”) became non-transferable and subject to forfeiture on the tenth anniversary of the closing of the 2021 Business Combination if neither of the defined triggering events has occurred. The Sponsor Vesting Shares are issued and outstanding during the three and nine months ended September 30, 2026 and 2025 and excluded from the weighted average number of shares of common stock outstanding until the vesting requirement is met and the restriction is removed.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AND INFORMATION ABOUT GEOGRAPHIC AREAS</w:t>
      </w:r>
    </w:p>
    <w:p>
      <w:pPr>
        <w:spacing w:after="0" w:line="121" w:lineRule="exact"/>
        <w:rPr>
          <w:rFonts w:ascii="Times New Roman" w:cs="Times New Roman" w:eastAsia="Times New Roman" w:hAnsi="Times New Roman"/>
          <w:sz w:val="18"/>
          <w:szCs w:val="18"/>
          <w:b w:val="1"/>
          <w:bCs w:val="1"/>
          <w:color w:val="auto"/>
        </w:rPr>
      </w:pPr>
    </w:p>
    <w:p>
      <w:pPr>
        <w:ind w:left="52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organizes its segments around its operations by geographic region and operates in one reportable segment (the “Domestic Segment”). The Domestic Segment provides SaaS platforms for the insurance economy and derives revenues from providing customers with software subscriptions to the platforms in addition to providing professional services and non-software services. The accounting policies of the Domestic Segment are the same as those described in Note 2.</w:t>
      </w:r>
    </w:p>
    <w:p>
      <w:pPr>
        <w:spacing w:after="0" w:line="7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does not have intra-entity sales or transfers.</w:t>
      </w:r>
    </w:p>
    <w:p>
      <w:pPr>
        <w:spacing w:after="0" w:line="117" w:lineRule="exact"/>
        <w:rPr>
          <w:rFonts w:ascii="Times New Roman" w:cs="Times New Roman" w:eastAsia="Times New Roman" w:hAnsi="Times New Roman"/>
          <w:sz w:val="18"/>
          <w:szCs w:val="18"/>
          <w:b w:val="1"/>
          <w:bCs w:val="1"/>
          <w:color w:val="auto"/>
        </w:rPr>
      </w:pPr>
    </w:p>
    <w:p>
      <w:pPr>
        <w:ind w:left="52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chief operating decision maker (“CODM”) of the Domestic Segment is the Company’s chief executive officer. The CODM assesses performance for the Domestic Segment at the segment level and uses the segment’s performance when making strategic decisions on how to allocate resources and capital. In addition, the segment’s performance is used when reviewing actual financial performance against internal budgets and for establishing incentive compensation targets.</w:t>
      </w:r>
    </w:p>
    <w:p>
      <w:pPr>
        <w:spacing w:after="0" w:line="71" w:lineRule="exact"/>
        <w:rPr>
          <w:rFonts w:ascii="Times New Roman" w:cs="Times New Roman" w:eastAsia="Times New Roman" w:hAnsi="Times New Roman"/>
          <w:sz w:val="18"/>
          <w:szCs w:val="18"/>
          <w:b w:val="1"/>
          <w:bCs w:val="1"/>
          <w:color w:val="auto"/>
        </w:rPr>
      </w:pPr>
    </w:p>
    <w:p>
      <w:pPr>
        <w:ind w:left="52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CODM uses net income (loss) to evaluate income (loss) generated from operations in deciding whether to reinvest profits into the Domestic Segment or use for acquisitions, to pay dividends or repurchase outstanding shares of common stock. The CODM reviews financial information, including significant expenses, of the Domestic Segment on an adjusted basis, excluding certain items that may not be indicative of the Company’s recurring core business operations. This financial information reviewed by the CODM is accompanied by information about revenue by type of service and geographic region, for purposes of allocating resources and evaluating financial performance.</w:t>
      </w:r>
    </w:p>
    <w:p>
      <w:pPr>
        <w:spacing w:after="0" w:line="75" w:lineRule="exact"/>
        <w:rPr>
          <w:rFonts w:ascii="Times New Roman" w:cs="Times New Roman" w:eastAsia="Times New Roman" w:hAnsi="Times New Roman"/>
          <w:sz w:val="18"/>
          <w:szCs w:val="18"/>
          <w:b w:val="1"/>
          <w:bCs w:val="1"/>
          <w:color w:val="auto"/>
        </w:rPr>
      </w:pPr>
    </w:p>
    <w:p>
      <w:pPr>
        <w:ind w:left="52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information and performance measures used by the CODM do not include a metric or measure including segment assets and thus, no asset information is provided to the CODM for the purpose of making strategic decisions or allocating resources.</w:t>
      </w:r>
    </w:p>
    <w:p>
      <w:pPr>
        <w:spacing w:after="0" w:line="53" w:lineRule="exact"/>
        <w:rPr>
          <w:rFonts w:ascii="Times New Roman" w:cs="Times New Roman" w:eastAsia="Times New Roman" w:hAnsi="Times New Roman"/>
          <w:sz w:val="18"/>
          <w:szCs w:val="18"/>
          <w:b w:val="1"/>
          <w:bCs w:val="1"/>
          <w:color w:val="auto"/>
        </w:rPr>
      </w:pPr>
    </w:p>
    <w:p>
      <w:pPr>
        <w:ind w:left="520" w:right="8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Company’s financial information about reported segment revenue, significant segment expenses, and the Company’s reconciliation of segment profit (loss) to condensed consolidated net income (loss) (in thousands):</w:t>
      </w:r>
    </w:p>
    <w:p>
      <w:pPr>
        <w:spacing w:after="0" w:line="272"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292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02"/>
        </w:trPr>
        <w:tc>
          <w:tcPr>
            <w:tcW w:w="4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28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Revenue—Domestic Segment</w:t>
            </w:r>
          </w:p>
        </w:tc>
        <w:tc>
          <w:tcPr>
            <w:tcW w:w="9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292,347</w:t>
            </w:r>
          </w:p>
        </w:tc>
        <w:tc>
          <w:tcPr>
            <w:tcW w:w="4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265,402</w:t>
            </w:r>
          </w:p>
        </w:tc>
        <w:tc>
          <w:tcPr>
            <w:tcW w:w="24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856,106</w:t>
            </w:r>
          </w:p>
        </w:tc>
        <w:tc>
          <w:tcPr>
            <w:tcW w:w="2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774,028</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Revenue—Other </w:t>
            </w:r>
            <w:r>
              <w:rPr>
                <w:rFonts w:ascii="Times New Roman" w:cs="Times New Roman" w:eastAsia="Times New Roman" w:hAnsi="Times New Roman"/>
                <w:sz w:val="21"/>
                <w:szCs w:val="21"/>
                <w:color w:val="auto"/>
                <w:vertAlign w:val="superscript"/>
              </w:rPr>
              <w:t>(1)</w:t>
            </w:r>
          </w:p>
        </w:tc>
        <w:tc>
          <w:tcPr>
            <w:tcW w:w="9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5,108</w:t>
            </w:r>
          </w:p>
        </w:tc>
        <w:tc>
          <w:tcPr>
            <w:tcW w:w="100" w:type="dxa"/>
            <w:vAlign w:val="bottom"/>
            <w:shd w:val="clear" w:color="auto" w:fill="CFF0FC"/>
          </w:tcPr>
          <w:p>
            <w:pPr>
              <w:spacing w:after="0"/>
              <w:rPr>
                <w:sz w:val="17"/>
                <w:szCs w:val="17"/>
                <w:color w:val="auto"/>
              </w:rPr>
            </w:pPr>
          </w:p>
        </w:tc>
      </w:tr>
      <w:tr>
        <w:trPr>
          <w:trHeight w:val="204"/>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6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294,093</w:t>
            </w:r>
          </w:p>
        </w:tc>
        <w:tc>
          <w:tcPr>
            <w:tcW w:w="4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267,120</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861,298</w:t>
            </w: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779,136</w:t>
            </w:r>
          </w:p>
        </w:tc>
        <w:tc>
          <w:tcPr>
            <w:tcW w:w="100" w:type="dxa"/>
            <w:vAlign w:val="bottom"/>
            <w:tcBorders>
              <w:top w:val="single" w:sz="8" w:color="CFF0FC"/>
            </w:tcBorders>
          </w:tcPr>
          <w:p>
            <w:pPr>
              <w:spacing w:after="0"/>
              <w:rPr>
                <w:sz w:val="17"/>
                <w:szCs w:val="17"/>
                <w:color w:val="auto"/>
              </w:rPr>
            </w:pPr>
          </w:p>
        </w:tc>
      </w:tr>
      <w:tr>
        <w:trPr>
          <w:trHeight w:val="195"/>
        </w:trPr>
        <w:tc>
          <w:tcPr>
            <w:tcW w:w="4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Expenses:</w:t>
            </w: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Data licenses and royalties—adjusted </w:t>
            </w:r>
            <w:r>
              <w:rPr>
                <w:rFonts w:ascii="Times New Roman" w:cs="Times New Roman" w:eastAsia="Times New Roman" w:hAnsi="Times New Roman"/>
                <w:sz w:val="21"/>
                <w:szCs w:val="21"/>
                <w:color w:val="auto"/>
                <w:vertAlign w:val="superscript"/>
              </w:rPr>
              <w:t>(2)</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11,990</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32,722</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Customer services—adjusted </w:t>
            </w:r>
            <w:r>
              <w:rPr>
                <w:rFonts w:ascii="Times New Roman" w:cs="Times New Roman" w:eastAsia="Times New Roman" w:hAnsi="Times New Roman"/>
                <w:sz w:val="21"/>
                <w:szCs w:val="21"/>
                <w:color w:val="auto"/>
                <w:vertAlign w:val="superscript"/>
              </w:rPr>
              <w:t>(3)</w:t>
            </w: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27,936</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29,034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81,419</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83,368</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Products and technology—adjusted </w:t>
            </w:r>
            <w:r>
              <w:rPr>
                <w:rFonts w:ascii="Times New Roman" w:cs="Times New Roman" w:eastAsia="Times New Roman" w:hAnsi="Times New Roman"/>
                <w:sz w:val="21"/>
                <w:szCs w:val="21"/>
                <w:color w:val="auto"/>
                <w:vertAlign w:val="superscript"/>
              </w:rPr>
              <w:t>(4)</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85,587</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76,546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244,292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221,982</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Revenue enablement—adjusted </w:t>
            </w:r>
            <w:r>
              <w:rPr>
                <w:rFonts w:ascii="Times New Roman" w:cs="Times New Roman" w:eastAsia="Times New Roman" w:hAnsi="Times New Roman"/>
                <w:sz w:val="21"/>
                <w:szCs w:val="21"/>
                <w:color w:val="auto"/>
                <w:vertAlign w:val="superscript"/>
              </w:rPr>
              <w:t>(5)</w:t>
            </w: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34,438</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36,171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107,442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103,906</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General corporate and administrative—adjusted </w:t>
            </w:r>
            <w:r>
              <w:rPr>
                <w:rFonts w:ascii="Times New Roman" w:cs="Times New Roman" w:eastAsia="Times New Roman" w:hAnsi="Times New Roman"/>
                <w:sz w:val="21"/>
                <w:szCs w:val="21"/>
                <w:color w:val="auto"/>
                <w:vertAlign w:val="superscript"/>
              </w:rPr>
              <w:t>(6)</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20,910</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61,315</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(7)</w:t>
            </w: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22,379</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64,132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117,398</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Amortization expense</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22,880</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68,640</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Depreciation expense</w:t>
            </w: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14,792</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16,980</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42,065</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44,307</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expense</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20,900</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52,866</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(1,365)</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(1,065)</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(3,050)</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(4,233)</w:t>
            </w:r>
          </w:p>
        </w:tc>
      </w:tr>
      <w:tr>
        <w:trPr>
          <w:trHeight w:val="203"/>
        </w:trPr>
        <w:tc>
          <w:tcPr>
            <w:tcW w:w="4040" w:type="dxa"/>
            <w:vAlign w:val="bottom"/>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Significant non-cash items </w:t>
            </w:r>
            <w:r>
              <w:rPr>
                <w:rFonts w:ascii="Times New Roman" w:cs="Times New Roman" w:eastAsia="Times New Roman" w:hAnsi="Times New Roman"/>
                <w:sz w:val="21"/>
                <w:szCs w:val="21"/>
                <w:color w:val="auto"/>
                <w:vertAlign w:val="superscript"/>
              </w:rPr>
              <w:t>(8)</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(2,514)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(10,019)</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8,441</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9,703</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(5,143)</w:t>
            </w:r>
          </w:p>
        </w:tc>
      </w:tr>
      <w:tr>
        <w:trPr>
          <w:trHeight w:val="196"/>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segment expenses</w:t>
            </w:r>
          </w:p>
        </w:tc>
        <w:tc>
          <w:tcPr>
            <w:tcW w:w="6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263,862</w:t>
            </w:r>
          </w:p>
        </w:tc>
        <w:tc>
          <w:tcPr>
            <w:tcW w:w="4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269,091</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794,862</w:t>
            </w: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785,568</w:t>
            </w:r>
          </w:p>
        </w:tc>
        <w:tc>
          <w:tcPr>
            <w:tcW w:w="100" w:type="dxa"/>
            <w:vAlign w:val="bottom"/>
            <w:tcBorders>
              <w:top w:val="single" w:sz="8" w:color="CFF0FC"/>
            </w:tcBorders>
          </w:tcPr>
          <w:p>
            <w:pPr>
              <w:spacing w:after="0"/>
              <w:rPr>
                <w:sz w:val="17"/>
                <w:szCs w:val="17"/>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including non-controlling interest</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(1,971)</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66,435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(6,432)</w:t>
            </w: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-2236470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-2236470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-2236470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-2236470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-299720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-299720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-299720</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-299720</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596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53" w:lineRule="exact"/>
        <w:rPr>
          <w:sz w:val="20"/>
          <w:szCs w:val="20"/>
          <w:color w:val="auto"/>
        </w:rPr>
      </w:pPr>
    </w:p>
    <w:p>
      <w:pPr>
        <w:ind w:left="700" w:hanging="183"/>
        <w:spacing w:after="0"/>
        <w:tabs>
          <w:tab w:leader="none" w:pos="7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Represents revenue from an insignificant segment that does not meet the quantitative thresholds for determining reportable segments.</w:t>
      </w:r>
    </w:p>
    <w:p>
      <w:pPr>
        <w:spacing w:after="0" w:line="99" w:lineRule="exact"/>
        <w:rPr>
          <w:rFonts w:ascii="Times New Roman" w:cs="Times New Roman" w:eastAsia="Times New Roman" w:hAnsi="Times New Roman"/>
          <w:sz w:val="23"/>
          <w:szCs w:val="23"/>
          <w:color w:val="auto"/>
          <w:vertAlign w:val="superscript"/>
        </w:rPr>
      </w:pPr>
    </w:p>
    <w:p>
      <w:pPr>
        <w:ind w:left="520" w:right="80" w:hanging="3"/>
        <w:spacing w:after="0" w:line="225" w:lineRule="auto"/>
        <w:tabs>
          <w:tab w:leader="none" w:pos="705"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Data licenses and royalties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expenses include third party costs for data licensing and royalty fees. Data licenses and royalties – adjusted excludes stock-based compensation expense and related employer payroll tax.</w:t>
      </w:r>
    </w:p>
    <w:p>
      <w:pPr>
        <w:spacing w:after="0" w:line="100" w:lineRule="exact"/>
        <w:rPr>
          <w:rFonts w:ascii="Times New Roman" w:cs="Times New Roman" w:eastAsia="Times New Roman" w:hAnsi="Times New Roman"/>
          <w:sz w:val="24"/>
          <w:szCs w:val="24"/>
          <w:color w:val="auto"/>
          <w:vertAlign w:val="superscript"/>
        </w:rPr>
      </w:pPr>
    </w:p>
    <w:p>
      <w:pPr>
        <w:ind w:left="520" w:right="420" w:hanging="3"/>
        <w:spacing w:after="0" w:line="233" w:lineRule="auto"/>
        <w:tabs>
          <w:tab w:leader="none" w:pos="705"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Customer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expenses include the costs to deliver services to customers, including software configuration, integration and implementation services and customer support activities. Customer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excludes stock-based compensation expense and related employer payroll tax.</w:t>
      </w:r>
    </w:p>
    <w:p>
      <w:pPr>
        <w:spacing w:after="0" w:line="99" w:lineRule="exact"/>
        <w:rPr>
          <w:rFonts w:ascii="Times New Roman" w:cs="Times New Roman" w:eastAsia="Times New Roman" w:hAnsi="Times New Roman"/>
          <w:sz w:val="24"/>
          <w:szCs w:val="24"/>
          <w:color w:val="auto"/>
          <w:vertAlign w:val="superscript"/>
        </w:rPr>
      </w:pPr>
    </w:p>
    <w:p>
      <w:pPr>
        <w:ind w:left="520" w:right="560" w:hanging="3"/>
        <w:spacing w:after="0" w:line="225" w:lineRule="auto"/>
        <w:tabs>
          <w:tab w:leader="none" w:pos="705"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Products and technology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expenses include costs related to the engineering, product management design and development of the Company’s solutions, and costs related to the Company’s hosting environments, support of production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ind w:left="520"/>
        <w:spacing w:after="0" w:line="286" w:lineRule="auto"/>
        <w:rPr>
          <w:sz w:val="20"/>
          <w:szCs w:val="20"/>
          <w:color w:val="auto"/>
        </w:rPr>
      </w:pPr>
      <w:r>
        <w:rPr>
          <w:rFonts w:ascii="Times New Roman" w:cs="Times New Roman" w:eastAsia="Times New Roman" w:hAnsi="Times New Roman"/>
          <w:sz w:val="18"/>
          <w:szCs w:val="18"/>
          <w:color w:val="auto"/>
        </w:rPr>
        <w:t>infrastructure, support of internal systems and infrastructure and IT security. Products and technology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excludes stock-based compensation expense and related employer payroll tax.</w:t>
      </w:r>
    </w:p>
    <w:p>
      <w:pPr>
        <w:spacing w:after="0" w:line="60" w:lineRule="exact"/>
        <w:rPr>
          <w:sz w:val="20"/>
          <w:szCs w:val="20"/>
          <w:color w:val="auto"/>
        </w:rPr>
      </w:pPr>
    </w:p>
    <w:p>
      <w:pPr>
        <w:ind w:left="520" w:right="120" w:hanging="3"/>
        <w:spacing w:after="0" w:line="225" w:lineRule="auto"/>
        <w:tabs>
          <w:tab w:leader="none" w:pos="705"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Revenue enablement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expenses include costs for sales and marketing functions, including sales incentives, advertising costs, and event costs. Revenue enablement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excludes stock-based compensation expense and related employer payroll tax.</w:t>
      </w:r>
    </w:p>
    <w:p>
      <w:pPr>
        <w:spacing w:after="0" w:line="100" w:lineRule="exact"/>
        <w:rPr>
          <w:rFonts w:ascii="Times New Roman" w:cs="Times New Roman" w:eastAsia="Times New Roman" w:hAnsi="Times New Roman"/>
          <w:sz w:val="24"/>
          <w:szCs w:val="24"/>
          <w:color w:val="auto"/>
          <w:vertAlign w:val="superscript"/>
        </w:rPr>
      </w:pPr>
    </w:p>
    <w:p>
      <w:pPr>
        <w:ind w:left="520" w:right="20" w:hanging="3"/>
        <w:spacing w:after="0" w:line="241" w:lineRule="auto"/>
        <w:tabs>
          <w:tab w:leader="none" w:pos="705"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General corporate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expenses include costs for our executive management and administrative employees, including finance and accounting, human resources, facilities and legal functions. Additional expenses include professional service fees, insurance premiums and other corporate expenses that are not allocated to the other adjusted expense categories. General corporate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excludes stock-based compensation expense and related employer payroll tax, litigation proceeds and litigation costs in which the Company is the plaintiff and related antitrust matters, costs associated with the acquisition and integration of completed and potential mergers and acquisitions, costs related to equity transactions, including secondary offerings and debt refinancing costs.</w:t>
      </w:r>
    </w:p>
    <w:p>
      <w:pPr>
        <w:spacing w:after="0" w:line="105" w:lineRule="exact"/>
        <w:rPr>
          <w:rFonts w:ascii="Times New Roman" w:cs="Times New Roman" w:eastAsia="Times New Roman" w:hAnsi="Times New Roman"/>
          <w:sz w:val="24"/>
          <w:szCs w:val="24"/>
          <w:color w:val="auto"/>
          <w:vertAlign w:val="superscript"/>
        </w:rPr>
      </w:pPr>
    </w:p>
    <w:p>
      <w:pPr>
        <w:ind w:left="520" w:right="200" w:hanging="3"/>
        <w:spacing w:after="0" w:line="245" w:lineRule="auto"/>
        <w:tabs>
          <w:tab w:leader="none" w:pos="705"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segment items include stock-based compensation expense and related employer payroll taxes, as well as other items excluded from the significant segment expense categories and identified in the above descriptions, adjustments for capitalized labor costs incurred on internal development projects, and expenses of an insignificant segment that does not meet the quantitative thresholds for determining reporting segments.</w:t>
      </w:r>
    </w:p>
    <w:p>
      <w:pPr>
        <w:spacing w:after="0" w:line="70" w:lineRule="exact"/>
        <w:rPr>
          <w:rFonts w:ascii="Times New Roman" w:cs="Times New Roman" w:eastAsia="Times New Roman" w:hAnsi="Times New Roman"/>
          <w:sz w:val="23"/>
          <w:szCs w:val="23"/>
          <w:color w:val="auto"/>
          <w:vertAlign w:val="superscript"/>
        </w:rPr>
      </w:pPr>
    </w:p>
    <w:p>
      <w:pPr>
        <w:ind w:left="700" w:hanging="183"/>
        <w:spacing w:after="0"/>
        <w:tabs>
          <w:tab w:leader="none" w:pos="70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Significant non-cash items include changes in fair value of derivative instruments.</w:t>
      </w:r>
    </w:p>
    <w:p>
      <w:pPr>
        <w:spacing w:after="0" w:line="90"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8740" w:type="dxa"/>
            <w:vAlign w:val="bottom"/>
            <w:gridSpan w:val="11"/>
          </w:tcPr>
          <w:p>
            <w:pPr>
              <w:jc w:val="right"/>
              <w:ind w:right="690"/>
              <w:spacing w:after="0"/>
              <w:rPr>
                <w:sz w:val="20"/>
                <w:szCs w:val="20"/>
                <w:color w:val="auto"/>
              </w:rPr>
            </w:pPr>
            <w:r>
              <w:rPr>
                <w:rFonts w:ascii="Times New Roman" w:cs="Times New Roman" w:eastAsia="Times New Roman" w:hAnsi="Times New Roman"/>
                <w:sz w:val="18"/>
                <w:szCs w:val="18"/>
                <w:color w:val="auto"/>
                <w:w w:val="99"/>
              </w:rPr>
              <w:t>Revenues by geographic area, presented based upon the location of the customer are as follows (in thousands):</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0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292,347</w:t>
            </w:r>
          </w:p>
        </w:tc>
        <w:tc>
          <w:tcPr>
            <w:tcW w:w="138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265,402</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856,106</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774,028</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10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1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10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294,093</w:t>
            </w:r>
          </w:p>
        </w:tc>
        <w:tc>
          <w:tcPr>
            <w:tcW w:w="138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267,120</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861,298</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779,136</w:t>
            </w:r>
          </w:p>
        </w:tc>
        <w:tc>
          <w:tcPr>
            <w:tcW w:w="100" w:type="dxa"/>
            <w:vAlign w:val="bottom"/>
            <w:shd w:val="clear" w:color="auto" w:fill="CFF0FC"/>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-25400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equipment and property—Net by geographic area are as follows (in thousands):</w:t>
            </w:r>
          </w:p>
        </w:tc>
        <w:tc>
          <w:tcPr>
            <w:tcW w:w="160" w:type="dxa"/>
            <w:vAlign w:val="bottom"/>
          </w:tcPr>
          <w:p>
            <w:pPr>
              <w:spacing w:after="0"/>
              <w:rPr>
                <w:sz w:val="20"/>
                <w:szCs w:val="20"/>
                <w:color w:val="auto"/>
              </w:rPr>
            </w:pPr>
          </w:p>
        </w:tc>
        <w:tc>
          <w:tcPr>
            <w:tcW w:w="1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173,015</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software, equipment and property—Net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173,171</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60" w:hanging="552"/>
        <w:spacing w:after="0"/>
        <w:tabs>
          <w:tab w:leader="none" w:pos="5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9" w:lineRule="exact"/>
        <w:rPr>
          <w:rFonts w:ascii="Times New Roman" w:cs="Times New Roman" w:eastAsia="Times New Roman" w:hAnsi="Times New Roman"/>
          <w:sz w:val="18"/>
          <w:szCs w:val="18"/>
          <w:b w:val="1"/>
          <w:bCs w:val="1"/>
          <w:color w:val="auto"/>
        </w:rPr>
      </w:pPr>
    </w:p>
    <w:p>
      <w:pPr>
        <w:ind w:left="5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Agreement and Pending Merger</w:t>
      </w:r>
      <w:r>
        <w:rPr>
          <w:rFonts w:ascii="Times New Roman" w:cs="Times New Roman" w:eastAsia="Times New Roman" w:hAnsi="Times New Roman"/>
          <w:sz w:val="18"/>
          <w:szCs w:val="18"/>
          <w:color w:val="auto"/>
        </w:rPr>
        <w:t>— On October 14, 2026, the Company entered into an Agreement and Plan of Merger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Mozart Parent, LLC (“Parent”) and Mozart Merger Sub (DE), Inc., a wholly owned subsidiary of Parent (“Merger Sub”). Pursuant to the terms of the Merger Agreement, Merger Sub will merge with and into the Company (the “Merger”), with the Company surviving the Merger as a wholly owned subsidiary of Parent.</w:t>
      </w:r>
    </w:p>
    <w:p>
      <w:pPr>
        <w:spacing w:after="0" w:line="73" w:lineRule="exact"/>
        <w:rPr>
          <w:rFonts w:ascii="Times New Roman" w:cs="Times New Roman" w:eastAsia="Times New Roman" w:hAnsi="Times New Roman"/>
          <w:sz w:val="18"/>
          <w:szCs w:val="18"/>
          <w:b w:val="1"/>
          <w:bCs w:val="1"/>
          <w:color w:val="auto"/>
        </w:rPr>
      </w:pPr>
    </w:p>
    <w:p>
      <w:pPr>
        <w:ind w:left="5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effective time of the Merger, each issued and outstanding share of the Company’s common stock, other than certain excluded shares specified in the Merger Agreement, will be converted into the right to receive $7.75 in cash, without interest and subject to applicable withholding taxes. The Company’s board of directors unanimously approved the Merger Agreement, with respect to all directors present, and resolved to recommend that the Company’s stockholders adopt the Merger Agreement.</w:t>
      </w:r>
    </w:p>
    <w:p>
      <w:pPr>
        <w:spacing w:after="0" w:line="71" w:lineRule="exact"/>
        <w:rPr>
          <w:rFonts w:ascii="Times New Roman" w:cs="Times New Roman" w:eastAsia="Times New Roman" w:hAnsi="Times New Roman"/>
          <w:sz w:val="18"/>
          <w:szCs w:val="18"/>
          <w:b w:val="1"/>
          <w:bCs w:val="1"/>
          <w:color w:val="auto"/>
        </w:rPr>
      </w:pPr>
    </w:p>
    <w:p>
      <w:pPr>
        <w:ind w:left="5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the Merger is subject to customary closing conditions, including adoption of the Merger Agreement by the holders of a majority of the outstanding shares of the Company’s common stock entitled to vote thereon, the expiration or termination of the applicable waiting period under the Hart-Scott-Rodino Antitrust Improvements Act of 1976, as amended, and the absence of any law, injunction or order prohibiting the consummation of the Merger. The Merger is not subject to a financing condition and is expected to close in the first quarter of 2027. Upon completion of the Merger, the Company’s common stock will no longer be listed on The Nasdaq Stock Market LLC, and the Company will become a privately held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set forth elsewhere in this Quarterly Report on Form 10-Q.</w:t>
      </w:r>
    </w:p>
    <w:p>
      <w:pPr>
        <w:spacing w:after="0" w:line="75"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otherwise indicated or the context otherwise requires,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CCC,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other similar terms refer to CCC Intelligent Solutions Holdings Inc.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Founded in 1980, CCC is a leading Software as a Service (“SaaS”) and Artificial Intelligence (“AI”) platform provider for the multi-trillion-dollar insurance economy powering operations for insurers, repairers, automakers, part suppliers, and more. CCC cloud technology connects more than 35,000 businesses digitizing mission-critical workflows, commerce, and customer experiences. A trusted leader in AI, customer experience, network and workflow management, CCC delivers technology that turns crucial moments into intelligent experiences, with the goal of shaping a world where life just works.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DRP connects auto insurers and collision repair shops to create business value for both parties, and requires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79"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We believe we have become a leading insurance and repair SaaS and AI provider in the U.S. by increasing the depth and breadth of our SaaS offerings over many years. Our insurance solutions help insurance carriers manage mission-critical workflows across the claims lifecycle, while building intelligent experiences for their customers. Our software integrates seamlessly with both legacy and modern systems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more than 30,500 repair facilities through our multi-tenant cloud platform. We believe our software is the architectural backbone of insurance DRP systems and is a primary driver of material revenue for our collision repair shop customers and a source of material efficiencies for our insurance carrier customers.</w:t>
      </w:r>
    </w:p>
    <w:p>
      <w:pPr>
        <w:spacing w:after="0" w:line="6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and automotive manufacturers.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processed more than $2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AI solutions streamline existing insurance and repair processes including vehicle damage detection, claim triage, claim handling, repair estimating, intelligent claim review, and claim subrogation. We deliver real-world AI with more than 125 U.S. insurers and more than 15,000 U.S. collision repairers actively using AI-powered solutions in production environments.</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One of the primary obstacles facing the insurance economy is increasing complexity which is driven by technological advancements, supply-chain disruption, social inflation, medical inflation, and Internet-of-Things (“IOT”) data. We believe digitization plays a critical role in managing this growing complexity while meeting consumer expectations. Our technology investments are focused on digitizing complex processes and interactions across our ecosystem, and we believe we are well positioned to power the insurance economy of the future with our data, network, and platform.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While our position in the insurance economy is grounded in the automotive insurance sector, the largest Property &amp; Casualty (“P&amp;C”) insurance sector in the U.S. representing nearly half of P&amp;C Direct Written Premium (“DWP”), we believe our integrations and cloud platform are capable of driving innovation across the broader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CCC’s acquisition of EvolutionIQ, Inc. (“EvolutionIQ”) in January 2025 added claims solutions in disability and workers’ compensation insurance lines to CCC’s solution suite.</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27 of the top 30 automotive insurance carriers and 9 of the top 15 disability insurance carriers in the U.S., based on DWP, and hundreds of regional carriers. We have more than 35,000 total customers, including more than 30,500 automotive collision repair facilities (including repairers and other entities that estimate damaged vehicles), more than 6,500 parts and diagnostics suppliers, 15 of the top 15 automotive manufacturers based on vehicles in operation, and numerous other companies that participate in the insurance economy.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Take-Private Merger</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On October 14, 2026, the Company entered into an Agreement and Plan of Merger (the “Merger Agreement”) with Mozart Parent, LLC (“Parent”), and Mozart Merger Sub (DE), Inc., a wholly owned subsidiary of Parent (“Merger Sub”). Pursuant to the terms of the Merger Agreement, Merger Sub will merge with and into the Company (the “Merger”), with the Company surviving the Merger as a wholly owned subsidiary of Parent.</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At the effective time of the Merger, each issued and outstanding share of the Company’s common stock, other than certain excluded shares specified in the Merger Agreement, will be converted into the right to receive $7.75 in cash, without interest and subject to applicable withholding taxes. The Company’s board of directors unanimously approved the Merger Agreement, with respect to all directors present, and resolved to recommend that the Company’s stockholders adopt the Merger Agreement.</w:t>
      </w:r>
    </w:p>
    <w:p>
      <w:pPr>
        <w:spacing w:after="0" w:line="7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consummation of the Merger is subject to customary closing conditions, including adoption of the Merger Agreement by the holders of a majority of the outstanding shares of the Company’s common stock entitled to vote thereon, the expiration or termination of the applicable waiting period under the Hart-Scott-Rodino Antitrust Improvements Act of 1976, as amended, and the absence of any law, injunction or order prohibiting the consummation of the Merger. The Merger is not subject to a financing condition and is expected to close in the first quarter of 2027. Upon completion of the Merger, the Company’s common stock will no longer be listed on The Nasdaq Stock Market LLC, and the Company will become a privately held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 and Operating Metrics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GAAP and non-GAAP financial measures, we rely on Software Net Dollar Retention Rate (“Software NDR”) and Software Gross Dollar Retention Rate (“Software GDR”) to measure and evaluate our business and to make strategic decisions. Software NDR and Software GDR may not be comparable to or calculated in the same way as other similarly titled measures used by other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NDR</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changes in the solutions purchased, changes in pricing and transaction volume, but does not reflect revenue for new customers added. The calculation excludes: (a) changes in estimates related to the timing of one-time revenue and other revenue, including professional services, and</w:t>
      </w:r>
    </w:p>
    <w:p>
      <w:pPr>
        <w:spacing w:after="0" w:line="3" w:lineRule="exact"/>
        <w:rPr>
          <w:sz w:val="20"/>
          <w:szCs w:val="20"/>
          <w:color w:val="auto"/>
        </w:rPr>
      </w:pPr>
    </w:p>
    <w:p>
      <w:pPr>
        <w:ind w:right="40" w:firstLine="8"/>
        <w:spacing w:after="0" w:line="252"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and carriers who subscribe to our claims synthesis and claims guidance solutions, which account for most of the Company’s revenue, and excludes revenue from smaller emerging solutions with international subsidiaries or other ecosystem solutions, such as parts suppliers and other automotive manufacturers, and also excludes CCC casualty solutions which are largely usage and professional service based.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NDR</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w:t>
            </w:r>
          </w:p>
        </w:tc>
        <w:tc>
          <w:tcPr>
            <w:tcW w:w="17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107%</w:t>
            </w:r>
          </w:p>
        </w:tc>
        <w:tc>
          <w:tcPr>
            <w:tcW w:w="1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107%</w:t>
            </w:r>
          </w:p>
        </w:tc>
      </w:tr>
      <w:tr>
        <w:trPr>
          <w:trHeight w:val="216"/>
        </w:trPr>
        <w:tc>
          <w:tcPr>
            <w:tcW w:w="62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June 30</w:t>
            </w:r>
          </w:p>
        </w:tc>
        <w:tc>
          <w:tcPr>
            <w:tcW w:w="1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107%</w:t>
            </w:r>
          </w:p>
        </w:tc>
        <w:tc>
          <w:tcPr>
            <w:tcW w:w="1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107%</w:t>
            </w:r>
          </w:p>
        </w:tc>
      </w:tr>
      <w:tr>
        <w:trPr>
          <w:trHeight w:val="216"/>
        </w:trPr>
        <w:tc>
          <w:tcPr>
            <w:tcW w:w="6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17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108%</w:t>
            </w:r>
          </w:p>
        </w:tc>
        <w:tc>
          <w:tcPr>
            <w:tcW w:w="1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105%</w:t>
            </w:r>
          </w:p>
        </w:tc>
      </w:tr>
      <w:tr>
        <w:trPr>
          <w:trHeight w:val="234"/>
        </w:trPr>
        <w:tc>
          <w:tcPr>
            <w:tcW w:w="62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GDR</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and carriers who subscribe to our claims synthesis and claims guidance solutions, which account for most of the Company’s revenue, and excludes revenue from smaller emerging solutions with international subsidiaries or other ecosystem solutions, such as parts suppliers and other automotive manufacturers, and excludes CCC casualty solutions which are largely usage and professional service based.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GDR</w:t>
            </w:r>
          </w:p>
        </w:tc>
        <w:tc>
          <w:tcPr>
            <w:tcW w:w="29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w:t>
            </w:r>
          </w:p>
        </w:tc>
        <w:tc>
          <w:tcPr>
            <w:tcW w:w="17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98%</w:t>
            </w:r>
          </w:p>
        </w:tc>
        <w:tc>
          <w:tcPr>
            <w:tcW w:w="17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99%</w:t>
            </w:r>
          </w:p>
        </w:tc>
      </w:tr>
      <w:tr>
        <w:trPr>
          <w:trHeight w:val="216"/>
        </w:trPr>
        <w:tc>
          <w:tcPr>
            <w:tcW w:w="3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June 30</w:t>
            </w:r>
          </w:p>
        </w:tc>
        <w:tc>
          <w:tcPr>
            <w:tcW w:w="17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98%</w:t>
            </w:r>
          </w:p>
        </w:tc>
        <w:tc>
          <w:tcPr>
            <w:tcW w:w="17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99%</w:t>
            </w:r>
          </w:p>
        </w:tc>
      </w:tr>
      <w:tr>
        <w:trPr>
          <w:trHeight w:val="216"/>
        </w:trPr>
        <w:tc>
          <w:tcPr>
            <w:tcW w:w="3300" w:type="dxa"/>
            <w:vAlign w:val="bottom"/>
            <w:shd w:val="clear" w:color="auto" w:fill="CFF0FC"/>
          </w:tcPr>
          <w:p>
            <w:pPr>
              <w:spacing w:after="0"/>
              <w:rPr>
                <w:sz w:val="18"/>
                <w:szCs w:val="18"/>
                <w:color w:val="auto"/>
              </w:rPr>
            </w:pPr>
          </w:p>
        </w:tc>
        <w:tc>
          <w:tcPr>
            <w:tcW w:w="29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17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98%</w:t>
            </w:r>
          </w:p>
        </w:tc>
        <w:tc>
          <w:tcPr>
            <w:tcW w:w="17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99%</w:t>
            </w:r>
          </w:p>
        </w:tc>
      </w:tr>
      <w:tr>
        <w:trPr>
          <w:trHeight w:val="234"/>
        </w:trPr>
        <w:tc>
          <w:tcPr>
            <w:tcW w:w="3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99%</w:t>
            </w:r>
          </w:p>
        </w:tc>
      </w:tr>
      <w:tr>
        <w:trPr>
          <w:trHeight w:val="738"/>
        </w:trPr>
        <w:tc>
          <w:tcPr>
            <w:tcW w:w="3300" w:type="dxa"/>
            <w:vAlign w:val="bottom"/>
          </w:tcPr>
          <w:p>
            <w:pPr>
              <w:spacing w:after="0"/>
              <w:rPr>
                <w:sz w:val="24"/>
                <w:szCs w:val="24"/>
                <w:color w:val="auto"/>
              </w:rPr>
            </w:pPr>
          </w:p>
        </w:tc>
        <w:tc>
          <w:tcPr>
            <w:tcW w:w="2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28</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to the three months ended September 30, 2025</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share and per share data)</w:t>
            </w:r>
          </w:p>
        </w:tc>
        <w:tc>
          <w:tcPr>
            <w:tcW w:w="316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auto"/>
            </w:tcBorders>
            <w:vMerge w:val="continue"/>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294,093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267,120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$ 26,973</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 exclusive of amortization of acquired technologies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tcPr>
          <w:p>
            <w:pPr>
              <w:spacing w:after="0" w:line="21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4"/>
                <w:szCs w:val="24"/>
                <w:color w:val="auto"/>
                <w:vertAlign w:val="superscript"/>
              </w:rPr>
              <w:t>(1)</w:t>
            </w: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76,087</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74,147</w:t>
            </w: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80" w:type="dxa"/>
            <w:vAlign w:val="bottom"/>
            <w:tcBorders>
              <w:top w:val="single" w:sz="8" w:color="CFF0FC"/>
            </w:tcBorders>
          </w:tcPr>
          <w:p>
            <w:pPr>
              <w:spacing w:after="0"/>
              <w:rPr>
                <w:sz w:val="18"/>
                <w:szCs w:val="18"/>
                <w:color w:val="auto"/>
              </w:rPr>
            </w:pPr>
          </w:p>
        </w:tc>
        <w:tc>
          <w:tcPr>
            <w:tcW w:w="64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6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218,006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192,973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25,033</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53,042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Selling and marketing</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47,332</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160,619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162,999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(2,380)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57,387</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180" w:type="dxa"/>
            <w:vAlign w:val="bottom"/>
            <w:tcBorders>
              <w:top w:val="single" w:sz="8" w:color="CFF0FC"/>
            </w:tcBorders>
          </w:tcPr>
          <w:p>
            <w:pPr>
              <w:spacing w:after="0"/>
              <w:rPr>
                <w:sz w:val="18"/>
                <w:szCs w:val="18"/>
                <w:color w:val="auto"/>
              </w:rPr>
            </w:pPr>
          </w:p>
        </w:tc>
        <w:tc>
          <w:tcPr>
            <w:tcW w:w="64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8"/>
              </w:rPr>
              <w:t>91.5%</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(20,900)</w:t>
            </w: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(18,103)</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(2,797)</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28.2%</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346.8%</w:t>
            </w:r>
          </w:p>
        </w:tc>
        <w:tc>
          <w:tcPr>
            <w:tcW w:w="0" w:type="dxa"/>
            <w:vAlign w:val="bottom"/>
          </w:tcPr>
          <w:p>
            <w:pPr>
              <w:spacing w:after="0"/>
              <w:rPr>
                <w:sz w:val="1"/>
                <w:szCs w:val="1"/>
                <w:color w:val="auto"/>
              </w:rPr>
            </w:pPr>
          </w:p>
        </w:tc>
      </w:tr>
      <w:tr>
        <w:trPr>
          <w:trHeight w:val="210"/>
        </w:trPr>
        <w:tc>
          <w:tcPr>
            <w:tcW w:w="6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(17,453)</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(16,572)</w:t>
            </w: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(881)</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39,934</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180" w:type="dxa"/>
            <w:vAlign w:val="bottom"/>
            <w:tcBorders>
              <w:top w:val="single" w:sz="8" w:color="CFF0FC"/>
            </w:tcBorders>
          </w:tcPr>
          <w:p>
            <w:pPr>
              <w:spacing w:after="0"/>
              <w:rPr>
                <w:sz w:val="18"/>
                <w:szCs w:val="18"/>
                <w:color w:val="auto"/>
              </w:rPr>
            </w:pPr>
          </w:p>
        </w:tc>
        <w:tc>
          <w:tcPr>
            <w:tcW w:w="64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7"/>
              </w:rPr>
              <w:t>198.0%</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(9,703)</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(15,373)</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0"/>
        </w:trPr>
        <w:tc>
          <w:tcPr>
            <w:tcW w:w="660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CCC Intelligent Solutions Holdings Inc. common stockholders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$ 32,202</w:t>
            </w:r>
          </w:p>
        </w:tc>
        <w:tc>
          <w:tcPr>
            <w:tcW w:w="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575,679,641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631,440,015</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7"/>
                <w:szCs w:val="17"/>
                <w:color w:val="auto"/>
              </w:rPr>
            </w:pPr>
          </w:p>
        </w:tc>
        <w:tc>
          <w:tcPr>
            <w:tcW w:w="11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593,430,988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631,440,015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NM—Not Meaningful</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4"/>
        </w:trPr>
        <w:tc>
          <w:tcPr>
            <w:tcW w:w="6600" w:type="dxa"/>
            <w:vAlign w:val="bottom"/>
          </w:tcPr>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Includes stock-based compensation expense as follows (in thousands):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6"/>
        </w:trPr>
        <w:tc>
          <w:tcPr>
            <w:tcW w:w="6600" w:type="dxa"/>
            <w:vAlign w:val="bottom"/>
          </w:tcPr>
          <w:p>
            <w:pPr>
              <w:spacing w:after="0"/>
              <w:rPr>
                <w:sz w:val="24"/>
                <w:szCs w:val="24"/>
                <w:color w:val="auto"/>
              </w:rPr>
            </w:pPr>
          </w:p>
        </w:tc>
        <w:tc>
          <w:tcPr>
            <w:tcW w:w="316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31,536</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39,193</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-5211445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-5211445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-5211445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-4088130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-4088130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-4088130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-3248025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-3248025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-3248025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-2965450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-2965450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-2965450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Revenues increased by $27.0 million to $294.1 million, or 10.1%, for the three months ended September 30, 2026, compared to the three months ended September 30, 2025. The Company’s software subscription revenues accounted for $281.5 million and $256.7 million, or 96% of total revenue, during the three months ended September 30, 2026 and 2025,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was primarily a result of approximately 8% growth from existing customer upgrades and expanding solution offerings to these existing customers and approximately 2% growth from new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increased by $1.9 million to $76.1 million, or 2.6%, for the three months ended September 30, 2026, compared to the three months ended September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exclusive of amortization of acquired technologies</w:t>
      </w:r>
    </w:p>
    <w:p>
      <w:pPr>
        <w:spacing w:after="0" w:line="119"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Cost of revenues, exclusive of amortization of acquired technologies, increased by $1.9 million to $71.7 million, or 2.8%, for the three months ended September 30, 2026, compared to the three months ended September 30, 2025. The increase was primarily due to a $2.4 million increase in personnel-related costs and a $1.0 million increase in third-party fees and direct costs associated with revenue growth, partially offset by a $2.1 million decrease in depreciation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Technologies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acquired technologies was $4.4 million for the three months ended September 30, 2026 and three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Gross profit increased by $25.0 million to $218.0 million, or 13.0%, for the three months ended September 30, 2026, compared to the three months ended September 30, 2025. Our gross profit margin was 74.1% for the three months ended September 30, 2026, compared to 72.2% for the three months ended September 30, 2025. The increase in gross profit was due to increased software subscription revenues and economies of scale resulting from fixed cost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$0.1 million to $53.0 million, or 0.2%, for the three months ended September 30, 2026, compared to the three months ended September 30, 2025. The increase was primarily due to a $2.9 million increase in personnel-related costs and a $1.2 million increase in information technology ("IT") related costs, partially offset by a $2.5 million decrease in stock-based compensation expense and a $1.6 million increase in the amount of capitalized time on platform and customer solution enhancements.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 decreased by $6.2 million to $38.0 million, or 14.0%, for the three months ended September 30, 2026, compared to the three months ended September 30, 2025. This decrease was primarily due to a $2.7 million decrease in stock-based compensation, a $2.0 million decrease in personnel-related costs, and a $1.1 million decrease in professional service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$3.7 million to $51.0 million, or 7.9%, for the three months ended September 30, 2026, compared to the three months ended September 30, 2025. The increase was primarily due to a $3.7 million increase in professional service costs, a $2.3 million increase in personnel-related costs, and a $1.4 million increase in IT related costs, partially offset by a $2.6 million decrease in stock-based compensation and a $1.1 million decrease in other business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was $18.5 million for the three months ended September 30,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by $2.8 million to $20.9 million, or 15.5%, for the three months ended September 30, 2026, compared to the three months ended September 30, 2025. The increase was primarily due to the interest incurred on an additional $300 million term loan as part of the Fifth Amendment to the 2021 Credit Agreement entered into in December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Interest income increased by $0.3 million to $1.4 million, or 28.2%, for the three months ended September 30, 2026, compared to the three months ended September 30, 2025, primarily reflecting higher interest earned on interest-bearing deposits and money market funds during the three months ended September 30, 2026 compared to the three months ended September 30,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Net</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recognized other income—Net of $2.1 million for the three months ended September 30, 2026 compared to other income—Net of $0.5 million for the three months ended September 30, 2025. The income recognized during the three months ended September 30, 2026 was primarily due to the increase in the fair value of derivative instrument assets, driven by the fair value of the Company’s three interest rate swap agreements. The income recognized during the three months ended September 30, 2025 was primarily due to the increase in the fair value of derivative instruments of the Company's three interest rate swap agreements entered into during the three months ended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recognized an income tax provision of $9.7 million and $15.4 million for the three months ended September 30, 2026 and 2025, respectively. The income tax provision during the three months ended September 30, 2026 was primarily due to the Company's pre-tax book income, as well as the tax impact related to stock-based compensation expense, partially offset by the tax impact related to estimated research and development credits. The income tax provision during the three months ended September 30, 2025 was primarily due to the Company’s pre-tax book income, as well as the tax impact related to stock-based compensation expense, partially offset by the tax impact related to estimated research and development credits.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the </w:t>
            </w:r>
            <w:r>
              <w:rPr>
                <w:rFonts w:ascii="Times New Roman" w:cs="Times New Roman" w:eastAsia="Times New Roman" w:hAnsi="Times New Roman"/>
                <w:sz w:val="18"/>
                <w:szCs w:val="18"/>
                <w:b w:val="1"/>
                <w:bCs w:val="1"/>
                <w:color w:val="auto"/>
              </w:rPr>
              <w:t>nine months ended September 30, 2026</w:t>
            </w:r>
            <w:r>
              <w:rPr>
                <w:rFonts w:ascii="Times New Roman" w:cs="Times New Roman" w:eastAsia="Times New Roman" w:hAnsi="Times New Roman"/>
                <w:sz w:val="18"/>
                <w:szCs w:val="18"/>
                <w:b w:val="1"/>
                <w:bCs w:val="1"/>
                <w:i w:val="1"/>
                <w:iCs w:val="1"/>
                <w:color w:val="auto"/>
              </w:rPr>
              <w:t xml:space="preserve"> to the nine months ended September 30, 2025</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share and per share data)</w:t>
            </w:r>
          </w:p>
        </w:tc>
        <w:tc>
          <w:tcPr>
            <w:tcW w:w="100" w:type="dxa"/>
            <w:vAlign w:val="bottom"/>
          </w:tcPr>
          <w:p>
            <w:pPr>
              <w:spacing w:after="0"/>
              <w:rPr>
                <w:sz w:val="24"/>
                <w:szCs w:val="24"/>
                <w:color w:val="auto"/>
              </w:rPr>
            </w:pPr>
          </w:p>
        </w:tc>
        <w:tc>
          <w:tcPr>
            <w:tcW w:w="29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40" w:type="dxa"/>
            <w:vAlign w:val="bottom"/>
          </w:tcPr>
          <w:p>
            <w:pPr>
              <w:spacing w:after="0"/>
              <w:rPr>
                <w:sz w:val="24"/>
                <w:szCs w:val="24"/>
                <w:color w:val="auto"/>
              </w:rPr>
            </w:pPr>
          </w:p>
        </w:tc>
        <w:tc>
          <w:tcPr>
            <w:tcW w:w="6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auto"/>
            </w:tcBorders>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861,298</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779,136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82,162</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exclusive of amortization of acquired technologies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6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technologies</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9"/>
        </w:trPr>
        <w:tc>
          <w:tcPr>
            <w:tcW w:w="6580" w:type="dxa"/>
            <w:vAlign w:val="bottom"/>
            <w:tcBorders>
              <w:top w:val="single" w:sz="8" w:color="CFF0FC"/>
            </w:tcBorders>
          </w:tcPr>
          <w:p>
            <w:pPr>
              <w:spacing w:after="0" w:line="21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4"/>
                <w:szCs w:val="24"/>
                <w:color w:val="auto"/>
                <w:vertAlign w:val="superscript"/>
              </w:rPr>
              <w:t>(1)</w:t>
            </w: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223,776</w:t>
            </w:r>
          </w:p>
        </w:tc>
        <w:tc>
          <w:tcPr>
            <w:tcW w:w="1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207,155</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180" w:type="dxa"/>
            <w:vAlign w:val="bottom"/>
            <w:tcBorders>
              <w:top w:val="single" w:sz="8" w:color="CFF0FC"/>
            </w:tcBorders>
          </w:tcPr>
          <w:p>
            <w:pPr>
              <w:spacing w:after="0"/>
              <w:rPr>
                <w:sz w:val="18"/>
                <w:szCs w:val="18"/>
                <w:color w:val="auto"/>
              </w:rPr>
            </w:pPr>
          </w:p>
        </w:tc>
        <w:tc>
          <w:tcPr>
            <w:tcW w:w="64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6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637,522</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571,981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65,541</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11.5%</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right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158,556</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174,639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(16,083)</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Selling and marketing</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120,934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(15,046)</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6580" w:type="dxa"/>
            <w:vAlign w:val="bottom"/>
            <w:tcBorders>
              <w:right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148,660</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162,080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(13,420)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-8.3%</w:t>
            </w: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483,685</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528,235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(44,550)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-8.4%</w:t>
            </w:r>
          </w:p>
        </w:tc>
        <w:tc>
          <w:tcPr>
            <w:tcW w:w="0" w:type="dxa"/>
            <w:vAlign w:val="bottom"/>
          </w:tcPr>
          <w:p>
            <w:pPr>
              <w:spacing w:after="0"/>
              <w:rPr>
                <w:sz w:val="1"/>
                <w:szCs w:val="1"/>
                <w:color w:val="auto"/>
              </w:rPr>
            </w:pPr>
          </w:p>
        </w:tc>
      </w:tr>
      <w:tr>
        <w:trPr>
          <w:trHeight w:val="209"/>
        </w:trPr>
        <w:tc>
          <w:tcPr>
            <w:tcW w:w="6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153,837</w:t>
            </w:r>
          </w:p>
        </w:tc>
        <w:tc>
          <w:tcPr>
            <w:tcW w:w="1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43,746</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110,091</w:t>
            </w:r>
          </w:p>
        </w:tc>
        <w:tc>
          <w:tcPr>
            <w:tcW w:w="180" w:type="dxa"/>
            <w:vAlign w:val="bottom"/>
            <w:tcBorders>
              <w:top w:val="single" w:sz="8" w:color="CFF0FC"/>
            </w:tcBorders>
          </w:tcPr>
          <w:p>
            <w:pPr>
              <w:spacing w:after="0"/>
              <w:rPr>
                <w:sz w:val="18"/>
                <w:szCs w:val="18"/>
                <w:color w:val="auto"/>
              </w:rPr>
            </w:pPr>
          </w:p>
        </w:tc>
        <w:tc>
          <w:tcPr>
            <w:tcW w:w="64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7"/>
              </w:rPr>
              <w:t>251.7%</w:t>
            </w:r>
          </w:p>
        </w:tc>
        <w:tc>
          <w:tcPr>
            <w:tcW w:w="0" w:type="dxa"/>
            <w:vAlign w:val="bottom"/>
          </w:tcPr>
          <w:p>
            <w:pPr>
              <w:spacing w:after="0"/>
              <w:rPr>
                <w:sz w:val="1"/>
                <w:szCs w:val="1"/>
                <w:color w:val="auto"/>
              </w:rPr>
            </w:pPr>
          </w:p>
        </w:tc>
      </w:tr>
      <w:tr>
        <w:trPr>
          <w:trHeight w:val="216"/>
        </w:trPr>
        <w:tc>
          <w:tcPr>
            <w:tcW w:w="6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(61,559)</w:t>
            </w: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(52,866)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(8,693)</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16.4%</w:t>
            </w:r>
          </w:p>
        </w:tc>
        <w:tc>
          <w:tcPr>
            <w:tcW w:w="0" w:type="dxa"/>
            <w:vAlign w:val="bottom"/>
          </w:tcPr>
          <w:p>
            <w:pPr>
              <w:spacing w:after="0"/>
              <w:rPr>
                <w:sz w:val="1"/>
                <w:szCs w:val="1"/>
                <w:color w:val="auto"/>
              </w:rPr>
            </w:pPr>
          </w:p>
        </w:tc>
      </w:tr>
      <w:tr>
        <w:trPr>
          <w:trHeight w:val="216"/>
        </w:trPr>
        <w:tc>
          <w:tcPr>
            <w:tcW w:w="6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(1,183)</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(expense)—Net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(49,894)</w:t>
            </w: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(55,321)</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-9.8%</w:t>
            </w:r>
          </w:p>
        </w:tc>
        <w:tc>
          <w:tcPr>
            <w:tcW w:w="0" w:type="dxa"/>
            <w:vAlign w:val="bottom"/>
          </w:tcPr>
          <w:p>
            <w:pPr>
              <w:spacing w:after="0"/>
              <w:rPr>
                <w:sz w:val="1"/>
                <w:szCs w:val="1"/>
                <w:color w:val="auto"/>
              </w:rPr>
            </w:pPr>
          </w:p>
        </w:tc>
      </w:tr>
      <w:tr>
        <w:trPr>
          <w:trHeight w:val="20"/>
        </w:trPr>
        <w:tc>
          <w:tcPr>
            <w:tcW w:w="65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Pretax income (loss)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115,518</w:t>
            </w:r>
          </w:p>
        </w:tc>
        <w:tc>
          <w:tcPr>
            <w:tcW w:w="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(37,508)</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(42,651)</w:t>
            </w:r>
          </w:p>
        </w:tc>
        <w:tc>
          <w:tcPr>
            <w:tcW w:w="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5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including non-controlling interest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72,867</w:t>
            </w:r>
          </w:p>
        </w:tc>
        <w:tc>
          <w:tcPr>
            <w:tcW w:w="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accretion of redeemable non-controlling interest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(1,276)</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0"/>
        </w:trPr>
        <w:tc>
          <w:tcPr>
            <w:tcW w:w="65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CCC Intelligent Solutions Holdings Inc. Common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180" w:type="dxa"/>
            <w:vAlign w:val="bottom"/>
          </w:tcPr>
          <w:p>
            <w:pPr>
              <w:spacing w:after="0"/>
              <w:rPr>
                <w:sz w:val="16"/>
                <w:szCs w:val="16"/>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(7,708)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74,143</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578,837,408</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635,263,670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595,291,220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635,263,670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6580" w:type="dxa"/>
            <w:vAlign w:val="bottom"/>
          </w:tcPr>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Includes stock-based compensation expense as follows (in thousands):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-4084955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-4084955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-4084955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-2962275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-2962275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-2962275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-2122170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-2122170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-2122170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-1838960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-1838960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-1838960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-1556385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-1556385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-1556385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34,420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24,574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28,265</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93,794</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Revenues increased by $82.2 million to $861.3 million, or 10.5%, for the nine months ended September 30, 2026, compared to the nine months ended September 30, 2025. The Company’s software subscription revenues accounted for $825.6 million and $749.8 million, or 96% of total revenue, during the nine months ended September 30, 2026 and 2025, respectively.</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was primarily a result of approximately 8% growth from existing customer upgrades and expanding solution offerings to these existing customers and approximately 2% growth from new customers.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Cost of revenues increased by $16.6 million to $223.8 million, or 8.0% for the nine months ended September 30, 2026, compared to the nine months ended September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exclusive of amortization of acquired technologies</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Cost of revenues, exclusive of amortization of acquired technologies, increased by $16.6 million to $210.7 million, or 8.6%, for the nine months ended September 30, 2026, compared to the nine months ended September 30, 2025. The increase was primarily due to an $8.6 million increase in IT related costs, a $7.5 million increase in personnel-related costs, a $3.8 million increase in third-party fees and direct costs associated with revenue growth, partially offset by a decrease of $2.4 million in stock-based compensation and a decrease of $1.7 million in depreciation expense.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acquired technologies was $13.1 million for the nine months ended September 30, 2026 and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Gross profit increased by $65.5 million to $637.5 million, or 11.5%, for the nine months ended September 30, 2026, compared to the nine months ended September 30, 2025. Our gross profit margin was 74.0% for the nine months ended September 30, 2026, compared to 73.4% for the nine months ended September 30, 2025. The increase in gross profit was due to increased software subscription revenues and economies of scale resulting from fixed cost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decreased by $16.1 million to $158.6 million, or 9.2%, for the nine months ended September 30, 2026, compared to the nine months ended September 30, 2025. The decrease was primarily due to a $11.5 million decrease in stock-based compensation expense, a $5.7 million increase in the amount of capitalized time on platform and customer solution enhancements, and a $3.7 million decrease in IT related costs partially offset by a $5.9 million increase in personnel related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 decreased by $15.0 million to $120.9 million, or 11.1%, for the nine months ended September 30, 2026, compared to the nine months ended September 30, 2025. The decrease was due to a $12.0 million decrease in stock-based compensation and a $1.8 million decrease in personnel-related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$13.4 million to $148.7 million, or 8.3%, for the nine months ended September 30, 2026, compared to the nine months ended September 30, 2025. The decrease was primarily due to a $26.6 million decrease in stock-based compensation, partially offset by a $6.9 million increase in personnel related costs and $4.8 million increase in IT related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was $55.5 million for the nine months ended September 30,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by $8.7 million to $61.6 million, or 16.4%, for the nine months ended September 30, 2026, compared to the nine months ended September 30, 2025. The increase was primarily due to the interest incurred on an additional $300 million term loan as part of the Fifth Amendment to the 2021 Credit Agreement entered into in December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Interest income decreased by $1.2 million to $3.1 million, or 27.9%, for the nine months ended September 30, 2026, compared to the nine months ended September 30, 2025, due to lower average balances on interest-earning deposits and money market funds during the nine months ended September 30, 2026 as compared to the same period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Net</w:t>
      </w:r>
    </w:p>
    <w:p>
      <w:pPr>
        <w:spacing w:after="0" w:line="117"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color w:val="auto"/>
        </w:rPr>
        <w:t>We recognized other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net of $8.6 million for the nine months ended September 30, 2026 compared to other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net of $6.7 million for the nine months ended September 30, 2025. The income recognized during the nine months ended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ind w:right="40"/>
        <w:spacing w:after="0" w:line="266" w:lineRule="auto"/>
        <w:rPr>
          <w:sz w:val="20"/>
          <w:szCs w:val="20"/>
          <w:color w:val="auto"/>
        </w:rPr>
      </w:pPr>
      <w:r>
        <w:rPr>
          <w:rFonts w:ascii="Times New Roman" w:cs="Times New Roman" w:eastAsia="Times New Roman" w:hAnsi="Times New Roman"/>
          <w:sz w:val="18"/>
          <w:szCs w:val="18"/>
          <w:color w:val="auto"/>
        </w:rPr>
        <w:t>September 30, 2026 was primarily due to the increase in the fair value of derivative instruments, driven by the fair value increase of the Company’s three interest rate swap agreements. The expense recognized during the nine months ended September 30, 2025 was primarily due to the change in fair value and decrease in income of derivative instruments during the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7"/>
          <w:szCs w:val="17"/>
          <w:color w:val="auto"/>
        </w:rPr>
        <w:t>The Company recognized an income tax provision of $37.5 million and an income tax benefit of $5.1 million for the nine months ended September 30, 2026 and 2025, respectively. The income tax provision during the nine months ended September 30, 2026 was primarily due to the Company's pre-tax book income, as well as the tax impact related to stock-based compensation expense. The income tax benefit during the nine months ended September 30, 2025 was primarily due to the Company’s pre-tax book loss, as well as the tax rate impact of non-deductible stock-based compensation expense.</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with GAAP measures,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of acquired technologies and stock-based compensation and related employer payroll tax, which are not indicative of our recurring core business operating results. Adjusted Gross Profit Margin is defined as Adjusted Gross Profit divided by Revenue.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Gross Profit to Adjusted Gross Profit for the three and nine months ended September 30, 2026 and 2025:</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percentages)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218,006</w:t>
            </w:r>
          </w:p>
        </w:tc>
        <w:tc>
          <w:tcPr>
            <w:tcW w:w="3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192,973</w:t>
            </w:r>
          </w:p>
        </w:tc>
        <w:tc>
          <w:tcPr>
            <w:tcW w:w="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637,522</w:t>
            </w:r>
          </w:p>
        </w:tc>
        <w:tc>
          <w:tcPr>
            <w:tcW w:w="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571,981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acquired technologies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and related employer payroll tax</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3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224,639</w:t>
            </w:r>
          </w:p>
        </w:tc>
        <w:tc>
          <w:tcPr>
            <w:tcW w:w="30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199,497</w:t>
            </w:r>
          </w:p>
        </w:tc>
        <w:tc>
          <w:tcPr>
            <w:tcW w:w="24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657,540</w:t>
            </w:r>
          </w:p>
        </w:tc>
        <w:tc>
          <w:tcPr>
            <w:tcW w:w="2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Profit Margin</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Margin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-456565</wp:posOffset>
            </wp:positionV>
            <wp:extent cx="1111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-456565</wp:posOffset>
            </wp:positionV>
            <wp:extent cx="1111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-456565</wp:posOffset>
            </wp:positionV>
            <wp:extent cx="1117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-456565</wp:posOffset>
            </wp:positionV>
            <wp:extent cx="1117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Expenses</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believe that Adjusted Operating Expenses, as defined below, provides meaningful supplemental information regarding our performance by excluding certain items that may not be indicative of our recurring core business operating results. Adjusted Operating Expenses is defined as operating expenses adjusted for amortization of intangible assets, stock-based compensation expense and related employer payroll tax, costs associated with the acquisition and integration of completed and potential mergers and acquisitions (“M&amp;A”), costs related to equity transactions, including secondary offerings, litigation expenses (proceeds), net for matters in which we are the plaintiff and related antitrust matters and debt refinancing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color w:val="auto"/>
        </w:rPr>
        <w:t>The following table reconciles operating expenses to Adjusted Operating Expenses for the three and nine months ended September 30, 2026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6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160,619</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162,999</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483,685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(55,535)</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(55,536)</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(29,493)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(37,623)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(90,446)</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(142,562)</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(4,164)</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proceeds,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Debt refinancing costs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108,958</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106,453</w:t>
            </w:r>
          </w:p>
        </w:tc>
        <w:tc>
          <w:tcPr>
            <w:tcW w:w="14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333,540</w:t>
            </w:r>
          </w:p>
        </w:tc>
        <w:tc>
          <w:tcPr>
            <w:tcW w:w="2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-170815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that Adjusted Operating Income, as defined below, provides meaningful supplemental information regarding our performance by excluding certain items that may not be indicative of our recurring core business operating results. Adjusted Operating Income is defined as operating income (loss) adjusted for amortization of intangible assets and acquired technologies, stock-based compensation expense and related employer payroll tax, costs associated with the acquisition and integration of completed and potential M&amp;A, costs related to equity transactions, including secondary offerings, litigation expenses (proceeds), net, and debt refinancing costs.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operating income (loss) to Adjusted Operating Income for the three and nine months ended September 30, 2026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25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40" w:type="dxa"/>
            <w:vAlign w:val="bottom"/>
          </w:tcPr>
          <w:p>
            <w:pPr>
              <w:spacing w:after="0"/>
              <w:rPr>
                <w:sz w:val="20"/>
                <w:szCs w:val="20"/>
                <w:color w:val="auto"/>
              </w:rPr>
            </w:pPr>
          </w:p>
        </w:tc>
        <w:tc>
          <w:tcPr>
            <w:tcW w:w="2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4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57,387</w:t>
            </w:r>
          </w:p>
        </w:tc>
        <w:tc>
          <w:tcPr>
            <w:tcW w:w="5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4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153,837</w:t>
            </w:r>
          </w:p>
        </w:tc>
        <w:tc>
          <w:tcPr>
            <w:tcW w:w="4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technologies—Cost of revenue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Litigation proceeds, net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FF0FC"/>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Debt refinancing costs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115,681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93,044</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324,000</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768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believe that Adjusted EBITDA, as defined below, is useful in evaluating our operational performance distinct and apart from financing costs, certain expenses and non-operational expenses. Adjusted EBITDA is defined as net income (loss) adjusted for interest, taxes, amortization of intangible assets and acquired technologies, depreciation, stock-based compensation expense and related employer payroll tax, costs associated with the acquisition and integration of completed and potential M&amp;A, litigation expenses (proceeds), net, debt refinancing costs, costs related to equity transactions, including secondary offerings, change in fair value of derivative instruments, and income from derivative instruments. Adjusted EBITDA Margin is defined as Adjusted EBITDA divided by Revenue.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color w:val="auto"/>
        </w:rPr>
        <w:t>The following table reconciles net income (loss) to Adjusted EBITDA for the three and nine months ended September 30, 2026 and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80" w:type="dxa"/>
            <w:vAlign w:val="bottom"/>
            <w:vMerge w:val="restart"/>
          </w:tcPr>
          <w:p>
            <w:pPr>
              <w:spacing w:after="0"/>
              <w:rPr>
                <w:sz w:val="18"/>
                <w:szCs w:val="18"/>
                <w:color w:val="auto"/>
              </w:rPr>
            </w:pPr>
          </w:p>
        </w:tc>
        <w:tc>
          <w:tcPr>
            <w:tcW w:w="3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9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(1,971)</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(1,365)</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(1,065)</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(3,050)</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acquired technologies—Cost of revenue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 software, equipment and property</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8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software, equipment and property</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97,359</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Litigation proceeds, net</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Debt refinancing costs</w:t>
            </w: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(10,019)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Expense (Income) from derivative instruments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10"/>
        </w:trPr>
        <w:tc>
          <w:tcPr>
            <w:tcW w:w="52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130,539</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110,120</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366,217</w:t>
            </w:r>
          </w:p>
        </w:tc>
        <w:tc>
          <w:tcPr>
            <w:tcW w:w="2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317,314</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EBITDA Margin</w:t>
            </w:r>
          </w:p>
        </w:tc>
        <w:tc>
          <w:tcPr>
            <w:tcW w:w="2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-307975</wp:posOffset>
            </wp:positionV>
            <wp:extent cx="111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-307975</wp:posOffset>
            </wp:positionV>
            <wp:extent cx="1111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-307975</wp:posOffset>
            </wp:positionV>
            <wp:extent cx="1111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-307975</wp:posOffset>
            </wp:positionV>
            <wp:extent cx="1117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believe that Adjusted Net Income, as defined below, and Adjusted Earnings Per Share are useful in evaluating our operational performance distinct and apart from financing costs, certain expenses and non-operational expenses. Adjusted Net Income is defined as net income (loss) adjusted for the after-tax effects of amortization of intangible assets and acquired technologies, stock-based compensation expense and related employer payroll tax, costs associated with the acquisition and integration of completed and potential M&amp;A, litigation expenses (proceeds), net for matters in which we are the plaintiff and related antitrust matters, debt refinancing costs, costs related to equity transactions, including secondary offerings and the change in fair value of derivative instruments.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color w:val="auto"/>
        </w:rPr>
        <w:t>The following table reconciles net income (loss) to Adjusted Net Income and Adjusted Earnings per Share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6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(1,971)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acquired technologies—Cost of revenue</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related employer payroll</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Litigation proceeds, net</w:t>
            </w:r>
          </w:p>
        </w:tc>
        <w:tc>
          <w:tcPr>
            <w:tcW w:w="1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refinancing costs</w:t>
            </w: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1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(2,514)</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(10,019)</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(10,863)</w:t>
            </w: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(23,344)</w:t>
            </w: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(58,124)</w:t>
            </w:r>
          </w:p>
        </w:tc>
        <w:tc>
          <w:tcPr>
            <w:tcW w:w="0" w:type="dxa"/>
            <w:vAlign w:val="bottom"/>
          </w:tcPr>
          <w:p>
            <w:pPr>
              <w:spacing w:after="0"/>
              <w:rPr>
                <w:sz w:val="1"/>
                <w:szCs w:val="1"/>
                <w:color w:val="auto"/>
              </w:rPr>
            </w:pPr>
          </w:p>
        </w:tc>
      </w:tr>
      <w:tr>
        <w:trPr>
          <w:trHeight w:val="209"/>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75,148</w:t>
            </w:r>
          </w:p>
        </w:tc>
        <w:tc>
          <w:tcPr>
            <w:tcW w:w="1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203,235</w:t>
            </w:r>
          </w:p>
        </w:tc>
        <w:tc>
          <w:tcPr>
            <w:tcW w:w="1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Adjusted Net Income Per Share attributable to common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575,679,641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631,440,015</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578,837,408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635,263,670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593,430,988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657,825,243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595,291,220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664,060,542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that Free Cash Flow, as defined below, provides meaningful supplemental information regarding our ability to generate cash and fund our operations and capital expenditures. Free Cash Flow is defined as net cash provided by operating activities less cash used for the purchases of software, equipment, and property.</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reconciles net cash provided by operating activities to Free Cash Flow for the three and nine months ended September 30, 2026 and 2025:</w:t>
      </w: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6"/>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4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100,429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94,767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259,464</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of software, equipment, and property</w:t>
            </w: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(17,964)</w:t>
            </w: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(16,135)</w:t>
            </w: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(46,684)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82,465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78,632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206,498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-24765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financed our operations with cash flows from operations. The Company generated $259.5 million of cash flows from operating activities during the nine months ended September 30, 2026. As of September 30, 2026, the Company had cash and cash equivalents of $202.9 million, a working capital surplus of $218.1 million and an accumulated deficit totaling $1,729.1 million. As of September 30, 2026, the Company had $1,281.2 million aggregate principal outstanding on its term loan.</w:t>
      </w:r>
    </w:p>
    <w:p>
      <w:pPr>
        <w:spacing w:after="0" w:line="72" w:lineRule="exact"/>
        <w:rPr>
          <w:sz w:val="20"/>
          <w:szCs w:val="20"/>
          <w:color w:val="auto"/>
        </w:rPr>
      </w:pPr>
    </w:p>
    <w:p>
      <w:pPr>
        <w:jc w:val="both"/>
        <w:ind w:right="66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w:t>
      </w:r>
    </w:p>
    <w:p>
      <w:pPr>
        <w:spacing w:after="0" w:line="6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Although we are not currently a party to any material definitive agreement regarding potential investments in, or acquisitions of, complementary businesses, applications or technologies, subject to the restrictions in the Merger Agreement, which limit, among other things, certain acquisitions, investments, capital expenditures and incurrences of indebtedness without Parent’s prior written consent, we may enter into these types of arrangements, which could reduce our cash and cash equivalents or require us to seek additional equity or debt financing. Additional funds from financing arrangements may not be available on terms favorable to us or at 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debt capital structure remained stable during the third quarter of 2026. As of September 30, 2026, we had $1,281.2 million outstanding under our senior secured term loan (“Term Loan”), compared to $1,291.0 million as of December 31, 2025. The reduction reflects approximately $10 million of principal repayments made during the first nine months of 2026, consisting of quarterly payments of approximately $3.3 million made in each of the first three quarters of the year. We did not incur any new borrowings in 2026. The Term Loan, which matures in January 2032, is part of our 2021 Credit Agreement and requires only modest quarterly payments (approximately $13 million per year) until maturity. We also have a $250.0 million revolving credit facility under the 2021 Credit Agreement that was undrawn at September 30, 2026, providing approximately $249.0 million of additional liquidity net of outstanding letters of credit. Our nearest significant debt maturity is the 2021 Revolving Credit Facility’s expiration in September 2029 (subject to a springing maturity in June 2028 if the Term Loan balance remains above $234.0 million at that time), giving us a long-dated maturity profile.</w:t>
      </w:r>
    </w:p>
    <w:p>
      <w:pPr>
        <w:spacing w:after="0" w:line="8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interest rates on our Term Loan and any 2021 Revolving Credit Facility borrowings are variable and tied to market rates (Secured Overnight Financing Rate ("SOFR") or base rate) plus an applicable margin. We have proactively managed our floating interest rate exposure by using interest rate swaps to effectively fix the rate on $750.0 million of our Term Loan at approximately 3.94% through July 2027. These actions helped keep our weighted-average interest rate for the quarter ended September 30, 2026 at about 5.8%, slightly lower than the weighted-average interest rate of 6.4% in the same period last year. The weighted-average interest rate represents the average rate on our outstanding borrowings during the period and is calculated based on actual interest incurred and time-weighted average principal balances. A portion of our debt remains unhedged and subject to interest rate fluctuations, so we continue to monitor interest rate trends and consider additional risk management strategies as needed to contain our borrowing costs.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believe our current liquidity position and cash flow generation are sufficient to meet our ongoing debt service obligations and other funding requirements. At September 30, 2026, we held $202.9 million in cash and cash equivalents, and the full capacity of our $250.0 million 2021 Revolving Credit Facility (minus letters of credit) remained available, bolstering our liquidity. Our indebtedness is secured by substantially all of our assets and is governed by customary affirmative, negative, and financial covenants. We were in full compliance with all covenants as of September 30, 2026. Notably, the 2021 Credit Agreement’s springing financial covenant (a first lien net leverage ratio test) did not apply at quarter-end because utilization of the Revolver was below the 35% threshold. While the Merger is pending, our use of cash, including for strategic opportunities and share repurchases, is subject to the restrictions in the Merger Agreement.</w:t>
      </w:r>
    </w:p>
    <w:p>
      <w:pPr>
        <w:spacing w:after="0" w:line="79" w:lineRule="exact"/>
        <w:rPr>
          <w:sz w:val="20"/>
          <w:szCs w:val="20"/>
          <w:color w:val="auto"/>
        </w:rPr>
      </w:pPr>
    </w:p>
    <w:p>
      <w:pPr>
        <w:ind w:right="3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For further details of our long-term debt obligations and related terms, refer to Note 14, “Long-Term Debt,” in the Notes to Condensed Consolidated Financial Statements of this Form 10-Q, and to the “Long-Term Debt” disclosure in our Annual Report on Form 10-K for the year ended December 31, 2025.</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cash flow data for the nine months ended September 30, 2026 and 2025:</w:t>
      </w:r>
    </w:p>
    <w:p>
      <w:pPr>
        <w:spacing w:after="0" w:line="27"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259,464</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196,315</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(52,966)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(457,096)</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(114,919)</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(41,173)</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effect of exchange rate change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91,734</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(301,842)</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firstLine="55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$259.5 million for the nine months ended September 30, 2026. Net cash provided by operating activities consists of a net income of $66.4 million, adjusted for $216.5 million of non-cash items, partially offset by a $23.1 million decrease in working capital. Significant non-cash adjustments include stock-based compensation expense of $93.8 million, depreciation and amortization of $110.8 million and deferred income taxes of $17.9 million, partially offset by a change in fair value of derivative instruments of $10.0 million. The change in working capital was primarily a result of a decrease in deferred revenue of $17.9 million due to the timing of revenue recognition.</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$53.0 million for the nine months ended September 30, 2026 due to $53.0 million of capitalized internally developed software projects and purchases of software, equipment, and property.</w:t>
      </w:r>
    </w:p>
    <w:p>
      <w:pPr>
        <w:spacing w:after="0" w:line="5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$114.9 million for the nine months ended September 30, 2026 primarily due to $100.2 million for repurchases of common stock, $18.6 million of payments for employee tax liabilities related to the net share settlement of employee equity awards, and $9.8 million of principal payments of long-term debt, partially offset by proceeds received related to the exercise of stock options of $9.3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policies and estimates disclosed in our audited consolidated financial statements and notes thereto for the year ended December 31, 2025, in our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compared to the disclosures in Part II, Item 7A of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September 30, 2026,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30, 2026 identified in management’s evaluation pursuant to Rules 13a-15(d) and 15d-15(d) of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2026, there were no material changes to the risk factors that were presented in the section entitled “Risk Factors” in our Annual Report on Form 10-K for the year ended December 31, 2025, other than as reflected in the risk factors below. For further discussion on our risk factors, which could materially affect our business, financial condition and/or results of operations, refer to the section entitled “Risk Factors” in our Annual Report on Form 10-K for the year ended December 31, 2025. Any of these factors could result in a significant or material adverse effect on the results of our operations or financial condition. Additional risk factors not presently known to us or that we currently deem immaterial may also impair our business or results of operations.</w:t>
      </w:r>
    </w:p>
    <w:p>
      <w:pPr>
        <w:spacing w:after="0" w:line="183" w:lineRule="exact"/>
        <w:rPr>
          <w:sz w:val="20"/>
          <w:szCs w:val="20"/>
          <w:color w:val="auto"/>
        </w:rPr>
      </w:pPr>
    </w:p>
    <w:p>
      <w:pPr>
        <w:ind w:right="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Merger could adversely affect our business, results of operations, financial condition and the trading price of our common stock</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October 14, 2026, the Company entered into the Merger Agreement with Parent and Merger Sub. Pursuant to the Merger Agreement, Merger Sub shall be merged with and into the Company, with the Company continuing as the surviving corporation and a wholly owned subsidiary of Parent. At the effective time of the Merger, each outstanding share of our common stock (other than certain shares held by the Company as treasury stock, owned by Parent or any of its subsidiaries, including Merger Sub, subject to Company restricted stock awards, or as to which appraisal rights have been properly exercised in accordance with Delaware law) will automatically be canceled, extinguished and converted into the right to receive a cash payment equal to the per-share price specified in the Merger Agreement, our common stock will be delisted from The Nasdaq Stock Market LLC, and we will cease to be a reporting company under the Exchange Act.</w:t>
      </w:r>
    </w:p>
    <w:p>
      <w:pPr>
        <w:spacing w:after="0" w:line="8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Completion of the Merger is subject to various customary closing conditions and regulatory approvals, including (i) the adoption of the Merger Agreement by the affirmative vote (in person or by proxy) of the holders of a majority of the outstanding shares of our common stock entitled to vote at a special meeting of our stockholders; (ii) the expiration or termination of the waiting period under the Hart-Scott-Rodino Antitrust Improvements Act of 1976, as amended; and (iii) other customary conditions for a transaction of this type. The parties to the Merger Agreement may not receive the necessary approvals for the transaction or may not receive them within the expected timeframe. The failure to satisfy these and other closing conditions could jeopardize, delay or prevent the consummation of the Merger.</w:t>
      </w:r>
    </w:p>
    <w:p>
      <w:pPr>
        <w:spacing w:after="0" w:line="7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pendency of the Merger, as well as any delays in the expected timeframe, could cause disruption to our ongoing operations and create uncertainties, any of which could have an adverse effect on our business, results of operations, financial condition and the trading price of our common stock, regardless of whether the Merger is completed. These risks include, but are not limited to:</w:t>
      </w:r>
    </w:p>
    <w:p>
      <w:pPr>
        <w:spacing w:after="0" w:line="68" w:lineRule="exact"/>
        <w:rPr>
          <w:sz w:val="20"/>
          <w:szCs w:val="20"/>
          <w:color w:val="auto"/>
        </w:rPr>
      </w:pPr>
    </w:p>
    <w:p>
      <w:pPr>
        <w:jc w:val="both"/>
        <w:ind w:left="900" w:hanging="383"/>
        <w:spacing w:after="0" w:line="289"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adverse effect on our relationships with business partners, customers and employees, including if our business partners, customers or others attempt to negotiate changes in existing business relationships, consider entering into business relationships with parties other than us, delay or defer decisions concerning their business with us, or terminate their existing business relationships with us during the pendency of the Merger;</w:t>
      </w:r>
    </w:p>
    <w:p>
      <w:pPr>
        <w:spacing w:after="0" w:line="49"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a significant amount of management time and resources toward the completion of the Merger;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certain restrictions on the conduct of our business without Parent’s prior written consent;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Possibly foregoing certain business opportunities that we might otherwise pursue absent the pending Merger;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attracting and retaining key employees.</w:t>
      </w:r>
    </w:p>
    <w:p>
      <w:pPr>
        <w:spacing w:after="0" w:line="33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adverse effects of the pendency of the Merger could be exacerbated by any delays in completion of the Merger or by termination of the Merger Agreement. Even if successfully completed, there are certain risks to our stockholders from the Merger, including:</w:t>
      </w:r>
    </w:p>
    <w:p>
      <w:pPr>
        <w:spacing w:after="0" w:line="54" w:lineRule="exact"/>
        <w:rPr>
          <w:sz w:val="20"/>
          <w:szCs w:val="20"/>
          <w:color w:val="auto"/>
        </w:rPr>
      </w:pPr>
    </w:p>
    <w:p>
      <w:pPr>
        <w:ind w:left="900" w:right="32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price is fixed and will not be adjusted (other than for stock splits, stock dividends, reclassifications and similar changes with respect to our common stock) for changes in our business, assets, liabilities, prospects, outlook,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0" w:name="page41"/>
    <w:bookmarkEnd w:id="40"/>
    <w:p>
      <w:pPr>
        <w:ind w:left="900" w:right="140"/>
        <w:spacing w:after="0" w:line="282" w:lineRule="auto"/>
        <w:rPr>
          <w:sz w:val="20"/>
          <w:szCs w:val="20"/>
          <w:color w:val="auto"/>
        </w:rPr>
      </w:pPr>
      <w:r>
        <w:rPr>
          <w:rFonts w:ascii="Times New Roman" w:cs="Times New Roman" w:eastAsia="Times New Roman" w:hAnsi="Times New Roman"/>
          <w:sz w:val="18"/>
          <w:szCs w:val="18"/>
          <w:color w:val="auto"/>
        </w:rPr>
        <w:t>financial condition or operating results, or in the event of any change in the market price of, analyst estimates of, or projections relating to our common stock;</w:t>
      </w:r>
    </w:p>
    <w:p>
      <w:pPr>
        <w:spacing w:after="0" w:line="54" w:lineRule="exact"/>
        <w:rPr>
          <w:sz w:val="20"/>
          <w:szCs w:val="20"/>
          <w:color w:val="auto"/>
        </w:rPr>
      </w:pPr>
    </w:p>
    <w:p>
      <w:pPr>
        <w:ind w:left="900" w:right="4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of common stock for cash pursuant to the Merger will be a taxable transaction for U.S. federal income tax purposes; and</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Merger is completed, our stockholders will not participate in any future growth potential or benefit from any future increase in our value.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adversely affect our business and the price of our shares of common stock.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closing of the Merger may not occur on the expected timeline or at all. The Merger Agreement contains certain customary termination rights for us and Parent, including, among others: (i) if the Merger is not consummated on or before April 14, 2027; (ii) if the requisite stockholder approval is not obtained at a meeting of Company stockholders (or any adjournment or postponement thereof) at which a vote is taken on the Merger; (iii) if the other party breaches its representations, warranties or covenants in a manner that would cause the conditions to the closing of the Merger to not be satisfied and fails to cure such breach within the applicable cure period; (iv) if any law, order or judgment prohibiting the Merger has become final and non-appealable; or (v) by mutual written agreement of Parent and the Company. If the Merger Agreement is terminated and the Merger is not consummated, the price of our common stock may decline, we may experience negative reactions from the financial markets, including adverse stock price impacts, or from our vendors, customers and other business partners, and our stockholders may not recover their investment or receive a price for their shares of common stock similar to what has been offered as a result of the Merger.</w:t>
      </w:r>
    </w:p>
    <w:p>
      <w:pPr>
        <w:spacing w:after="0" w:line="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If the Merger Agreement is terminated under certain circumstances set forth in the Merger Agreement, including as a result of the Company’s entry into a definitive agreement related to an alternative business combination transaction providing for a superior proposal (as defined in the Merger Agreement), the Company will be required to pay Parent a termination fee of $149.52 million. If the Company is required to pay this termination fee, such fee, together with costs incurred to negotiate the Merger Agreement and pursue the Merger, could have a material adverse effect on the Company’s liquidity, financial condition and results of operations.</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although Parent has represented that the proceeds of its financing, when funded, will be sufficient to consummate the Merger, if Parent fails to fund the equity financing or close on the debt or preferred equity financing contemplated by the Merger Agreement and thereby fails to have sufficient funds to consummate the Merger, we may be forced to pursue costly litigation to obtain payment of the termination fee of approximately $313.99 million that Parent would be required to pay us in that circumstance or pursue specific performance of the Merger Agreement and compel Parent to close, and we may be unable to obtain adequate relief.</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limit our ability to pursue alternatives to the Merger.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Merger Agreement, we are also subject to “no-shop” provisions which prohibit us from soliciting, initiating,</w:t>
      </w:r>
    </w:p>
    <w:p>
      <w:pPr>
        <w:spacing w:after="0" w:line="2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proposing or engaging in discussions or negotiations with respect to any alternative business combination transaction, except in limited circumstances to comply with our fiduciary duties. As described above, we are also required to pay a termination fee if we decide to pursue an alternative to the Merger. These provisions could discourage a third party that may otherwise have an interest in acquiring all or a significant part of our business from considering or proposing an acquisition, even if such third party were prepared to pay consideration with a higher value than that provided for in the Merger Agreement.</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restrictions on the conduct of our business under the terms of the Merger Agreement.</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we have agreed to certain restrictions on the operations of our business until the earlier of the consummation of the Merger and the termination of the Merger Agreement. We have agreed to use commercially reasonable efforts to conduct our business in all material respects in the ordinary course of business and, unless approved by Parent in writing, to refrain from, among other things, incurring certain debt; entering into certain material contracts; selling or transferring rights in owned real property; entering into, adopting, amending, modifying or terminating any Company employee benefit plan; increasing the compensation or employee benefits of any director or officer outside the ordinary course of business; paying dividends; settling certain legal proceedings; changing our methods, principles or practices of financial accounting, except as required by GAAP or applicable law; and incurring certain capital expenditures. Because of these restrictions, we may be prevented from undertaking certain actions with respect to the conduct of our business that we might otherwise have taken if not for the Merger Agreement.</w:t>
      </w:r>
    </w:p>
    <w:p>
      <w:pPr>
        <w:spacing w:after="0" w:line="188" w:lineRule="exact"/>
        <w:rPr>
          <w:sz w:val="20"/>
          <w:szCs w:val="20"/>
          <w:color w:val="auto"/>
        </w:rPr>
      </w:pPr>
    </w:p>
    <w:p>
      <w:pPr>
        <w:ind w:right="1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directors may be subject to litigation challenging the Merger, and an unfavorable judgment or ruling in any such lawsuit could prevent or delay the consummation of the Merger and/or result in substantial costs</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Putative stockholder complaints, including stockholder class action complaints and other demands that may be made against us or complaints that may be filed against us, our board of directors, parties involved in the Merger and others in connection with the transactions contemplated by the Merger Agreement, may delay or prevent the consummation of the Merger. The outcome of any such demands and complaints or any litigation is uncertain, and we may not be successful in defending against these claims. Whether or not any claims are successful, these types of demands and litigation could delay or prevent the Merger, divert the attention of our management and employees from our day-to-day business, and otherwise adversely affect our business, results of operations and financial condition. Additionally, if a plaintiff is successful in obtaining an injunction prohibiting completion of the Merger, then that injunction may delay or prevent the Merger from being completed, which may exacerbate the other risks described herein and adversely affect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 Intended to Satisfy the Affirmative Defense of Rule 10b5-1(c)</w:t>
      </w:r>
    </w:p>
    <w:p>
      <w:pPr>
        <w:spacing w:after="0" w:line="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(as defined in Rule 16a-1(f) under the Exchange Act) adopted or terminated any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21"/>
                <w:szCs w:val="21"/>
                <w:color w:val="auto"/>
              </w:rPr>
            </w:pPr>
          </w:p>
        </w:tc>
        <w:tc>
          <w:tcPr>
            <w:tcW w:w="102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FF"/>
            </w:tcBorders>
            <w:gridSpan w:val="10"/>
            <w:shd w:val="clear" w:color="auto" w:fill="CCEEFF"/>
          </w:tcPr>
          <w:p>
            <w:pPr>
              <w:spacing w:after="0" w:line="17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Agreement and Plan of Merger, dated as of October 14, 2026, by and among Mozart Parent, LLC, Mozart Merger Sub (DE), Inc., and CCC</w:t>
              </w:r>
            </w:hyperlink>
          </w:p>
        </w:tc>
        <w:tc>
          <w:tcPr>
            <w:tcW w:w="16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940" w:type="dxa"/>
            <w:vAlign w:val="bottom"/>
            <w:tcBorders>
              <w:bottom w:val="single" w:sz="8" w:color="0000FF"/>
            </w:tcBorders>
            <w:gridSpan w:val="7"/>
            <w:shd w:val="clear" w:color="auto" w:fill="CCEEFF"/>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Intelligent Solutions Holdings Inc. (incorporated by reference to Exhibit 2.1 to the Current Report on Form 8-K filed by the Registrant on</w:t>
              </w:r>
            </w:hyperlink>
          </w:p>
        </w:tc>
        <w:tc>
          <w:tcPr>
            <w:tcW w:w="3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4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October 15, 2026).</w:t>
              </w:r>
              <w:r>
                <w:rPr>
                  <w:rFonts w:ascii="Times New Roman" w:cs="Times New Roman" w:eastAsia="Times New Roman" w:hAnsi="Times New Roman"/>
                  <w:sz w:val="18"/>
                  <w:szCs w:val="18"/>
                  <w:color w:val="000000"/>
                </w:rPr>
                <w:t>***</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5"/>
                <w:szCs w:val="15"/>
                <w:color w:val="auto"/>
              </w:rPr>
            </w:pPr>
          </w:p>
        </w:tc>
        <w:tc>
          <w:tcPr>
            <w:tcW w:w="9660" w:type="dxa"/>
            <w:vAlign w:val="bottom"/>
            <w:tcBorders>
              <w:bottom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Chief Executive Officer (Principal Executive Officer) Pursuant to Rules 13a-14(a) and 15d-14(a) under the Securities</w:t>
            </w:r>
          </w:p>
        </w:tc>
        <w:tc>
          <w:tcPr>
            <w:tcW w:w="580" w:type="dxa"/>
            <w:vAlign w:val="bottom"/>
            <w:gridSpan w:val="5"/>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2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FF"/>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Chief Financial Officer (Principal Financial and Accounting Officer) Pursuant to Rules 13a-14(a) and 15d-14(a) under the</w:t>
            </w:r>
          </w:p>
        </w:tc>
        <w:tc>
          <w:tcPr>
            <w:tcW w:w="26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640" w:type="dxa"/>
            <w:vAlign w:val="bottom"/>
            <w:tcBorders>
              <w:bottom w:val="single" w:sz="8" w:color="0000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2600" w:type="dxa"/>
            <w:vAlign w:val="bottom"/>
            <w:tcBorders>
              <w:bottom w:val="single" w:sz="8" w:color="CCEEFF"/>
            </w:tcBorders>
            <w:gridSpan w:val="6"/>
            <w:shd w:val="clear" w:color="auto" w:fill="CCEEFF"/>
          </w:tcPr>
          <w:p>
            <w:pPr>
              <w:spacing w:after="0"/>
              <w:rPr>
                <w:sz w:val="18"/>
                <w:szCs w:val="18"/>
                <w:color w:val="auto"/>
              </w:rPr>
            </w:pPr>
          </w:p>
        </w:tc>
      </w:tr>
      <w:tr>
        <w:trPr>
          <w:trHeight w:val="175"/>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5"/>
                <w:szCs w:val="15"/>
                <w:color w:val="auto"/>
              </w:rPr>
            </w:pPr>
          </w:p>
        </w:tc>
        <w:tc>
          <w:tcPr>
            <w:tcW w:w="10020" w:type="dxa"/>
            <w:vAlign w:val="bottom"/>
            <w:tcBorders>
              <w:bottom w:val="single" w:sz="8" w:color="0000FF"/>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Chief Executive Officer (Principal Executive Officer) Pursuant to 18 U.S.C. Section 1350, as Adopted Pursuant to Section</w:t>
            </w:r>
          </w:p>
        </w:tc>
        <w:tc>
          <w:tcPr>
            <w:tcW w:w="220" w:type="dxa"/>
            <w:vAlign w:val="bottom"/>
            <w:gridSpan w:val="2"/>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6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0000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 Act of</w:t>
            </w:r>
          </w:p>
        </w:tc>
      </w:tr>
      <w:tr>
        <w:trPr>
          <w:trHeight w:val="196"/>
        </w:trPr>
        <w:tc>
          <w:tcPr>
            <w:tcW w:w="9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0000FF"/>
              </w:rPr>
              <w:t>2002.</w:t>
            </w:r>
          </w:p>
        </w:tc>
        <w:tc>
          <w:tcPr>
            <w:tcW w:w="150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0" w:type="dxa"/>
            <w:vAlign w:val="bottom"/>
          </w:tcPr>
          <w:p>
            <w:pPr>
              <w:spacing w:after="0"/>
              <w:rPr>
                <w:sz w:val="18"/>
                <w:szCs w:val="18"/>
                <w:color w:val="auto"/>
              </w:rPr>
            </w:pPr>
          </w:p>
        </w:tc>
        <w:tc>
          <w:tcPr>
            <w:tcW w:w="102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shd w:val="clear" w:color="auto" w:fill="CCEEFF"/>
          </w:tcPr>
          <w:p>
            <w:pPr>
              <w:spacing w:after="0"/>
              <w:rPr>
                <w:sz w:val="18"/>
                <w:szCs w:val="18"/>
                <w:color w:val="auto"/>
              </w:rPr>
            </w:pPr>
          </w:p>
        </w:tc>
        <w:tc>
          <w:tcPr>
            <w:tcW w:w="102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7"/>
                <w:szCs w:val="17"/>
                <w:color w:val="auto"/>
              </w:rPr>
            </w:pPr>
          </w:p>
        </w:tc>
        <w:tc>
          <w:tcPr>
            <w:tcW w:w="10240" w:type="dxa"/>
            <w:vAlign w:val="bottom"/>
            <w:gridSpan w:val="11"/>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w:t>
            </w:r>
          </w:p>
        </w:tc>
      </w:tr>
      <w:tr>
        <w:trPr>
          <w:trHeight w:val="234"/>
        </w:trPr>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right="580" w:firstLine="8"/>
        <w:spacing w:after="0" w:line="260" w:lineRule="auto"/>
        <w:tabs>
          <w:tab w:leader="none" w:pos="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and Item 601(b)(2)(ii) of Regulation S-K. The Company agrees to furnish supplementally a copy of any omitted schedule or exhibit to the Securities and Exchange Commission upon request.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October 29, 2026</w:t>
            </w:r>
          </w:p>
        </w:tc>
        <w:tc>
          <w:tcPr>
            <w:tcW w:w="758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w:t>
            </w:r>
          </w:p>
        </w:tc>
      </w:tr>
      <w:tr>
        <w:trPr>
          <w:trHeight w:val="439"/>
        </w:trPr>
        <w:tc>
          <w:tcPr>
            <w:tcW w:w="366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Githesh Ramamurthy</w:t>
            </w:r>
          </w:p>
        </w:tc>
      </w:tr>
      <w:tr>
        <w:trPr>
          <w:trHeight w:val="198"/>
        </w:trPr>
        <w:tc>
          <w:tcPr>
            <w:tcW w:w="3660" w:type="dxa"/>
            <w:vAlign w:val="bottom"/>
          </w:tcPr>
          <w:p>
            <w:pPr>
              <w:spacing w:after="0"/>
              <w:rPr>
                <w:sz w:val="17"/>
                <w:szCs w:val="17"/>
                <w:color w:val="auto"/>
              </w:rPr>
            </w:pPr>
          </w:p>
        </w:tc>
        <w:tc>
          <w:tcPr>
            <w:tcW w:w="2520" w:type="dxa"/>
            <w:vAlign w:val="bottom"/>
          </w:tcPr>
          <w:p>
            <w:pPr>
              <w:ind w:left="18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Githesh Ramamurthy</w:t>
            </w:r>
          </w:p>
        </w:tc>
        <w:tc>
          <w:tcPr>
            <w:tcW w:w="120" w:type="dxa"/>
            <w:vAlign w:val="bottom"/>
          </w:tcPr>
          <w:p>
            <w:pPr>
              <w:spacing w:after="0"/>
              <w:rPr>
                <w:sz w:val="17"/>
                <w:szCs w:val="17"/>
                <w:color w:val="auto"/>
              </w:rPr>
            </w:pPr>
          </w:p>
        </w:tc>
      </w:tr>
      <w:tr>
        <w:trPr>
          <w:trHeight w:val="216"/>
        </w:trPr>
        <w:tc>
          <w:tcPr>
            <w:tcW w:w="366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4"/>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October 29, 2026</w:t>
            </w:r>
          </w:p>
        </w:tc>
        <w:tc>
          <w:tcPr>
            <w:tcW w:w="2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9"/>
        </w:trPr>
        <w:tc>
          <w:tcPr>
            <w:tcW w:w="366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Rodney Christo</w:t>
            </w:r>
          </w:p>
        </w:tc>
      </w:tr>
      <w:tr>
        <w:trPr>
          <w:trHeight w:val="198"/>
        </w:trPr>
        <w:tc>
          <w:tcPr>
            <w:tcW w:w="3660" w:type="dxa"/>
            <w:vAlign w:val="bottom"/>
          </w:tcPr>
          <w:p>
            <w:pPr>
              <w:spacing w:after="0"/>
              <w:rPr>
                <w:sz w:val="17"/>
                <w:szCs w:val="17"/>
                <w:color w:val="auto"/>
              </w:rPr>
            </w:pPr>
          </w:p>
        </w:tc>
        <w:tc>
          <w:tcPr>
            <w:tcW w:w="2520" w:type="dxa"/>
            <w:vAlign w:val="bottom"/>
          </w:tcPr>
          <w:p>
            <w:pPr>
              <w:ind w:left="18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Rodney Christo</w:t>
            </w:r>
          </w:p>
        </w:tc>
        <w:tc>
          <w:tcPr>
            <w:tcW w:w="120" w:type="dxa"/>
            <w:vAlign w:val="bottom"/>
          </w:tcPr>
          <w:p>
            <w:pPr>
              <w:spacing w:after="0"/>
              <w:rPr>
                <w:sz w:val="17"/>
                <w:szCs w:val="17"/>
                <w:color w:val="auto"/>
              </w:rPr>
            </w:pPr>
          </w:p>
        </w:tc>
      </w:tr>
      <w:tr>
        <w:trPr>
          <w:trHeight w:val="216"/>
        </w:trPr>
        <w:tc>
          <w:tcPr>
            <w:tcW w:w="366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Financial Officer and Chief Accounting Officer</w:t>
            </w:r>
          </w:p>
        </w:tc>
      </w:tr>
      <w:tr>
        <w:trPr>
          <w:trHeight w:val="234"/>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66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43</w:t>
            </w: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Githesh Ramamurthy, certify that:</w:t>
      </w:r>
    </w:p>
    <w:p>
      <w:pPr>
        <w:spacing w:after="0" w:line="223"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CCC Intelligent Solutions Holdings Inc.;</w:t>
      </w:r>
    </w:p>
    <w:p>
      <w:pPr>
        <w:spacing w:after="0" w:line="211" w:lineRule="exact"/>
        <w:rPr>
          <w:rFonts w:ascii="Times New Roman" w:cs="Times New Roman" w:eastAsia="Times New Roman" w:hAnsi="Times New Roman"/>
          <w:sz w:val="18"/>
          <w:szCs w:val="18"/>
          <w:color w:val="auto"/>
        </w:rPr>
      </w:pPr>
    </w:p>
    <w:p>
      <w:pPr>
        <w:ind w:left="380" w:right="160" w:hanging="372"/>
        <w:spacing w:after="0" w:line="267"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left="380" w:right="240" w:hanging="372"/>
        <w:spacing w:after="0" w:line="267"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380" w:right="60" w:hanging="372"/>
        <w:spacing w:after="0" w:line="257"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760" w:right="300" w:hanging="3"/>
        <w:spacing w:after="0" w:line="265" w:lineRule="auto"/>
        <w:tabs>
          <w:tab w:leader="none" w:pos="112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760" w:right="500" w:hanging="3"/>
        <w:spacing w:after="0" w:line="265" w:lineRule="auto"/>
        <w:tabs>
          <w:tab w:leader="none" w:pos="112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760" w:right="900" w:hanging="3"/>
        <w:spacing w:after="0" w:line="281" w:lineRule="auto"/>
        <w:tabs>
          <w:tab w:leader="none" w:pos="112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7"/>
          <w:szCs w:val="17"/>
          <w:color w:val="auto"/>
        </w:rPr>
      </w:pPr>
    </w:p>
    <w:p>
      <w:pPr>
        <w:ind w:left="760" w:right="400" w:hanging="3"/>
        <w:spacing w:after="0" w:line="281" w:lineRule="auto"/>
        <w:tabs>
          <w:tab w:leader="none" w:pos="112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380" w:right="800" w:hanging="372"/>
        <w:spacing w:after="0" w:line="267"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8"/>
          <w:szCs w:val="18"/>
          <w:color w:val="auto"/>
        </w:rPr>
      </w:pPr>
    </w:p>
    <w:p>
      <w:pPr>
        <w:ind w:left="760" w:right="340" w:hanging="3"/>
        <w:spacing w:after="0" w:line="281" w:lineRule="auto"/>
        <w:tabs>
          <w:tab w:leader="none" w:pos="112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7"/>
          <w:szCs w:val="17"/>
          <w:color w:val="auto"/>
        </w:rPr>
      </w:pPr>
    </w:p>
    <w:p>
      <w:pPr>
        <w:ind w:left="760" w:right="280" w:hanging="3"/>
        <w:spacing w:after="0" w:line="281" w:lineRule="auto"/>
        <w:tabs>
          <w:tab w:leader="none" w:pos="112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tabs>
          <w:tab w:leader="none" w:pos="4640" w:val="left"/>
        </w:tabs>
        <w:rPr>
          <w:sz w:val="20"/>
          <w:szCs w:val="20"/>
          <w:color w:val="auto"/>
        </w:rPr>
      </w:pPr>
      <w:r>
        <w:rPr>
          <w:rFonts w:ascii="Times New Roman" w:cs="Times New Roman" w:eastAsia="Times New Roman" w:hAnsi="Times New Roman"/>
          <w:sz w:val="17"/>
          <w:szCs w:val="17"/>
          <w:color w:val="auto"/>
        </w:rPr>
        <w:t>Dated: October 29, 2026</w:t>
      </w:r>
      <w:r>
        <w:rPr>
          <w:sz w:val="20"/>
          <w:szCs w:val="20"/>
          <w:color w:val="auto"/>
        </w:rPr>
        <w:tab/>
      </w:r>
      <w:r>
        <w:rPr>
          <w:rFonts w:ascii="Times New Roman" w:cs="Times New Roman" w:eastAsia="Times New Roman" w:hAnsi="Times New Roman"/>
          <w:sz w:val="17"/>
          <w:szCs w:val="17"/>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35560</wp:posOffset>
            </wp:positionV>
            <wp:extent cx="426910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5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Githesh Ramamurthy</w:t>
      </w:r>
    </w:p>
    <w:p>
      <w:pPr>
        <w:spacing w:after="0" w:line="5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Rodney Christo, certify that:</w:t>
      </w:r>
    </w:p>
    <w:p>
      <w:pPr>
        <w:spacing w:after="0" w:line="223"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CCC Intelligent Solutions Holdings Inc.;</w:t>
      </w:r>
    </w:p>
    <w:p>
      <w:pPr>
        <w:spacing w:after="0" w:line="211" w:lineRule="exact"/>
        <w:rPr>
          <w:rFonts w:ascii="Times New Roman" w:cs="Times New Roman" w:eastAsia="Times New Roman" w:hAnsi="Times New Roman"/>
          <w:sz w:val="18"/>
          <w:szCs w:val="18"/>
          <w:color w:val="auto"/>
        </w:rPr>
      </w:pPr>
    </w:p>
    <w:p>
      <w:pPr>
        <w:ind w:left="380" w:right="160" w:hanging="372"/>
        <w:spacing w:after="0" w:line="267"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left="380" w:right="240" w:hanging="372"/>
        <w:spacing w:after="0" w:line="267"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380" w:right="60" w:hanging="372"/>
        <w:spacing w:after="0" w:line="257"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760" w:right="300" w:hanging="3"/>
        <w:spacing w:after="0" w:line="265" w:lineRule="auto"/>
        <w:tabs>
          <w:tab w:leader="none" w:pos="11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760" w:right="500" w:hanging="3"/>
        <w:spacing w:after="0" w:line="265" w:lineRule="auto"/>
        <w:tabs>
          <w:tab w:leader="none" w:pos="11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760" w:right="900" w:hanging="3"/>
        <w:spacing w:after="0" w:line="281" w:lineRule="auto"/>
        <w:tabs>
          <w:tab w:leader="none" w:pos="11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7"/>
          <w:szCs w:val="17"/>
          <w:color w:val="auto"/>
        </w:rPr>
      </w:pPr>
    </w:p>
    <w:p>
      <w:pPr>
        <w:ind w:left="760" w:right="400" w:hanging="3"/>
        <w:spacing w:after="0" w:line="281" w:lineRule="auto"/>
        <w:tabs>
          <w:tab w:leader="none" w:pos="11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380" w:right="800" w:hanging="372"/>
        <w:spacing w:after="0" w:line="267"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8"/>
          <w:szCs w:val="18"/>
          <w:color w:val="auto"/>
        </w:rPr>
      </w:pPr>
    </w:p>
    <w:p>
      <w:pPr>
        <w:ind w:left="760" w:right="340" w:hanging="3"/>
        <w:spacing w:after="0" w:line="281" w:lineRule="auto"/>
        <w:tabs>
          <w:tab w:leader="none" w:pos="11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7"/>
          <w:szCs w:val="17"/>
          <w:color w:val="auto"/>
        </w:rPr>
      </w:pPr>
    </w:p>
    <w:p>
      <w:pPr>
        <w:ind w:left="760" w:right="280" w:hanging="3"/>
        <w:spacing w:after="0" w:line="281" w:lineRule="auto"/>
        <w:tabs>
          <w:tab w:leader="none" w:pos="11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200"/>
        <w:spacing w:after="0"/>
        <w:tabs>
          <w:tab w:leader="none" w:pos="4420" w:val="left"/>
        </w:tabs>
        <w:rPr>
          <w:sz w:val="20"/>
          <w:szCs w:val="20"/>
          <w:color w:val="auto"/>
        </w:rPr>
      </w:pPr>
      <w:r>
        <w:rPr>
          <w:rFonts w:ascii="Times New Roman" w:cs="Times New Roman" w:eastAsia="Times New Roman" w:hAnsi="Times New Roman"/>
          <w:sz w:val="17"/>
          <w:szCs w:val="17"/>
          <w:color w:val="auto"/>
        </w:rPr>
        <w:t>Dated: October 29, 2026</w:t>
      </w:r>
      <w:r>
        <w:rPr>
          <w:sz w:val="20"/>
          <w:szCs w:val="20"/>
          <w:color w:val="auto"/>
        </w:rPr>
        <w:tab/>
      </w:r>
      <w:r>
        <w:rPr>
          <w:rFonts w:ascii="Times New Roman" w:cs="Times New Roman" w:eastAsia="Times New Roman" w:hAnsi="Times New Roman"/>
          <w:sz w:val="17"/>
          <w:szCs w:val="17"/>
          <w:color w:val="auto"/>
        </w:rPr>
        <w:t>/s/ Rodney Christo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35560</wp:posOffset>
            </wp:positionV>
            <wp:extent cx="42691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color w:val="auto"/>
        </w:rPr>
        <w:t>Rodney Christo</w:t>
      </w:r>
    </w:p>
    <w:p>
      <w:pPr>
        <w:spacing w:after="0" w:line="5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i w:val="1"/>
          <w:iCs w:val="1"/>
          <w:color w:val="auto"/>
        </w:rPr>
        <w:t>Interim 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3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CCC Intelligent Solutions Holdings Inc. (the “Company”) for the period ended September 30, 2026,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spacing w:after="0" w:line="207"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tabs>
          <w:tab w:leader="none" w:pos="4740" w:val="left"/>
        </w:tabs>
        <w:rPr>
          <w:sz w:val="20"/>
          <w:szCs w:val="20"/>
          <w:color w:val="auto"/>
        </w:rPr>
      </w:pPr>
      <w:r>
        <w:rPr>
          <w:rFonts w:ascii="Times New Roman" w:cs="Times New Roman" w:eastAsia="Times New Roman" w:hAnsi="Times New Roman"/>
          <w:sz w:val="18"/>
          <w:szCs w:val="18"/>
          <w:color w:val="auto"/>
        </w:rPr>
        <w:t>Dated: October 29, 2026</w:t>
      </w:r>
      <w:r>
        <w:rPr>
          <w:sz w:val="20"/>
          <w:szCs w:val="20"/>
          <w:color w:val="auto"/>
        </w:rPr>
        <w:tab/>
      </w:r>
      <w:r>
        <w:rPr>
          <w:rFonts w:ascii="Times New Roman" w:cs="Times New Roman" w:eastAsia="Times New Roman" w:hAnsi="Times New Roman"/>
          <w:sz w:val="18"/>
          <w:szCs w:val="18"/>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34290</wp:posOffset>
            </wp:positionV>
            <wp:extent cx="406336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Githesh Ramamurthy</w:t>
      </w:r>
    </w:p>
    <w:p>
      <w:pPr>
        <w:spacing w:after="0" w:line="6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1051560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CCC Intelligent Solutions Holdings Inc. (the “Company”) for the period ended September 30, 2026, as filed with the U.S. Securities and Exchange Commission (the “Report”), I, Rodney Christo, Interim Chief Financial Officer and Chief Accounting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tabs>
          <w:tab w:leader="none" w:pos="4420" w:val="left"/>
        </w:tabs>
        <w:rPr>
          <w:sz w:val="20"/>
          <w:szCs w:val="20"/>
          <w:color w:val="auto"/>
        </w:rPr>
      </w:pPr>
      <w:r>
        <w:rPr>
          <w:rFonts w:ascii="Times New Roman" w:cs="Times New Roman" w:eastAsia="Times New Roman" w:hAnsi="Times New Roman"/>
          <w:sz w:val="18"/>
          <w:szCs w:val="18"/>
          <w:color w:val="auto"/>
        </w:rPr>
        <w:t>Dated: October 29, 2026</w:t>
      </w:r>
      <w:r>
        <w:rPr>
          <w:sz w:val="20"/>
          <w:szCs w:val="20"/>
          <w:color w:val="auto"/>
        </w:rPr>
        <w:tab/>
      </w:r>
      <w:r>
        <w:rPr>
          <w:rFonts w:ascii="Times New Roman" w:cs="Times New Roman" w:eastAsia="Times New Roman" w:hAnsi="Times New Roman"/>
          <w:sz w:val="18"/>
          <w:szCs w:val="18"/>
          <w:color w:val="auto"/>
        </w:rPr>
        <w:t>/s/ Rodney Christo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34290</wp:posOffset>
            </wp:positionV>
            <wp:extent cx="426910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5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Rodney Christo</w:t>
      </w:r>
    </w:p>
    <w:p>
      <w:pPr>
        <w:spacing w:after="0" w:line="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i w:val="1"/>
          <w:iCs w:val="1"/>
          <w:color w:val="auto"/>
        </w:rPr>
        <w:t>Interim 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1051560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upperLetter"/>
      <w:start w:val="55"/>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upperLetter"/>
      <w:start w:val="55"/>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upperLetter"/>
      <w:start w:val="55"/>
    </w:lvl>
  </w:abstractNum>
  <w:abstractNum w:abstractNumId="9">
    <w:nsid w:val="B03E0C6"/>
    <w:multiLevelType w:val="hybridMultilevel"/>
    <w:lvl w:ilvl="0">
      <w:lvlJc w:val="left"/>
      <w:lvlText w:val="%1."/>
      <w:numFmt w:val="decimal"/>
      <w:start w:val="2"/>
    </w:lvl>
  </w:abstractNum>
  <w:abstractNum w:abstractNumId="10">
    <w:nsid w:val="189A769B"/>
    <w:multiLevelType w:val="hybridMultilevel"/>
    <w:lvl w:ilvl="0">
      <w:lvlJc w:val="left"/>
      <w:lvlText w:val="%1."/>
      <w:numFmt w:val="decimal"/>
      <w:start w:val="3"/>
    </w:lvl>
  </w:abstractNum>
  <w:abstractNum w:abstractNumId="11">
    <w:nsid w:val="54E49EB4"/>
    <w:multiLevelType w:val="hybridMultilevel"/>
    <w:lvl w:ilvl="0">
      <w:lvlJc w:val="left"/>
      <w:lvlText w:val="%1."/>
      <w:numFmt w:val="decimal"/>
      <w:start w:val="4"/>
    </w:lvl>
  </w:abstractNum>
  <w:abstractNum w:abstractNumId="12">
    <w:nsid w:val="71F32454"/>
    <w:multiLevelType w:val="hybridMultilevel"/>
    <w:lvl w:ilvl="0">
      <w:lvlJc w:val="left"/>
      <w:lvlText w:val="%1."/>
      <w:numFmt w:val="decimal"/>
      <w:start w:val="5"/>
    </w:lvl>
  </w:abstractNum>
  <w:abstractNum w:abstractNumId="13">
    <w:nsid w:val="2CA88611"/>
    <w:multiLevelType w:val="hybridMultilevel"/>
    <w:lvl w:ilvl="0">
      <w:lvlJc w:val="left"/>
      <w:lvlText w:val="%1."/>
      <w:numFmt w:val="decimal"/>
      <w:start w:val="6"/>
    </w:lvl>
  </w:abstractNum>
  <w:abstractNum w:abstractNumId="14">
    <w:nsid w:val="836C40E"/>
    <w:multiLevelType w:val="hybridMultilevel"/>
    <w:lvl w:ilvl="0">
      <w:lvlJc w:val="left"/>
      <w:lvlText w:val="%1."/>
      <w:numFmt w:val="decimal"/>
      <w:start w:val="7"/>
    </w:lvl>
  </w:abstractNum>
  <w:abstractNum w:abstractNumId="15">
    <w:nsid w:val="2901D82"/>
    <w:multiLevelType w:val="hybridMultilevel"/>
    <w:lvl w:ilvl="0">
      <w:lvlJc w:val="left"/>
      <w:lvlText w:val="%1."/>
      <w:numFmt w:val="decimal"/>
      <w:start w:val="8"/>
    </w:lvl>
  </w:abstractNum>
  <w:abstractNum w:abstractNumId="16">
    <w:nsid w:val="3A95F874"/>
    <w:multiLevelType w:val="hybridMultilevel"/>
    <w:lvl w:ilvl="0">
      <w:lvlJc w:val="left"/>
      <w:lvlText w:val="%1."/>
      <w:numFmt w:val="decimal"/>
      <w:start w:val="9"/>
    </w:lvl>
  </w:abstractNum>
  <w:abstractNum w:abstractNumId="17">
    <w:nsid w:val="8138641"/>
    <w:multiLevelType w:val="hybridMultilevel"/>
    <w:lvl w:ilvl="0">
      <w:lvlJc w:val="left"/>
      <w:lvlText w:val="%1."/>
      <w:numFmt w:val="decimal"/>
      <w:start w:val="10"/>
    </w:lvl>
  </w:abstractNum>
  <w:abstractNum w:abstractNumId="18">
    <w:nsid w:val="1E7FF521"/>
    <w:multiLevelType w:val="hybridMultilevel"/>
    <w:lvl w:ilvl="0">
      <w:lvlJc w:val="left"/>
      <w:lvlText w:val="%1."/>
      <w:numFmt w:val="decimal"/>
      <w:start w:val="11"/>
    </w:lvl>
  </w:abstractNum>
  <w:abstractNum w:abstractNumId="19">
    <w:nsid w:val="7C3DBD3D"/>
    <w:multiLevelType w:val="hybridMultilevel"/>
    <w:lvl w:ilvl="0">
      <w:lvlJc w:val="left"/>
      <w:lvlText w:val="%1."/>
      <w:numFmt w:val="decimal"/>
      <w:start w:val="12"/>
    </w:lvl>
  </w:abstractNum>
  <w:abstractNum w:abstractNumId="20">
    <w:nsid w:val="737B8DDC"/>
    <w:multiLevelType w:val="hybridMultilevel"/>
    <w:lvl w:ilvl="0">
      <w:lvlJc w:val="left"/>
      <w:lvlText w:val="%1."/>
      <w:numFmt w:val="decimal"/>
      <w:start w:val="13"/>
    </w:lvl>
  </w:abstractNum>
  <w:abstractNum w:abstractNumId="21">
    <w:nsid w:val="6CEAF087"/>
    <w:multiLevelType w:val="hybridMultilevel"/>
    <w:lvl w:ilvl="0">
      <w:lvlJc w:val="left"/>
      <w:lvlText w:val="%1."/>
      <w:numFmt w:val="decimal"/>
      <w:start w:val="14"/>
    </w:lvl>
  </w:abstractNum>
  <w:abstractNum w:abstractNumId="22">
    <w:nsid w:val="22221A70"/>
    <w:multiLevelType w:val="hybridMultilevel"/>
    <w:lvl w:ilvl="0">
      <w:lvlJc w:val="left"/>
      <w:lvlText w:val="%1."/>
      <w:numFmt w:val="decimal"/>
      <w:start w:val="15"/>
    </w:lvl>
  </w:abstractNum>
  <w:abstractNum w:abstractNumId="23">
    <w:nsid w:val="4516DDE9"/>
    <w:multiLevelType w:val="hybridMultilevel"/>
    <w:lvl w:ilvl="0">
      <w:lvlJc w:val="left"/>
      <w:lvlText w:val="%1."/>
      <w:numFmt w:val="decimal"/>
      <w:start w:val="17"/>
    </w:lvl>
  </w:abstractNum>
  <w:abstractNum w:abstractNumId="24">
    <w:nsid w:val="3006C83E"/>
    <w:multiLevelType w:val="hybridMultilevel"/>
    <w:lvl w:ilvl="0">
      <w:lvlJc w:val="left"/>
      <w:lvlText w:val="%1."/>
      <w:numFmt w:val="decimal"/>
      <w:start w:val="18"/>
    </w:lvl>
  </w:abstractNum>
  <w:abstractNum w:abstractNumId="25">
    <w:nsid w:val="614FD4A1"/>
    <w:multiLevelType w:val="hybridMultilevel"/>
    <w:lvl w:ilvl="0">
      <w:lvlJc w:val="left"/>
      <w:lvlText w:val="%1."/>
      <w:numFmt w:val="decimal"/>
      <w:start w:val="19"/>
    </w:lvl>
  </w:abstractNum>
  <w:abstractNum w:abstractNumId="26">
    <w:nsid w:val="419AC241"/>
    <w:multiLevelType w:val="hybridMultilevel"/>
    <w:lvl w:ilvl="0">
      <w:lvlJc w:val="left"/>
      <w:lvlText w:val="%1."/>
      <w:numFmt w:val="decimal"/>
      <w:start w:val="22"/>
    </w:lvl>
  </w:abstractNum>
  <w:abstractNum w:abstractNumId="27">
    <w:nsid w:val="5577F8E1"/>
    <w:multiLevelType w:val="hybridMultilevel"/>
    <w:lvl w:ilvl="0">
      <w:lvlJc w:val="left"/>
      <w:lvlText w:val="%1."/>
      <w:numFmt w:val="decimal"/>
      <w:start w:val="23"/>
    </w:lvl>
  </w:abstractNum>
  <w:abstractNum w:abstractNumId="28">
    <w:nsid w:val="440BADFC"/>
    <w:multiLevelType w:val="hybridMultilevel"/>
    <w:lvl w:ilvl="0">
      <w:lvlJc w:val="left"/>
      <w:lvlText w:val="%1."/>
      <w:numFmt w:val="decimal"/>
      <w:start w:val="24"/>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5"/>
    </w:lvl>
  </w:abstractNum>
  <w:abstractNum w:abstractNumId="31">
    <w:nsid w:val="77465F01"/>
    <w:multiLevelType w:val="hybridMultilevel"/>
    <w:lvl w:ilvl="0">
      <w:lvlJc w:val="left"/>
      <w:lvlText w:val="%1."/>
      <w:numFmt w:val="decimal"/>
      <w:start w:val="25"/>
    </w:lvl>
  </w:abstractNum>
  <w:abstractNum w:abstractNumId="32">
    <w:nsid w:val="7724C67E"/>
    <w:multiLevelType w:val="hybridMultilevel"/>
    <w:lvl w:ilvl="0">
      <w:lvlJc w:val="left"/>
      <w:lvlText w:val="(%1)"/>
      <w:numFmt w:val="lowerLetter"/>
      <w:start w:val="2"/>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49" Type="http://schemas.openxmlformats.org/officeDocument/2006/relationships/hyperlink" Target="https://www.sec.gov/Archives/edgar/data/1818201/000119312526422320/d140608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2026-10-29T07:19:03Z</dcterms:created>
  <dcterms:modified xsi:type="dcterms:W3CDTF">2026-10-29T07:19:03Z</dcterms:modified>
</cp:coreProperties>
</file>