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56" w:lineRule="exact"/>
        <w:rPr>
          <w:sz w:val="24"/>
          <w:szCs w:val="24"/>
          <w:color w:val="auto"/>
        </w:rPr>
      </w:pPr>
    </w:p>
    <w:p>
      <w:pPr>
        <w:ind w:left="3840" w:right="1720" w:hanging="3820"/>
        <w:spacing w:after="0" w:line="259" w:lineRule="auto"/>
        <w:tabs>
          <w:tab w:leader="none" w:pos="48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spacing w:after="0" w:line="154" w:lineRule="exact"/>
        <w:rPr>
          <w:sz w:val="24"/>
          <w:szCs w:val="24"/>
          <w:color w:val="auto"/>
        </w:rPr>
      </w:pPr>
    </w:p>
    <w:p>
      <w:pPr>
        <w:ind w:left="3640" w:right="1700" w:hanging="3620"/>
        <w:spacing w:after="0" w:line="259" w:lineRule="auto"/>
        <w:tabs>
          <w:tab w:leader="none" w:pos="47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CCC INTELLIGENT SOLUTIONS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jc w:val="center"/>
              <w:ind w:right="891"/>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right"/>
              <w:ind w:right="1031"/>
              <w:spacing w:after="0"/>
              <w:rPr>
                <w:sz w:val="20"/>
                <w:szCs w:val="20"/>
                <w:color w:val="auto"/>
              </w:rPr>
            </w:pPr>
            <w:r>
              <w:rPr>
                <w:rFonts w:ascii="Arial" w:cs="Arial" w:eastAsia="Arial" w:hAnsi="Arial"/>
                <w:sz w:val="18"/>
                <w:szCs w:val="18"/>
                <w:b w:val="1"/>
                <w:bCs w:val="1"/>
                <w:color w:val="auto"/>
              </w:rPr>
              <w:t>001-39447</w:t>
            </w:r>
          </w:p>
        </w:tc>
        <w:tc>
          <w:tcPr>
            <w:tcW w:w="4040" w:type="dxa"/>
            <w:vAlign w:val="bottom"/>
          </w:tcPr>
          <w:p>
            <w:pPr>
              <w:jc w:val="center"/>
              <w:ind w:left="291"/>
              <w:spacing w:after="0"/>
              <w:rPr>
                <w:sz w:val="20"/>
                <w:szCs w:val="20"/>
                <w:color w:val="auto"/>
              </w:rPr>
            </w:pPr>
            <w:r>
              <w:rPr>
                <w:rFonts w:ascii="Arial" w:cs="Arial" w:eastAsia="Arial" w:hAnsi="Arial"/>
                <w:sz w:val="18"/>
                <w:szCs w:val="18"/>
                <w:b w:val="1"/>
                <w:bCs w:val="1"/>
                <w:color w:val="auto"/>
                <w:w w:val="89"/>
              </w:rPr>
              <w:t>98-1546280</w:t>
            </w:r>
          </w:p>
        </w:tc>
        <w:tc>
          <w:tcPr>
            <w:tcW w:w="0" w:type="dxa"/>
            <w:vAlign w:val="bottom"/>
          </w:tcPr>
          <w:p>
            <w:pPr>
              <w:spacing w:after="0"/>
              <w:rPr>
                <w:sz w:val="1"/>
                <w:szCs w:val="1"/>
                <w:color w:val="auto"/>
              </w:rPr>
            </w:pPr>
          </w:p>
        </w:tc>
      </w:tr>
      <w:tr>
        <w:trPr>
          <w:trHeight w:val="174"/>
        </w:trPr>
        <w:tc>
          <w:tcPr>
            <w:tcW w:w="4660" w:type="dxa"/>
            <w:vAlign w:val="bottom"/>
          </w:tcPr>
          <w:p>
            <w:pPr>
              <w:jc w:val="center"/>
              <w:ind w:right="931"/>
              <w:spacing w:after="0" w:line="174" w:lineRule="exact"/>
              <w:rPr>
                <w:sz w:val="20"/>
                <w:szCs w:val="20"/>
                <w:color w:val="auto"/>
              </w:rPr>
            </w:pPr>
            <w:r>
              <w:rPr>
                <w:rFonts w:ascii="Arial" w:cs="Arial" w:eastAsia="Arial" w:hAnsi="Arial"/>
                <w:sz w:val="18"/>
                <w:szCs w:val="18"/>
                <w:b w:val="1"/>
                <w:bCs w:val="1"/>
                <w:color w:val="auto"/>
                <w:w w:val="90"/>
              </w:rPr>
              <w:t>(State or other jurisdiction</w:t>
            </w:r>
          </w:p>
        </w:tc>
        <w:tc>
          <w:tcPr>
            <w:tcW w:w="2420" w:type="dxa"/>
            <w:vAlign w:val="bottom"/>
          </w:tcPr>
          <w:p>
            <w:pPr>
              <w:ind w:left="400"/>
              <w:spacing w:after="0" w:line="174" w:lineRule="exact"/>
              <w:rPr>
                <w:sz w:val="20"/>
                <w:szCs w:val="20"/>
                <w:color w:val="auto"/>
              </w:rPr>
            </w:pPr>
            <w:r>
              <w:rPr>
                <w:rFonts w:ascii="Arial" w:cs="Arial" w:eastAsia="Arial" w:hAnsi="Arial"/>
                <w:sz w:val="18"/>
                <w:szCs w:val="18"/>
                <w:b w:val="1"/>
                <w:bCs w:val="1"/>
                <w:color w:val="auto"/>
              </w:rPr>
              <w:t>(Commission</w:t>
            </w:r>
          </w:p>
        </w:tc>
        <w:tc>
          <w:tcPr>
            <w:tcW w:w="4040" w:type="dxa"/>
            <w:vAlign w:val="bottom"/>
          </w:tcPr>
          <w:p>
            <w:pPr>
              <w:jc w:val="center"/>
              <w:ind w:left="251"/>
              <w:spacing w:after="0" w:line="174" w:lineRule="exact"/>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31"/>
        </w:trPr>
        <w:tc>
          <w:tcPr>
            <w:tcW w:w="4660" w:type="dxa"/>
            <w:vAlign w:val="bottom"/>
          </w:tcPr>
          <w:p>
            <w:pPr>
              <w:jc w:val="center"/>
              <w:ind w:right="891"/>
              <w:spacing w:after="0"/>
              <w:rPr>
                <w:sz w:val="20"/>
                <w:szCs w:val="20"/>
                <w:color w:val="auto"/>
              </w:rPr>
            </w:pPr>
            <w:r>
              <w:rPr>
                <w:rFonts w:ascii="Arial" w:cs="Arial" w:eastAsia="Arial" w:hAnsi="Arial"/>
                <w:sz w:val="18"/>
                <w:szCs w:val="18"/>
                <w:b w:val="1"/>
                <w:bCs w:val="1"/>
                <w:color w:val="auto"/>
                <w:w w:val="90"/>
              </w:rPr>
              <w:t>of incorporation or organization)</w:t>
            </w:r>
          </w:p>
        </w:tc>
        <w:tc>
          <w:tcPr>
            <w:tcW w:w="2420" w:type="dxa"/>
            <w:vAlign w:val="bottom"/>
          </w:tcPr>
          <w:p>
            <w:pPr>
              <w:ind w:left="400"/>
              <w:spacing w:after="0"/>
              <w:rPr>
                <w:sz w:val="20"/>
                <w:szCs w:val="20"/>
                <w:color w:val="auto"/>
              </w:rPr>
            </w:pPr>
            <w:r>
              <w:rPr>
                <w:rFonts w:ascii="Arial" w:cs="Arial" w:eastAsia="Arial" w:hAnsi="Arial"/>
                <w:sz w:val="18"/>
                <w:szCs w:val="18"/>
                <w:b w:val="1"/>
                <w:bCs w:val="1"/>
                <w:color w:val="auto"/>
              </w:rPr>
              <w:t>File Number)</w:t>
            </w:r>
          </w:p>
        </w:tc>
        <w:tc>
          <w:tcPr>
            <w:tcW w:w="4040" w:type="dxa"/>
            <w:vAlign w:val="bottom"/>
          </w:tcPr>
          <w:p>
            <w:pPr>
              <w:jc w:val="center"/>
              <w:ind w:left="311"/>
              <w:spacing w:after="0"/>
              <w:rPr>
                <w:sz w:val="20"/>
                <w:szCs w:val="20"/>
                <w:color w:val="auto"/>
              </w:rPr>
            </w:pPr>
            <w:r>
              <w:rPr>
                <w:rFonts w:ascii="Arial" w:cs="Arial" w:eastAsia="Arial" w:hAnsi="Arial"/>
                <w:sz w:val="18"/>
                <w:szCs w:val="18"/>
                <w:b w:val="1"/>
                <w:bCs w:val="1"/>
                <w:color w:val="auto"/>
                <w:w w:val="92"/>
              </w:rPr>
              <w:t>Identification No.)</w:t>
            </w:r>
          </w:p>
        </w:tc>
        <w:tc>
          <w:tcPr>
            <w:tcW w:w="0" w:type="dxa"/>
            <w:vAlign w:val="bottom"/>
          </w:tcPr>
          <w:p>
            <w:pPr>
              <w:spacing w:after="0"/>
              <w:rPr>
                <w:sz w:val="1"/>
                <w:szCs w:val="1"/>
                <w:color w:val="auto"/>
              </w:rPr>
            </w:pPr>
          </w:p>
        </w:tc>
      </w:tr>
      <w:tr>
        <w:trPr>
          <w:trHeight w:val="237"/>
        </w:trPr>
        <w:tc>
          <w:tcPr>
            <w:tcW w:w="4660" w:type="dxa"/>
            <w:vAlign w:val="bottom"/>
          </w:tcPr>
          <w:p>
            <w:pPr>
              <w:jc w:val="center"/>
              <w:ind w:left="731"/>
              <w:spacing w:after="0"/>
              <w:rPr>
                <w:sz w:val="20"/>
                <w:szCs w:val="20"/>
                <w:color w:val="auto"/>
              </w:rPr>
            </w:pPr>
            <w:r>
              <w:rPr>
                <w:rFonts w:ascii="Arial" w:cs="Arial" w:eastAsia="Arial" w:hAnsi="Arial"/>
                <w:sz w:val="18"/>
                <w:szCs w:val="18"/>
                <w:b w:val="1"/>
                <w:bCs w:val="1"/>
                <w:color w:val="auto"/>
                <w:w w:val="90"/>
              </w:rPr>
              <w:t>167 N. Green Street, 9th Floor</w:t>
            </w:r>
          </w:p>
        </w:tc>
        <w:tc>
          <w:tcPr>
            <w:tcW w:w="2420" w:type="dxa"/>
            <w:vAlign w:val="bottom"/>
          </w:tcPr>
          <w:p>
            <w:pPr>
              <w:spacing w:after="0"/>
              <w:rPr>
                <w:sz w:val="20"/>
                <w:szCs w:val="20"/>
                <w:color w:val="auto"/>
              </w:rPr>
            </w:pPr>
          </w:p>
        </w:tc>
        <w:tc>
          <w:tcPr>
            <w:tcW w:w="4040" w:type="dxa"/>
            <w:vAlign w:val="bottom"/>
            <w:vMerge w:val="restart"/>
          </w:tcPr>
          <w:p>
            <w:pPr>
              <w:jc w:val="right"/>
              <w:ind w:right="2431"/>
              <w:spacing w:after="0"/>
              <w:rPr>
                <w:sz w:val="20"/>
                <w:szCs w:val="20"/>
                <w:color w:val="auto"/>
              </w:rPr>
            </w:pPr>
            <w:r>
              <w:rPr>
                <w:rFonts w:ascii="Arial" w:cs="Arial" w:eastAsia="Arial" w:hAnsi="Arial"/>
                <w:sz w:val="18"/>
                <w:szCs w:val="18"/>
                <w:b w:val="1"/>
                <w:bCs w:val="1"/>
                <w:color w:val="auto"/>
              </w:rPr>
              <w:t>60607</w:t>
            </w:r>
          </w:p>
        </w:tc>
        <w:tc>
          <w:tcPr>
            <w:tcW w:w="0" w:type="dxa"/>
            <w:vAlign w:val="bottom"/>
          </w:tcPr>
          <w:p>
            <w:pPr>
              <w:spacing w:after="0"/>
              <w:rPr>
                <w:sz w:val="1"/>
                <w:szCs w:val="1"/>
                <w:color w:val="auto"/>
              </w:rPr>
            </w:pPr>
          </w:p>
        </w:tc>
      </w:tr>
      <w:tr>
        <w:trPr>
          <w:trHeight w:val="80"/>
        </w:trPr>
        <w:tc>
          <w:tcPr>
            <w:tcW w:w="4660" w:type="dxa"/>
            <w:vAlign w:val="bottom"/>
            <w:vMerge w:val="restart"/>
          </w:tcPr>
          <w:p>
            <w:pPr>
              <w:jc w:val="center"/>
              <w:ind w:left="691"/>
              <w:spacing w:after="0" w:line="174" w:lineRule="exact"/>
              <w:rPr>
                <w:sz w:val="20"/>
                <w:szCs w:val="20"/>
                <w:color w:val="auto"/>
              </w:rPr>
            </w:pPr>
            <w:r>
              <w:rPr>
                <w:rFonts w:ascii="Arial" w:cs="Arial" w:eastAsia="Arial" w:hAnsi="Arial"/>
                <w:sz w:val="18"/>
                <w:szCs w:val="18"/>
                <w:b w:val="1"/>
                <w:bCs w:val="1"/>
                <w:color w:val="auto"/>
                <w:w w:val="89"/>
              </w:rPr>
              <w:t>Chicago, Illinois</w:t>
            </w:r>
          </w:p>
        </w:tc>
        <w:tc>
          <w:tcPr>
            <w:tcW w:w="2420" w:type="dxa"/>
            <w:vAlign w:val="bottom"/>
          </w:tcPr>
          <w:p>
            <w:pPr>
              <w:spacing w:after="0"/>
              <w:rPr>
                <w:sz w:val="6"/>
                <w:szCs w:val="6"/>
                <w:color w:val="auto"/>
              </w:rPr>
            </w:pPr>
          </w:p>
        </w:tc>
        <w:tc>
          <w:tcPr>
            <w:tcW w:w="4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66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4040" w:type="dxa"/>
            <w:vAlign w:val="bottom"/>
            <w:vMerge w:val="restart"/>
          </w:tcPr>
          <w:p>
            <w:pPr>
              <w:jc w:val="center"/>
              <w:ind w:right="1291"/>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137"/>
        </w:trPr>
        <w:tc>
          <w:tcPr>
            <w:tcW w:w="4660" w:type="dxa"/>
            <w:vAlign w:val="bottom"/>
            <w:vMerge w:val="restart"/>
          </w:tcPr>
          <w:p>
            <w:pPr>
              <w:jc w:val="center"/>
              <w:ind w:left="731"/>
              <w:spacing w:after="0" w:line="201" w:lineRule="exact"/>
              <w:rPr>
                <w:sz w:val="20"/>
                <w:szCs w:val="20"/>
                <w:color w:val="auto"/>
              </w:rPr>
            </w:pPr>
            <w:r>
              <w:rPr>
                <w:rFonts w:ascii="Arial" w:cs="Arial" w:eastAsia="Arial" w:hAnsi="Arial"/>
                <w:sz w:val="18"/>
                <w:szCs w:val="18"/>
                <w:b w:val="1"/>
                <w:bCs w:val="1"/>
                <w:color w:val="auto"/>
                <w:w w:val="89"/>
              </w:rPr>
              <w:t>(Address Of Principal Executive Offices)</w:t>
            </w:r>
          </w:p>
        </w:tc>
        <w:tc>
          <w:tcPr>
            <w:tcW w:w="2420" w:type="dxa"/>
            <w:vAlign w:val="bottom"/>
          </w:tcPr>
          <w:p>
            <w:pPr>
              <w:spacing w:after="0"/>
              <w:rPr>
                <w:sz w:val="11"/>
                <w:szCs w:val="11"/>
                <w:color w:val="auto"/>
              </w:rPr>
            </w:pPr>
          </w:p>
        </w:tc>
        <w:tc>
          <w:tcPr>
            <w:tcW w:w="4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660" w:type="dxa"/>
            <w:vAlign w:val="bottom"/>
            <w:tcBorders>
              <w:bottom w:val="single" w:sz="8" w:color="auto"/>
            </w:tcBorders>
            <w:vMerge w:val="continue"/>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4660" w:type="dxa"/>
            <w:vAlign w:val="bottom"/>
          </w:tcPr>
          <w:p>
            <w:pPr>
              <w:spacing w:after="0"/>
              <w:rPr>
                <w:sz w:val="17"/>
                <w:szCs w:val="17"/>
                <w:color w:val="auto"/>
              </w:rPr>
            </w:pPr>
          </w:p>
        </w:tc>
        <w:tc>
          <w:tcPr>
            <w:tcW w:w="2420" w:type="dxa"/>
            <w:vAlign w:val="bottom"/>
          </w:tcPr>
          <w:p>
            <w:pPr>
              <w:ind w:left="400"/>
              <w:spacing w:after="0" w:line="202" w:lineRule="exact"/>
              <w:rPr>
                <w:sz w:val="20"/>
                <w:szCs w:val="20"/>
                <w:color w:val="auto"/>
              </w:rPr>
            </w:pPr>
            <w:r>
              <w:rPr>
                <w:rFonts w:ascii="Arial" w:cs="Arial" w:eastAsia="Arial" w:hAnsi="Arial"/>
                <w:sz w:val="18"/>
                <w:szCs w:val="18"/>
                <w:b w:val="1"/>
                <w:bCs w:val="1"/>
                <w:color w:val="auto"/>
              </w:rPr>
              <w:t>(800) 621-8070</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line="232" w:lineRule="auto"/>
        <w:rPr>
          <w:sz w:val="20"/>
          <w:szCs w:val="20"/>
          <w:color w:val="auto"/>
        </w:rPr>
      </w:pPr>
      <w:r>
        <w:rPr>
          <w:rFonts w:ascii="Arial" w:cs="Arial" w:eastAsia="Arial" w:hAnsi="Arial"/>
          <w:sz w:val="18"/>
          <w:szCs w:val="18"/>
          <w:b w:val="1"/>
          <w:bCs w:val="1"/>
          <w:color w:val="auto"/>
        </w:rPr>
        <w:t>Registrant’s telephone number, including area code</w:t>
      </w:r>
    </w:p>
    <w:p>
      <w:pPr>
        <w:jc w:val="center"/>
        <w:spacing w:after="0" w:line="232" w:lineRule="auto"/>
        <w:rPr>
          <w:sz w:val="20"/>
          <w:szCs w:val="20"/>
          <w:color w:val="auto"/>
        </w:rPr>
      </w:pPr>
      <w:r>
        <w:rPr>
          <w:rFonts w:ascii="Arial" w:cs="Arial" w:eastAsia="Arial" w:hAnsi="Arial"/>
          <w:sz w:val="18"/>
          <w:szCs w:val="18"/>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Trading</w:t>
            </w:r>
          </w:p>
        </w:tc>
        <w:tc>
          <w:tcPr>
            <w:tcW w:w="120" w:type="dxa"/>
            <w:vAlign w:val="bottom"/>
          </w:tcPr>
          <w:p>
            <w:pPr>
              <w:spacing w:after="0"/>
              <w:rPr>
                <w:sz w:val="22"/>
                <w:szCs w:val="22"/>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Name of each exchange on which registered</w:t>
            </w:r>
          </w:p>
        </w:tc>
        <w:tc>
          <w:tcPr>
            <w:tcW w:w="0" w:type="dxa"/>
            <w:vAlign w:val="bottom"/>
          </w:tcPr>
          <w:p>
            <w:pPr>
              <w:spacing w:after="0"/>
              <w:rPr>
                <w:sz w:val="1"/>
                <w:szCs w:val="1"/>
                <w:color w:val="auto"/>
              </w:rPr>
            </w:pPr>
          </w:p>
        </w:tc>
      </w:tr>
      <w:tr>
        <w:trPr>
          <w:trHeight w:val="200"/>
        </w:trPr>
        <w:tc>
          <w:tcPr>
            <w:tcW w:w="4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7"/>
              </w:rPr>
              <w:t>Symbol(s)</w:t>
            </w:r>
          </w:p>
        </w:tc>
        <w:tc>
          <w:tcPr>
            <w:tcW w:w="120" w:type="dxa"/>
            <w:vAlign w:val="bottom"/>
          </w:tcPr>
          <w:p>
            <w:pPr>
              <w:spacing w:after="0"/>
              <w:rPr>
                <w:sz w:val="17"/>
                <w:szCs w:val="17"/>
                <w:color w:val="auto"/>
              </w:rPr>
            </w:pPr>
          </w:p>
        </w:tc>
        <w:tc>
          <w:tcPr>
            <w:tcW w:w="5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80" w:type="dxa"/>
            <w:vAlign w:val="bottom"/>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CCCS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The New York Stock Exchange</w:t>
            </w:r>
          </w:p>
        </w:tc>
        <w:tc>
          <w:tcPr>
            <w:tcW w:w="0" w:type="dxa"/>
            <w:vAlign w:val="bottom"/>
          </w:tcPr>
          <w:p>
            <w:pPr>
              <w:spacing w:after="0"/>
              <w:rPr>
                <w:sz w:val="1"/>
                <w:szCs w:val="1"/>
                <w:color w:val="auto"/>
              </w:rPr>
            </w:pPr>
          </w:p>
        </w:tc>
      </w:tr>
    </w:tbl>
    <w:p>
      <w:pPr>
        <w:spacing w:after="0" w:line="53"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9"/>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4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1" w:lineRule="exact"/>
        <w:rPr>
          <w:sz w:val="24"/>
          <w:szCs w:val="24"/>
          <w:color w:val="auto"/>
        </w:rPr>
      </w:pPr>
    </w:p>
    <w:p>
      <w:pPr>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180"/>
        <w:spacing w:after="0" w:line="20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29, 2022, 614,236,466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CCC INTELLIGENT SOLUTIONS HOLDINGS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jc w:val="center"/>
        <w:ind w:right="-19"/>
        <w:spacing w:after="0" w:line="232" w:lineRule="auto"/>
        <w:rPr>
          <w:sz w:val="20"/>
          <w:szCs w:val="20"/>
          <w:color w:val="auto"/>
        </w:rPr>
      </w:pPr>
      <w:r>
        <w:rPr>
          <w:rFonts w:ascii="Arial" w:cs="Arial" w:eastAsia="Arial" w:hAnsi="Arial"/>
          <w:sz w:val="18"/>
          <w:szCs w:val="18"/>
          <w:b w:val="1"/>
          <w:bCs w:val="1"/>
          <w:color w:val="auto"/>
        </w:rPr>
        <w:t>For the Quarter Ended March 31, 2022</w:t>
      </w: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10560" w:type="dxa"/>
            <w:vAlign w:val="bottom"/>
            <w:gridSpan w:val="24"/>
            <w:vMerge w:val="restart"/>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 FINANCIAL INFORMATION</w:t>
              </w:r>
            </w:hyperlink>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35"/>
        </w:trPr>
        <w:tc>
          <w:tcPr>
            <w:tcW w:w="10560" w:type="dxa"/>
            <w:vAlign w:val="bottom"/>
            <w:gridSpan w:val="24"/>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2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Cautionary Statement Regarding 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7"/>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460" w:type="dxa"/>
            <w:vAlign w:val="bottom"/>
            <w:tcBorders>
              <w:top w:val="single" w:sz="8" w:color="0000FF"/>
            </w:tcBorders>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52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11"/>
          </w:tcPr>
          <w:p>
            <w:pPr>
              <w:spacing w:after="0" w:line="154" w:lineRule="exact"/>
              <w:rPr>
                <w:rFonts w:ascii="Arial" w:cs="Arial" w:eastAsia="Arial" w:hAnsi="Arial"/>
                <w:sz w:val="17"/>
                <w:szCs w:val="17"/>
                <w:color w:val="0000FF"/>
                <w:w w:val="91"/>
              </w:rPr>
            </w:pPr>
            <w:hyperlink w:anchor="page5">
              <w:r>
                <w:rPr>
                  <w:rFonts w:ascii="Arial" w:cs="Arial" w:eastAsia="Arial" w:hAnsi="Arial"/>
                  <w:sz w:val="17"/>
                  <w:szCs w:val="17"/>
                  <w:color w:val="0000FF"/>
                  <w:w w:val="91"/>
                </w:rPr>
                <w:t>Condensed Consolidated Balance</w:t>
              </w:r>
            </w:hyperlink>
          </w:p>
        </w:tc>
        <w:tc>
          <w:tcPr>
            <w:tcW w:w="20" w:type="dxa"/>
            <w:vAlign w:val="bottom"/>
            <w:tcBorders>
              <w:top w:val="single" w:sz="8" w:color="0000EE"/>
              <w:bottom w:val="single" w:sz="8" w:color="0000FF"/>
            </w:tcBorders>
          </w:tcPr>
          <w:p>
            <w:pPr>
              <w:spacing w:after="0"/>
              <w:rPr>
                <w:sz w:val="13"/>
                <w:szCs w:val="13"/>
                <w:color w:val="auto"/>
              </w:rPr>
            </w:pPr>
          </w:p>
        </w:tc>
        <w:tc>
          <w:tcPr>
            <w:tcW w:w="4720" w:type="dxa"/>
            <w:vAlign w:val="bottom"/>
            <w:tcBorders>
              <w:bottom w:val="single" w:sz="8" w:color="0000FF"/>
            </w:tcBorders>
            <w:gridSpan w:val="7"/>
          </w:tcPr>
          <w:p>
            <w:pPr>
              <w:ind w:left="40"/>
              <w:spacing w:after="0" w:line="154" w:lineRule="exact"/>
              <w:rPr>
                <w:rFonts w:ascii="Arial" w:cs="Arial" w:eastAsia="Arial" w:hAnsi="Arial"/>
                <w:sz w:val="17"/>
                <w:szCs w:val="17"/>
                <w:color w:val="0000FF"/>
                <w:w w:val="94"/>
              </w:rPr>
            </w:pPr>
            <w:hyperlink w:anchor="page5">
              <w:r>
                <w:rPr>
                  <w:rFonts w:ascii="Arial" w:cs="Arial" w:eastAsia="Arial" w:hAnsi="Arial"/>
                  <w:sz w:val="17"/>
                  <w:szCs w:val="17"/>
                  <w:color w:val="0000FF"/>
                  <w:w w:val="94"/>
                </w:rPr>
                <w:t>Sheets as of March 31, 2022 (unaudited) and December 31, 2021</w:t>
              </w:r>
            </w:hyperlink>
          </w:p>
        </w:tc>
        <w:tc>
          <w:tcPr>
            <w:tcW w:w="2600" w:type="dxa"/>
            <w:vAlign w:val="bottom"/>
            <w:gridSpan w:val="3"/>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tcBorders>
              <w:bottom w:val="single" w:sz="8" w:color="0000FF"/>
            </w:tcBorders>
            <w:gridSpan w:val="22"/>
          </w:tcPr>
          <w:p>
            <w:pPr>
              <w:spacing w:after="0" w:line="154" w:lineRule="exact"/>
              <w:rPr>
                <w:rFonts w:ascii="Arial" w:cs="Arial" w:eastAsia="Arial" w:hAnsi="Arial"/>
                <w:sz w:val="17"/>
                <w:szCs w:val="17"/>
                <w:color w:val="0000FF"/>
                <w:w w:val="94"/>
              </w:rPr>
            </w:pPr>
            <w:hyperlink w:anchor="page6">
              <w:r>
                <w:rPr>
                  <w:rFonts w:ascii="Arial" w:cs="Arial" w:eastAsia="Arial" w:hAnsi="Arial"/>
                  <w:sz w:val="17"/>
                  <w:szCs w:val="17"/>
                  <w:color w:val="0000FF"/>
                  <w:w w:val="94"/>
                </w:rPr>
                <w:t>Unaudited Condensed Consolidated Statements of Operations and Comprehensive Income (Loss) for the three months ended March 31,</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bottom w:val="single" w:sz="8" w:color="0000FF"/>
            </w:tcBorders>
            <w:gridSpan w:val="5"/>
          </w:tcPr>
          <w:p>
            <w:pPr>
              <w:spacing w:after="0" w:line="154" w:lineRule="exact"/>
              <w:rPr>
                <w:rFonts w:ascii="Arial" w:cs="Arial" w:eastAsia="Arial" w:hAnsi="Arial"/>
                <w:sz w:val="17"/>
                <w:szCs w:val="17"/>
                <w:color w:val="0000FF"/>
                <w:w w:val="91"/>
              </w:rPr>
            </w:pPr>
            <w:hyperlink w:anchor="page6">
              <w:r>
                <w:rPr>
                  <w:rFonts w:ascii="Arial" w:cs="Arial" w:eastAsia="Arial" w:hAnsi="Arial"/>
                  <w:sz w:val="17"/>
                  <w:szCs w:val="17"/>
                  <w:color w:val="0000FF"/>
                  <w:w w:val="91"/>
                </w:rPr>
                <w:t>2022 and 2021</w:t>
              </w:r>
            </w:hyperlink>
          </w:p>
        </w:tc>
        <w:tc>
          <w:tcPr>
            <w:tcW w:w="20" w:type="dxa"/>
            <w:vAlign w:val="bottom"/>
            <w:tcBorders>
              <w:bottom w:val="single" w:sz="8" w:color="0000EE"/>
            </w:tcBorders>
          </w:tcPr>
          <w:p>
            <w:pPr>
              <w:spacing w:after="0"/>
              <w:rPr>
                <w:sz w:val="13"/>
                <w:szCs w:val="13"/>
                <w:color w:val="auto"/>
              </w:rPr>
            </w:pPr>
          </w:p>
        </w:tc>
        <w:tc>
          <w:tcPr>
            <w:tcW w:w="8640" w:type="dxa"/>
            <w:vAlign w:val="bottom"/>
            <w:gridSpan w:val="16"/>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gridSpan w:val="22"/>
          </w:tcPr>
          <w:p>
            <w:pPr>
              <w:spacing w:after="0" w:line="154" w:lineRule="exact"/>
              <w:rPr>
                <w:rFonts w:ascii="Arial" w:cs="Arial" w:eastAsia="Arial" w:hAnsi="Arial"/>
                <w:sz w:val="17"/>
                <w:szCs w:val="17"/>
                <w:color w:val="0000FF"/>
                <w:w w:val="96"/>
              </w:rPr>
            </w:pPr>
            <w:hyperlink w:anchor="page7">
              <w:r>
                <w:rPr>
                  <w:rFonts w:ascii="Arial" w:cs="Arial" w:eastAsia="Arial" w:hAnsi="Arial"/>
                  <w:sz w:val="17"/>
                  <w:szCs w:val="17"/>
                  <w:color w:val="0000FF"/>
                  <w:w w:val="96"/>
                </w:rPr>
                <w:t>Unaudited Condensed Consolidated Statements of Mezzanine Equity and Stockholders’ Equity for the three months ended March 31,</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5"/>
          </w:tcPr>
          <w:p>
            <w:pPr>
              <w:spacing w:after="0" w:line="154" w:lineRule="exact"/>
              <w:rPr>
                <w:rFonts w:ascii="Arial" w:cs="Arial" w:eastAsia="Arial" w:hAnsi="Arial"/>
                <w:sz w:val="17"/>
                <w:szCs w:val="17"/>
                <w:color w:val="0000FF"/>
                <w:w w:val="91"/>
              </w:rPr>
            </w:pPr>
            <w:hyperlink w:anchor="page7">
              <w:r>
                <w:rPr>
                  <w:rFonts w:ascii="Arial" w:cs="Arial" w:eastAsia="Arial" w:hAnsi="Arial"/>
                  <w:sz w:val="17"/>
                  <w:szCs w:val="17"/>
                  <w:color w:val="0000FF"/>
                  <w:w w:val="91"/>
                </w:rPr>
                <w:t>2022 and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460" w:type="dxa"/>
            <w:vAlign w:val="bottom"/>
            <w:tcBorders>
              <w:top w:val="single" w:sz="8" w:color="0000FF"/>
            </w:tcBorders>
            <w:gridSpan w:val="15"/>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720" w:type="dxa"/>
            <w:vAlign w:val="bottom"/>
            <w:gridSpan w:val="22"/>
          </w:tcPr>
          <w:p>
            <w:pPr>
              <w:spacing w:after="0" w:line="154" w:lineRule="exact"/>
              <w:rPr>
                <w:rFonts w:ascii="Arial" w:cs="Arial" w:eastAsia="Arial" w:hAnsi="Arial"/>
                <w:sz w:val="17"/>
                <w:szCs w:val="17"/>
                <w:color w:val="0000FF"/>
              </w:rPr>
            </w:pPr>
            <w:hyperlink w:anchor="page10">
              <w:r>
                <w:rPr>
                  <w:rFonts w:ascii="Arial" w:cs="Arial" w:eastAsia="Arial" w:hAnsi="Arial"/>
                  <w:sz w:val="17"/>
                  <w:szCs w:val="17"/>
                  <w:color w:val="0000FF"/>
                </w:rPr>
                <w:t>Unaudited Condensed Consolidated Statements of Cash Flows for the three months ended March 31, 2022 and 2021</w:t>
              </w:r>
            </w:hyperlink>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8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w:anchor="page11">
              <w:r>
                <w:rPr>
                  <w:rFonts w:ascii="Arial" w:cs="Arial" w:eastAsia="Arial" w:hAnsi="Arial"/>
                  <w:sz w:val="17"/>
                  <w:szCs w:val="17"/>
                  <w:color w:val="0000FF"/>
                </w:rPr>
                <w:t>Notes to Condensed Consolidated Financial Statements</w:t>
              </w:r>
            </w:hyperlink>
          </w:p>
        </w:tc>
        <w:tc>
          <w:tcPr>
            <w:tcW w:w="1440" w:type="dxa"/>
            <w:vAlign w:val="bottom"/>
            <w:gridSpan w:val="2"/>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54"/>
        </w:trPr>
        <w:tc>
          <w:tcPr>
            <w:tcW w:w="840" w:type="dxa"/>
            <w:vAlign w:val="bottom"/>
            <w:gridSpan w:val="2"/>
          </w:tcPr>
          <w:p>
            <w:pPr>
              <w:spacing w:after="0" w:line="154" w:lineRule="exact"/>
              <w:rPr>
                <w:sz w:val="20"/>
                <w:szCs w:val="20"/>
                <w:color w:val="auto"/>
              </w:rPr>
            </w:pPr>
            <w:r>
              <w:rPr>
                <w:rFonts w:ascii="Arial" w:cs="Arial" w:eastAsia="Arial" w:hAnsi="Arial"/>
                <w:sz w:val="17"/>
                <w:szCs w:val="17"/>
                <w:color w:val="auto"/>
              </w:rPr>
              <w:t>Item 2.</w:t>
            </w:r>
          </w:p>
        </w:tc>
        <w:tc>
          <w:tcPr>
            <w:tcW w:w="394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w:anchor="page30">
              <w:r>
                <w:rPr>
                  <w:rFonts w:ascii="Arial" w:cs="Arial" w:eastAsia="Arial" w:hAnsi="Arial"/>
                  <w:sz w:val="17"/>
                  <w:szCs w:val="17"/>
                  <w:color w:val="0000FF"/>
                </w:rPr>
                <w:t>Management’s Discussion and Analysis of Financial</w:t>
              </w:r>
            </w:hyperlink>
          </w:p>
        </w:tc>
        <w:tc>
          <w:tcPr>
            <w:tcW w:w="20" w:type="dxa"/>
            <w:vAlign w:val="bottom"/>
            <w:tcBorders>
              <w:top w:val="single" w:sz="8" w:color="0000EE"/>
            </w:tcBorders>
          </w:tcPr>
          <w:p>
            <w:pPr>
              <w:spacing w:after="0"/>
              <w:rPr>
                <w:sz w:val="13"/>
                <w:szCs w:val="13"/>
                <w:color w:val="auto"/>
              </w:rPr>
            </w:pPr>
          </w:p>
        </w:tc>
        <w:tc>
          <w:tcPr>
            <w:tcW w:w="5760" w:type="dxa"/>
            <w:vAlign w:val="bottom"/>
            <w:gridSpan w:val="8"/>
          </w:tcPr>
          <w:p>
            <w:pPr>
              <w:spacing w:after="0" w:line="154" w:lineRule="exact"/>
              <w:rPr>
                <w:rFonts w:ascii="Arial" w:cs="Arial" w:eastAsia="Arial" w:hAnsi="Arial"/>
                <w:sz w:val="17"/>
                <w:szCs w:val="17"/>
                <w:color w:val="0000FF"/>
              </w:rPr>
            </w:pPr>
            <w:hyperlink w:anchor="page30">
              <w:r>
                <w:rPr>
                  <w:rFonts w:ascii="Arial" w:cs="Arial" w:eastAsia="Arial" w:hAnsi="Arial"/>
                  <w:sz w:val="17"/>
                  <w:szCs w:val="17"/>
                  <w:color w:val="0000FF"/>
                </w:rPr>
                <w:t>Condition and Results of Operations</w:t>
              </w:r>
            </w:hyperlink>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54"/>
        </w:trPr>
        <w:tc>
          <w:tcPr>
            <w:tcW w:w="840" w:type="dxa"/>
            <w:vAlign w:val="bottom"/>
            <w:gridSpan w:val="2"/>
          </w:tcPr>
          <w:p>
            <w:pPr>
              <w:spacing w:after="0" w:line="154" w:lineRule="exact"/>
              <w:rPr>
                <w:sz w:val="20"/>
                <w:szCs w:val="20"/>
                <w:color w:val="auto"/>
              </w:rPr>
            </w:pPr>
            <w:r>
              <w:rPr>
                <w:rFonts w:ascii="Arial" w:cs="Arial" w:eastAsia="Arial" w:hAnsi="Arial"/>
                <w:sz w:val="17"/>
                <w:szCs w:val="17"/>
                <w:color w:val="auto"/>
              </w:rPr>
              <w:t>Item 3.</w:t>
            </w:r>
          </w:p>
        </w:tc>
        <w:tc>
          <w:tcPr>
            <w:tcW w:w="6420" w:type="dxa"/>
            <w:vAlign w:val="bottom"/>
            <w:tcBorders>
              <w:top w:val="single" w:sz="8" w:color="0000EE"/>
            </w:tcBorders>
            <w:gridSpan w:val="18"/>
          </w:tcPr>
          <w:p>
            <w:pPr>
              <w:spacing w:after="0" w:line="154" w:lineRule="exact"/>
              <w:rPr>
                <w:rFonts w:ascii="Arial" w:cs="Arial" w:eastAsia="Arial" w:hAnsi="Arial"/>
                <w:sz w:val="17"/>
                <w:szCs w:val="17"/>
                <w:color w:val="0000FF"/>
              </w:rPr>
            </w:pPr>
            <w:hyperlink w:anchor="page42">
              <w:r>
                <w:rPr>
                  <w:rFonts w:ascii="Arial" w:cs="Arial" w:eastAsia="Arial" w:hAnsi="Arial"/>
                  <w:sz w:val="17"/>
                  <w:szCs w:val="17"/>
                  <w:color w:val="0000FF"/>
                </w:rPr>
                <w:t>Quantitative and Qualitative Disclosures about Market Risk</w:t>
              </w:r>
            </w:hyperlink>
          </w:p>
        </w:tc>
        <w:tc>
          <w:tcPr>
            <w:tcW w:w="3300" w:type="dxa"/>
            <w:vAlign w:val="bottom"/>
            <w:gridSpan w:val="4"/>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54"/>
        </w:trPr>
        <w:tc>
          <w:tcPr>
            <w:tcW w:w="840" w:type="dxa"/>
            <w:vAlign w:val="bottom"/>
            <w:gridSpan w:val="2"/>
          </w:tcPr>
          <w:p>
            <w:pPr>
              <w:spacing w:after="0" w:line="154" w:lineRule="exact"/>
              <w:rPr>
                <w:sz w:val="20"/>
                <w:szCs w:val="20"/>
                <w:color w:val="auto"/>
              </w:rPr>
            </w:pPr>
            <w:r>
              <w:rPr>
                <w:rFonts w:ascii="Arial" w:cs="Arial" w:eastAsia="Arial" w:hAnsi="Arial"/>
                <w:sz w:val="17"/>
                <w:szCs w:val="17"/>
                <w:color w:val="auto"/>
              </w:rPr>
              <w:t>Item 4.</w:t>
            </w:r>
          </w:p>
        </w:tc>
        <w:tc>
          <w:tcPr>
            <w:tcW w:w="4300" w:type="dxa"/>
            <w:vAlign w:val="bottom"/>
            <w:tcBorders>
              <w:top w:val="single" w:sz="8" w:color="0000EE"/>
            </w:tcBorders>
            <w:gridSpan w:val="15"/>
          </w:tcPr>
          <w:p>
            <w:pPr>
              <w:spacing w:after="0" w:line="154" w:lineRule="exact"/>
              <w:rPr>
                <w:rFonts w:ascii="Arial" w:cs="Arial" w:eastAsia="Arial" w:hAnsi="Arial"/>
                <w:sz w:val="17"/>
                <w:szCs w:val="17"/>
                <w:color w:val="0000FF"/>
              </w:rPr>
            </w:pPr>
            <w:hyperlink w:anchor="page42">
              <w:r>
                <w:rPr>
                  <w:rFonts w:ascii="Arial" w:cs="Arial" w:eastAsia="Arial" w:hAnsi="Arial"/>
                  <w:sz w:val="17"/>
                  <w:szCs w:val="17"/>
                  <w:color w:val="0000FF"/>
                </w:rPr>
                <w:t>Controls and Procedures</w:t>
              </w:r>
            </w:hyperlink>
          </w:p>
        </w:tc>
        <w:tc>
          <w:tcPr>
            <w:tcW w:w="1640" w:type="dxa"/>
            <w:vAlign w:val="bottom"/>
            <w:gridSpan w:val="2"/>
          </w:tcPr>
          <w:p>
            <w:pPr>
              <w:spacing w:after="0"/>
              <w:rPr>
                <w:sz w:val="13"/>
                <w:szCs w:val="13"/>
                <w:color w:val="auto"/>
              </w:rPr>
            </w:pPr>
          </w:p>
        </w:tc>
        <w:tc>
          <w:tcPr>
            <w:tcW w:w="3780" w:type="dxa"/>
            <w:vAlign w:val="bottom"/>
            <w:gridSpan w:val="5"/>
          </w:tcPr>
          <w:p>
            <w:pPr>
              <w:spacing w:after="0"/>
              <w:rPr>
                <w:sz w:val="13"/>
                <w:szCs w:val="13"/>
                <w:color w:val="auto"/>
              </w:rPr>
            </w:pPr>
          </w:p>
        </w:tc>
        <w:tc>
          <w:tcPr>
            <w:tcW w:w="540" w:type="dxa"/>
            <w:vAlign w:val="bottom"/>
          </w:tcPr>
          <w:p>
            <w:pPr>
              <w:jc w:val="right"/>
              <w:spacing w:after="0" w:line="154"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8"/>
          </w:tcPr>
          <w:p>
            <w:pPr>
              <w:spacing w:after="0" w:line="20" w:lineRule="exact"/>
              <w:rPr>
                <w:sz w:val="1"/>
                <w:szCs w:val="1"/>
                <w:color w:val="auto"/>
              </w:rPr>
            </w:pPr>
          </w:p>
        </w:tc>
        <w:tc>
          <w:tcPr>
            <w:tcW w:w="37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0560" w:type="dxa"/>
            <w:vAlign w:val="bottom"/>
            <w:gridSpan w:val="24"/>
          </w:tcPr>
          <w:p>
            <w:pP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 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940" w:type="dxa"/>
            <w:vAlign w:val="bottom"/>
            <w:gridSpan w:val="8"/>
            <w:vMerge w:val="restart"/>
          </w:tcPr>
          <w:p>
            <w:pPr>
              <w:spacing w:after="0" w:line="20" w:lineRule="exact"/>
              <w:rPr>
                <w:sz w:val="1"/>
                <w:szCs w:val="1"/>
                <w:color w:val="auto"/>
              </w:rPr>
            </w:pPr>
          </w:p>
        </w:tc>
        <w:tc>
          <w:tcPr>
            <w:tcW w:w="3780" w:type="dxa"/>
            <w:vAlign w:val="bottom"/>
            <w:gridSpan w:val="5"/>
            <w:vMerge w:val="restart"/>
          </w:tcPr>
          <w:p>
            <w:pPr>
              <w:spacing w:after="0" w:line="20" w:lineRule="exact"/>
              <w:rPr>
                <w:sz w:val="1"/>
                <w:szCs w:val="1"/>
                <w:color w:val="auto"/>
              </w:rPr>
            </w:pPr>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2740" w:type="dxa"/>
            <w:vAlign w:val="bottom"/>
            <w:gridSpan w:val="10"/>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Item 1. Legal Proceedings</w:t>
              </w:r>
            </w:hyperlink>
          </w:p>
        </w:tc>
        <w:tc>
          <w:tcPr>
            <w:tcW w:w="100" w:type="dxa"/>
            <w:vAlign w:val="bottom"/>
            <w:vMerge w:val="continue"/>
          </w:tcPr>
          <w:p>
            <w:pPr>
              <w:spacing w:after="0"/>
              <w:rPr>
                <w:sz w:val="13"/>
                <w:szCs w:val="13"/>
                <w:color w:val="auto"/>
              </w:rPr>
            </w:pPr>
          </w:p>
        </w:tc>
        <w:tc>
          <w:tcPr>
            <w:tcW w:w="3940" w:type="dxa"/>
            <w:vAlign w:val="bottom"/>
            <w:gridSpan w:val="8"/>
            <w:vMerge w:val="continue"/>
          </w:tcPr>
          <w:p>
            <w:pPr>
              <w:spacing w:after="0"/>
              <w:rPr>
                <w:sz w:val="13"/>
                <w:szCs w:val="13"/>
                <w:color w:val="auto"/>
              </w:rPr>
            </w:pPr>
          </w:p>
        </w:tc>
        <w:tc>
          <w:tcPr>
            <w:tcW w:w="3780" w:type="dxa"/>
            <w:vAlign w:val="bottom"/>
            <w:gridSpan w:val="5"/>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5"/>
            <w:vMerge w:val="restart"/>
          </w:tcPr>
          <w:p>
            <w:pPr>
              <w:spacing w:after="0" w:line="20" w:lineRule="exact"/>
              <w:rPr>
                <w:sz w:val="1"/>
                <w:szCs w:val="1"/>
                <w:color w:val="auto"/>
              </w:rPr>
            </w:pPr>
          </w:p>
        </w:tc>
        <w:tc>
          <w:tcPr>
            <w:tcW w:w="3940" w:type="dxa"/>
            <w:vAlign w:val="bottom"/>
            <w:gridSpan w:val="8"/>
            <w:vMerge w:val="restart"/>
          </w:tcPr>
          <w:p>
            <w:pPr>
              <w:spacing w:after="0" w:line="20" w:lineRule="exact"/>
              <w:rPr>
                <w:sz w:val="1"/>
                <w:szCs w:val="1"/>
                <w:color w:val="auto"/>
              </w:rPr>
            </w:pPr>
          </w:p>
        </w:tc>
        <w:tc>
          <w:tcPr>
            <w:tcW w:w="3780" w:type="dxa"/>
            <w:vAlign w:val="bottom"/>
            <w:gridSpan w:val="5"/>
            <w:vMerge w:val="restart"/>
          </w:tcPr>
          <w:p>
            <w:pPr>
              <w:spacing w:after="0" w:line="20" w:lineRule="exact"/>
              <w:rPr>
                <w:sz w:val="1"/>
                <w:szCs w:val="1"/>
                <w:color w:val="auto"/>
              </w:rPr>
            </w:pPr>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1860" w:type="dxa"/>
            <w:vAlign w:val="bottom"/>
            <w:gridSpan w:val="6"/>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Item 1A. Risk Factors</w:t>
              </w:r>
            </w:hyperlink>
          </w:p>
        </w:tc>
        <w:tc>
          <w:tcPr>
            <w:tcW w:w="980" w:type="dxa"/>
            <w:vAlign w:val="bottom"/>
            <w:gridSpan w:val="5"/>
            <w:vMerge w:val="continue"/>
          </w:tcPr>
          <w:p>
            <w:pPr>
              <w:spacing w:after="0"/>
              <w:rPr>
                <w:sz w:val="13"/>
                <w:szCs w:val="13"/>
                <w:color w:val="auto"/>
              </w:rPr>
            </w:pPr>
          </w:p>
        </w:tc>
        <w:tc>
          <w:tcPr>
            <w:tcW w:w="3940" w:type="dxa"/>
            <w:vAlign w:val="bottom"/>
            <w:gridSpan w:val="8"/>
            <w:vMerge w:val="continue"/>
          </w:tcPr>
          <w:p>
            <w:pPr>
              <w:spacing w:after="0"/>
              <w:rPr>
                <w:sz w:val="13"/>
                <w:szCs w:val="13"/>
                <w:color w:val="auto"/>
              </w:rPr>
            </w:pPr>
          </w:p>
        </w:tc>
        <w:tc>
          <w:tcPr>
            <w:tcW w:w="3780" w:type="dxa"/>
            <w:vAlign w:val="bottom"/>
            <w:gridSpan w:val="5"/>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980" w:type="dxa"/>
            <w:vAlign w:val="bottom"/>
            <w:gridSpan w:val="20"/>
            <w:vMerge w:val="restart"/>
          </w:tcPr>
          <w:p>
            <w:pPr>
              <w:spacing w:after="0" w:line="174" w:lineRule="exact"/>
              <w:rPr>
                <w:rFonts w:ascii="Arial" w:cs="Arial" w:eastAsia="Arial" w:hAnsi="Arial"/>
                <w:sz w:val="18"/>
                <w:szCs w:val="18"/>
                <w:color w:val="0000FF"/>
              </w:rPr>
            </w:pPr>
            <w:hyperlink w:anchor="page44">
              <w:r>
                <w:rPr>
                  <w:rFonts w:ascii="Arial" w:cs="Arial" w:eastAsia="Arial" w:hAnsi="Arial"/>
                  <w:sz w:val="18"/>
                  <w:szCs w:val="18"/>
                  <w:color w:val="0000FF"/>
                </w:rPr>
                <w:t>Sales of Equity Securities and Use of Proceeds from Registered Securities</w:t>
              </w:r>
            </w:hyperlink>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1580" w:type="dxa"/>
            <w:vAlign w:val="bottom"/>
            <w:gridSpan w:val="4"/>
          </w:tcPr>
          <w:p>
            <w:pPr>
              <w:spacing w:after="0" w:line="154" w:lineRule="exact"/>
              <w:rPr>
                <w:rFonts w:ascii="Arial" w:cs="Arial" w:eastAsia="Arial" w:hAnsi="Arial"/>
                <w:sz w:val="17"/>
                <w:szCs w:val="17"/>
                <w:color w:val="0000FF"/>
                <w:w w:val="99"/>
              </w:rPr>
            </w:pPr>
            <w:hyperlink w:anchor="page44">
              <w:r>
                <w:rPr>
                  <w:rFonts w:ascii="Arial" w:cs="Arial" w:eastAsia="Arial" w:hAnsi="Arial"/>
                  <w:sz w:val="17"/>
                  <w:szCs w:val="17"/>
                  <w:color w:val="0000FF"/>
                  <w:w w:val="99"/>
                </w:rPr>
                <w:t>Item 2. Unregistered</w:t>
              </w:r>
            </w:hyperlink>
          </w:p>
        </w:tc>
        <w:tc>
          <w:tcPr>
            <w:tcW w:w="8980" w:type="dxa"/>
            <w:vAlign w:val="bottom"/>
            <w:gridSpan w:val="20"/>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3940" w:type="dxa"/>
            <w:vAlign w:val="bottom"/>
            <w:gridSpan w:val="8"/>
            <w:shd w:val="clear" w:color="auto" w:fill="0000FF"/>
          </w:tcPr>
          <w:p>
            <w:pPr>
              <w:spacing w:after="0" w:line="20" w:lineRule="exact"/>
              <w:rPr>
                <w:sz w:val="1"/>
                <w:szCs w:val="1"/>
                <w:color w:val="auto"/>
              </w:rPr>
            </w:pPr>
          </w:p>
        </w:tc>
        <w:tc>
          <w:tcPr>
            <w:tcW w:w="3780" w:type="dxa"/>
            <w:vAlign w:val="bottom"/>
            <w:gridSpan w:val="5"/>
            <w:vMerge w:val="restart"/>
          </w:tcPr>
          <w:p>
            <w:pPr>
              <w:spacing w:after="0" w:line="20" w:lineRule="exact"/>
              <w:rPr>
                <w:sz w:val="1"/>
                <w:szCs w:val="1"/>
                <w:color w:val="auto"/>
              </w:rPr>
            </w:pPr>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6780" w:type="dxa"/>
            <w:vAlign w:val="bottom"/>
            <w:gridSpan w:val="19"/>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Item 3. Defaults Upon Senior Securities</w:t>
              </w:r>
            </w:hyperlink>
          </w:p>
        </w:tc>
        <w:tc>
          <w:tcPr>
            <w:tcW w:w="3780" w:type="dxa"/>
            <w:vAlign w:val="bottom"/>
            <w:gridSpan w:val="5"/>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7720" w:type="dxa"/>
            <w:vAlign w:val="bottom"/>
            <w:gridSpan w:val="13"/>
            <w:vMerge w:val="restart"/>
          </w:tcPr>
          <w:p>
            <w:pPr>
              <w:spacing w:after="0" w:line="20" w:lineRule="exact"/>
              <w:rPr>
                <w:sz w:val="1"/>
                <w:szCs w:val="1"/>
                <w:color w:val="auto"/>
              </w:rPr>
            </w:pPr>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2840" w:type="dxa"/>
            <w:vAlign w:val="bottom"/>
            <w:gridSpan w:val="11"/>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Item 5. Other Information</w:t>
              </w:r>
            </w:hyperlink>
          </w:p>
        </w:tc>
        <w:tc>
          <w:tcPr>
            <w:tcW w:w="7720" w:type="dxa"/>
            <w:vAlign w:val="bottom"/>
            <w:gridSpan w:val="1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720" w:type="dxa"/>
            <w:vAlign w:val="bottom"/>
            <w:gridSpan w:val="19"/>
            <w:vMerge w:val="restart"/>
          </w:tcPr>
          <w:p>
            <w:pPr>
              <w:spacing w:after="0" w:line="20" w:lineRule="exact"/>
              <w:rPr>
                <w:sz w:val="1"/>
                <w:szCs w:val="1"/>
                <w:color w:val="auto"/>
              </w:rPr>
            </w:pPr>
          </w:p>
        </w:tc>
        <w:tc>
          <w:tcPr>
            <w:tcW w:w="540" w:type="dxa"/>
            <w:vAlign w:val="bottom"/>
            <w:vMerge w:val="restart"/>
          </w:tcPr>
          <w:p>
            <w:pPr>
              <w:jc w:val="right"/>
              <w:spacing w:after="0" w:line="174"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4"/>
        </w:trPr>
        <w:tc>
          <w:tcPr>
            <w:tcW w:w="1840" w:type="dxa"/>
            <w:vAlign w:val="bottom"/>
            <w:gridSpan w:val="5"/>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Item 6. Exhibits</w:t>
              </w:r>
            </w:hyperlink>
          </w:p>
        </w:tc>
        <w:tc>
          <w:tcPr>
            <w:tcW w:w="8720" w:type="dxa"/>
            <w:vAlign w:val="bottom"/>
            <w:gridSpan w:val="19"/>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this Quarterly Report on Form 10-Q, the terms “we,” “us,” “our,” the “Company” and “CCC” mean CCC Intelligent Solutions Holdings Inc. (formerly Dragoneer Growth Opportunities Corp.) and our subsidiaries. On July 30, 2021, Dragoneer Growth Opportunities Corp., a Cayman Islands exempted company (“Dragoneer” ), consummated a business combination (the “Business Combination”) pursuant to the terms of the Business Combination Agreement, dated as of February 2, 2021 (the “Business Combination Agreement”), as amended, by and among Dragoneer and Cypress Holdings Inc., a Delaware corporation (“CCCIS”). Immediately upon the consummation of the Business Combination and the other transactions contemplated by the Business Combination Agreement (collectively, the “Transactions”, and such completion the “Closing”), CCCIS merged with and into Chariot Merger Sub, a wholly-owned direct subsidiary of Dragoneer, with CCCIS surviving the Business Combination as a wholly-owned direct subsidiary of Dragoneer (the “Merger”). In connection with the Transactions, Dragoneer changed its name to “CCC Intelligent Solutions Holdings Inc.”</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section titled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as well as other parts of this Quarterly Report on Form 10-Q and certain information incorporated herein by reference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Important factors that could cause actual results to differ materially from our expectations include:</w:t>
      </w:r>
    </w:p>
    <w:p>
      <w:pPr>
        <w:spacing w:after="0" w:line="100" w:lineRule="exact"/>
        <w:rPr>
          <w:sz w:val="20"/>
          <w:szCs w:val="20"/>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revenues, the concentration of our customers and the ability to retain our current customers;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with our customers on favorable terms;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grow our brand and reputation cost-effectively;</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of our growth strategy;</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projected financial information, growth rate and market opportunity;</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of our industry, claim volumes, and market conditions;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insurance and automotive collision industries, including the adoption of new technologies;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economic conditions and geopolitical events;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our market and our ability to retain and grow market share;</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introduce and market new enhanced versions of our solutions and products;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implementation cycles;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research and development efforts to create significant new revenue streams;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00" w:lineRule="exact"/>
        <w:rPr>
          <w:rFonts w:ascii="Arial" w:cs="Arial" w:eastAsia="Arial" w:hAnsi="Arial"/>
          <w:sz w:val="18"/>
          <w:szCs w:val="18"/>
          <w:color w:val="auto"/>
        </w:rPr>
      </w:pPr>
    </w:p>
    <w:p>
      <w:pPr>
        <w:ind w:left="1020" w:right="280" w:hanging="504"/>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international economic, political, social and governmental conditions and policies, including corruption risks in China and other countries;</w:t>
      </w:r>
    </w:p>
    <w:p>
      <w:pPr>
        <w:spacing w:after="0" w:line="67"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data, technology and intellectual property;</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data and information systems secure from data security breaches;</w:t>
      </w:r>
    </w:p>
    <w:p>
      <w:pPr>
        <w:spacing w:after="0" w:line="100" w:lineRule="exact"/>
        <w:rPr>
          <w:rFonts w:ascii="Arial" w:cs="Arial" w:eastAsia="Arial" w:hAnsi="Arial"/>
          <w:sz w:val="18"/>
          <w:szCs w:val="18"/>
          <w:color w:val="auto"/>
        </w:rPr>
      </w:pPr>
    </w:p>
    <w:p>
      <w:pPr>
        <w:ind w:left="1020" w:hanging="504"/>
        <w:spacing w:after="0" w:line="24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w:t>
      </w:r>
    </w:p>
    <w:p>
      <w:pPr>
        <w:spacing w:after="0" w:line="79"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financing in the future and improve our capital structure;</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3" w:name="page4"/>
    <w:bookmarkEnd w:id="3"/>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expand or maintain its existing customer base; and</w:t>
      </w:r>
    </w:p>
    <w:p>
      <w:pPr>
        <w:spacing w:after="0" w:line="100"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indebtedness.</w:t>
      </w:r>
    </w:p>
    <w:p>
      <w:pPr>
        <w:spacing w:after="0" w:line="20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It is not possible to predict or identify all such risks. We do not undertake any obligation to update or revise any forward-looking statements, whether as a result of new information, future events or otherwise.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174" w:lineRule="exact"/>
        <w:rPr>
          <w:sz w:val="20"/>
          <w:szCs w:val="20"/>
          <w:color w:val="auto"/>
        </w:rPr>
      </w:pPr>
    </w:p>
    <w:p>
      <w:pPr>
        <w:ind w:left="3500" w:right="2660" w:hanging="832"/>
        <w:spacing w:after="0" w:line="243" w:lineRule="auto"/>
        <w:tabs>
          <w:tab w:leader="none" w:pos="309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BALANCE SHEETS</w:t>
      </w:r>
    </w:p>
    <w:p>
      <w:pPr>
        <w:spacing w:after="0" w:line="1"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March 31,</w:t>
            </w:r>
          </w:p>
        </w:tc>
        <w:tc>
          <w:tcPr>
            <w:tcW w:w="16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01"/>
        </w:trPr>
        <w:tc>
          <w:tcPr>
            <w:tcW w:w="8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89"/>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40"/>
              <w:spacing w:after="0" w:line="181" w:lineRule="exact"/>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195,497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182,544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080" w:type="dxa"/>
            <w:vAlign w:val="bottom"/>
          </w:tcPr>
          <w:p>
            <w:pPr>
              <w:ind w:left="200"/>
              <w:spacing w:after="0" w:line="151" w:lineRule="exact"/>
              <w:rPr>
                <w:sz w:val="20"/>
                <w:szCs w:val="20"/>
                <w:color w:val="auto"/>
              </w:rPr>
            </w:pPr>
            <w:r>
              <w:rPr>
                <w:rFonts w:ascii="Arial" w:cs="Arial" w:eastAsia="Arial" w:hAnsi="Arial"/>
                <w:sz w:val="16"/>
                <w:szCs w:val="16"/>
                <w:color w:val="auto"/>
              </w:rPr>
              <w:t>Accounts receivable—Net of allowances of $4,161 and $3,791 for March 31, 2022 and</w:t>
            </w:r>
          </w:p>
        </w:tc>
        <w:tc>
          <w:tcPr>
            <w:tcW w:w="2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76,746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78,793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80" w:type="dxa"/>
            <w:vAlign w:val="bottom"/>
          </w:tcPr>
          <w:p>
            <w:pPr>
              <w:ind w:left="320"/>
              <w:spacing w:after="0"/>
              <w:rPr>
                <w:sz w:val="20"/>
                <w:szCs w:val="20"/>
                <w:color w:val="auto"/>
              </w:rPr>
            </w:pPr>
            <w:r>
              <w:rPr>
                <w:rFonts w:ascii="Arial" w:cs="Arial" w:eastAsia="Arial" w:hAnsi="Arial"/>
                <w:sz w:val="16"/>
                <w:szCs w:val="16"/>
                <w:color w:val="auto"/>
              </w:rPr>
              <w:t>December 31, 2021, respectively</w:t>
            </w: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0"/>
              <w:spacing w:after="0"/>
              <w:rPr>
                <w:sz w:val="20"/>
                <w:szCs w:val="20"/>
                <w:color w:val="auto"/>
              </w:rPr>
            </w:pPr>
            <w:r>
              <w:rPr>
                <w:rFonts w:ascii="Arial" w:cs="Arial" w:eastAsia="Arial" w:hAnsi="Arial"/>
                <w:sz w:val="16"/>
                <w:szCs w:val="16"/>
                <w:color w:val="auto"/>
              </w:rPr>
              <w:t>Deferred contract costs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15,069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44,013</w:t>
            </w:r>
          </w:p>
        </w:tc>
        <w:tc>
          <w:tcPr>
            <w:tcW w:w="20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46,181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080" w:type="dxa"/>
            <w:vAlign w:val="bottom"/>
          </w:tcPr>
          <w:p>
            <w:pPr>
              <w:ind w:left="380"/>
              <w:spacing w:after="0" w:line="167" w:lineRule="exact"/>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331,972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322,905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SOFTWARE, EQUIPMENT, AND PROPERTY—Net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139,801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135,845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34,690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37,234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ASSETS—Net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1,193,275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1,213,249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1,494,252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1,466,884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FINANCING FEES, REVOLVER—Net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DEFERRED CONTRACT COSTS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21,303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 METHOD INVESTMENT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36,630</w:t>
            </w:r>
          </w:p>
        </w:tc>
        <w:tc>
          <w:tcPr>
            <w:tcW w:w="2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26,165</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8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3,264,897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3,237,526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8080" w:type="dxa"/>
            <w:vAlign w:val="bottom"/>
          </w:tcPr>
          <w:p>
            <w:pPr>
              <w:ind w:left="20"/>
              <w:spacing w:after="0" w:line="167" w:lineRule="exact"/>
              <w:rPr>
                <w:sz w:val="20"/>
                <w:szCs w:val="20"/>
                <w:color w:val="auto"/>
              </w:rPr>
            </w:pPr>
            <w:r>
              <w:rPr>
                <w:rFonts w:ascii="Arial" w:cs="Arial" w:eastAsia="Arial" w:hAnsi="Arial"/>
                <w:sz w:val="16"/>
                <w:szCs w:val="16"/>
                <w:b w:val="1"/>
                <w:bCs w:val="1"/>
                <w:color w:val="auto"/>
              </w:rPr>
              <w:t>LIABILITIES, MEZZANINE EQUITY AND STOCKHOLDERS’ EQUITY</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16,935</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66,691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27,366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7,243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0"/>
              <w:spacing w:after="0"/>
              <w:rPr>
                <w:sz w:val="20"/>
                <w:szCs w:val="20"/>
                <w:color w:val="auto"/>
              </w:rPr>
            </w:pPr>
            <w:r>
              <w:rPr>
                <w:rFonts w:ascii="Arial" w:cs="Arial" w:eastAsia="Arial" w:hAnsi="Arial"/>
                <w:sz w:val="16"/>
                <w:szCs w:val="16"/>
                <w:color w:val="auto"/>
              </w:rPr>
              <w:t>Current portion of long-term licensing agreement—Net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Deferred revenues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33,395</w:t>
            </w:r>
          </w:p>
        </w:tc>
        <w:tc>
          <w:tcPr>
            <w:tcW w:w="2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31,042</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080" w:type="dxa"/>
            <w:vAlign w:val="bottom"/>
            <w:tcBorders>
              <w:bottom w:val="single" w:sz="8" w:color="CFF0FC"/>
            </w:tcBorders>
            <w:shd w:val="clear" w:color="auto" w:fill="CFF0FC"/>
          </w:tcPr>
          <w:p>
            <w:pPr>
              <w:ind w:left="380"/>
              <w:spacing w:after="0" w:line="167" w:lineRule="exact"/>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144,519</w:t>
            </w:r>
          </w:p>
        </w:tc>
        <w:tc>
          <w:tcPr>
            <w:tcW w:w="2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spacing w:after="0" w:line="167" w:lineRule="exact"/>
              <w:rPr>
                <w:sz w:val="20"/>
                <w:szCs w:val="20"/>
                <w:color w:val="auto"/>
              </w:rPr>
            </w:pPr>
            <w:r>
              <w:rPr>
                <w:rFonts w:ascii="Arial" w:cs="Arial" w:eastAsia="Arial" w:hAnsi="Arial"/>
                <w:sz w:val="16"/>
                <w:szCs w:val="16"/>
                <w:color w:val="auto"/>
              </w:rPr>
              <w:t>136,649</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80" w:type="dxa"/>
            <w:vAlign w:val="bottom"/>
          </w:tcPr>
          <w:p>
            <w:pPr>
              <w:ind w:left="20"/>
              <w:spacing w:after="0" w:line="181" w:lineRule="exact"/>
              <w:rPr>
                <w:sz w:val="20"/>
                <w:szCs w:val="20"/>
                <w:color w:val="auto"/>
              </w:rPr>
            </w:pPr>
            <w:r>
              <w:rPr>
                <w:rFonts w:ascii="Arial" w:cs="Arial" w:eastAsia="Arial" w:hAnsi="Arial"/>
                <w:sz w:val="16"/>
                <w:szCs w:val="16"/>
                <w:color w:val="auto"/>
              </w:rPr>
              <w:t>LONG-TERM DEBT—Net</w:t>
            </w:r>
          </w:p>
        </w:tc>
        <w:tc>
          <w:tcPr>
            <w:tcW w:w="20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778,996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line="181" w:lineRule="exact"/>
              <w:rPr>
                <w:sz w:val="20"/>
                <w:szCs w:val="20"/>
                <w:color w:val="auto"/>
              </w:rPr>
            </w:pPr>
            <w:r>
              <w:rPr>
                <w:rFonts w:ascii="Arial" w:cs="Arial" w:eastAsia="Arial" w:hAnsi="Arial"/>
                <w:sz w:val="16"/>
                <w:szCs w:val="16"/>
                <w:color w:val="auto"/>
              </w:rPr>
              <w:t>780,610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INCOME TAXES—Net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254,208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275,745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LONG-TERM LICENSING AGREEMENT—Net</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56,378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56,133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WARRANT LIABILITIES</w:t>
            </w: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60,342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62,478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4,770</w:t>
            </w:r>
          </w:p>
        </w:tc>
        <w:tc>
          <w:tcPr>
            <w:tcW w:w="20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8080" w:type="dxa"/>
            <w:vAlign w:val="bottom"/>
          </w:tcPr>
          <w:p>
            <w:pPr>
              <w:ind w:left="380"/>
              <w:spacing w:after="0" w:line="167" w:lineRule="exact"/>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1,332,139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1,351,029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8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COMMITMENTS AND CONTINGENCIES (Notes 19 and 20)</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MEZZANINE EQUITY:</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stock—$0.0001 par; 100,000,000 shares authorized; no shares issued or outstanding</w:t>
            </w:r>
          </w:p>
        </w:tc>
        <w:tc>
          <w:tcPr>
            <w:tcW w:w="20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0"/>
        </w:trPr>
        <w:tc>
          <w:tcPr>
            <w:tcW w:w="8080" w:type="dxa"/>
            <w:vAlign w:val="bottom"/>
          </w:tcPr>
          <w:p>
            <w:pPr>
              <w:ind w:left="200"/>
              <w:spacing w:after="0" w:line="151" w:lineRule="exact"/>
              <w:rPr>
                <w:sz w:val="20"/>
                <w:szCs w:val="20"/>
                <w:color w:val="auto"/>
              </w:rPr>
            </w:pPr>
            <w:r>
              <w:rPr>
                <w:rFonts w:ascii="Arial" w:cs="Arial" w:eastAsia="Arial" w:hAnsi="Arial"/>
                <w:sz w:val="16"/>
                <w:szCs w:val="16"/>
                <w:color w:val="auto"/>
              </w:rPr>
              <w:t>Common stock—$0.0001 par; 5,000,000,000 shares authorized; 613,758,126 and</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80" w:type="dxa"/>
            <w:vAlign w:val="bottom"/>
          </w:tcPr>
          <w:p>
            <w:pPr>
              <w:ind w:left="320"/>
              <w:spacing w:after="0" w:line="161" w:lineRule="exact"/>
              <w:rPr>
                <w:sz w:val="20"/>
                <w:szCs w:val="20"/>
                <w:color w:val="auto"/>
              </w:rPr>
            </w:pPr>
            <w:r>
              <w:rPr>
                <w:rFonts w:ascii="Arial" w:cs="Arial" w:eastAsia="Arial" w:hAnsi="Arial"/>
                <w:sz w:val="16"/>
                <w:szCs w:val="16"/>
                <w:color w:val="auto"/>
              </w:rPr>
              <w:t>609,768,296 shares issued and outstanding at March 31, 2022 and December 31,</w:t>
            </w:r>
          </w:p>
        </w:tc>
        <w:tc>
          <w:tcPr>
            <w:tcW w:w="2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8080" w:type="dxa"/>
            <w:vAlign w:val="bottom"/>
          </w:tcPr>
          <w:p>
            <w:pPr>
              <w:ind w:left="320"/>
              <w:spacing w:after="0"/>
              <w:rPr>
                <w:sz w:val="20"/>
                <w:szCs w:val="20"/>
                <w:color w:val="auto"/>
              </w:rPr>
            </w:pPr>
            <w:r>
              <w:rPr>
                <w:rFonts w:ascii="Arial" w:cs="Arial" w:eastAsia="Arial" w:hAnsi="Arial"/>
                <w:sz w:val="16"/>
                <w:szCs w:val="16"/>
                <w:color w:val="auto"/>
              </w:rPr>
              <w:t>2021, respectively</w:t>
            </w:r>
          </w:p>
        </w:tc>
        <w:tc>
          <w:tcPr>
            <w:tcW w:w="20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2,653,201</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2,618,924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8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(734,377 )</w:t>
            </w:r>
          </w:p>
        </w:tc>
        <w:tc>
          <w:tcPr>
            <w:tcW w:w="1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(746,352 )</w:t>
            </w:r>
          </w:p>
        </w:tc>
        <w:tc>
          <w:tcPr>
            <w:tcW w:w="0" w:type="dxa"/>
            <w:vAlign w:val="bottom"/>
          </w:tcPr>
          <w:p>
            <w:pPr>
              <w:spacing w:after="0"/>
              <w:rPr>
                <w:sz w:val="1"/>
                <w:szCs w:val="1"/>
                <w:color w:val="auto"/>
              </w:rPr>
            </w:pPr>
          </w:p>
        </w:tc>
      </w:tr>
      <w:tr>
        <w:trPr>
          <w:trHeight w:val="187"/>
        </w:trPr>
        <w:tc>
          <w:tcPr>
            <w:tcW w:w="8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(306 )</w:t>
            </w:r>
          </w:p>
        </w:tc>
        <w:tc>
          <w:tcPr>
            <w:tcW w:w="16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(315 )</w:t>
            </w:r>
          </w:p>
        </w:tc>
        <w:tc>
          <w:tcPr>
            <w:tcW w:w="0" w:type="dxa"/>
            <w:vAlign w:val="bottom"/>
          </w:tcPr>
          <w:p>
            <w:pPr>
              <w:spacing w:after="0"/>
              <w:rPr>
                <w:sz w:val="1"/>
                <w:szCs w:val="1"/>
                <w:color w:val="auto"/>
              </w:rPr>
            </w:pPr>
          </w:p>
        </w:tc>
      </w:tr>
      <w:tr>
        <w:trPr>
          <w:trHeight w:val="167"/>
        </w:trPr>
        <w:tc>
          <w:tcPr>
            <w:tcW w:w="8080" w:type="dxa"/>
            <w:vAlign w:val="bottom"/>
          </w:tcPr>
          <w:p>
            <w:pPr>
              <w:ind w:left="380"/>
              <w:spacing w:after="0" w:line="167" w:lineRule="exact"/>
              <w:rPr>
                <w:sz w:val="20"/>
                <w:szCs w:val="20"/>
                <w:color w:val="auto"/>
              </w:rPr>
            </w:pPr>
            <w:r>
              <w:rPr>
                <w:rFonts w:ascii="Arial" w:cs="Arial" w:eastAsia="Arial" w:hAnsi="Arial"/>
                <w:sz w:val="16"/>
                <w:szCs w:val="16"/>
                <w:color w:val="auto"/>
              </w:rPr>
              <w:t>Total stockholders’ equity</w:t>
            </w: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1,918,579</w:t>
            </w: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6"/>
                <w:szCs w:val="16"/>
                <w:color w:val="auto"/>
              </w:rPr>
              <w:t>1,872,318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08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3,264,897</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3,237,526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6064885</wp:posOffset>
            </wp:positionH>
            <wp:positionV relativeFrom="paragraph">
              <wp:posOffset>-4821555</wp:posOffset>
            </wp:positionV>
            <wp:extent cx="76200" cy="152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-4821555</wp:posOffset>
            </wp:positionV>
            <wp:extent cx="76200" cy="152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-3604260</wp:posOffset>
            </wp:positionV>
            <wp:extent cx="508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-3587750</wp:posOffset>
            </wp:positionV>
            <wp:extent cx="508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-3731895</wp:posOffset>
            </wp:positionV>
            <wp:extent cx="508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-3604260</wp:posOffset>
            </wp:positionV>
            <wp:extent cx="50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-3587750</wp:posOffset>
            </wp:positionV>
            <wp:extent cx="50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-3731895</wp:posOffset>
            </wp:positionV>
            <wp:extent cx="508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-2522855</wp:posOffset>
            </wp:positionV>
            <wp:extent cx="76200"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-2522855</wp:posOffset>
            </wp:positionV>
            <wp:extent cx="76200" cy="152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-1683385</wp:posOffset>
            </wp:positionV>
            <wp:extent cx="76200"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-1683385</wp:posOffset>
            </wp:positionV>
            <wp:extent cx="76200"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6064885</wp:posOffset>
            </wp:positionH>
            <wp:positionV relativeFrom="paragraph">
              <wp:posOffset>-283210</wp:posOffset>
            </wp:positionV>
            <wp:extent cx="76200" cy="152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-283210</wp:posOffset>
            </wp:positionV>
            <wp:extent cx="7620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00" cy="152400"/>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-24765</wp:posOffset>
            </wp:positionV>
            <wp:extent cx="50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6077585</wp:posOffset>
            </wp:positionH>
            <wp:positionV relativeFrom="paragraph">
              <wp:posOffset>-7620</wp:posOffset>
            </wp:positionV>
            <wp:extent cx="50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-24765</wp:posOffset>
            </wp:positionV>
            <wp:extent cx="50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-7620</wp:posOffset>
            </wp:positionV>
            <wp:extent cx="50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line="232"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080" w:type="dxa"/>
            <w:vAlign w:val="bottom"/>
            <w:gridSpan w:val="4"/>
          </w:tcPr>
          <w:p>
            <w:pPr>
              <w:jc w:val="right"/>
              <w:ind w:right="144"/>
              <w:spacing w:after="0"/>
              <w:rPr>
                <w:sz w:val="20"/>
                <w:szCs w:val="20"/>
                <w:color w:val="auto"/>
              </w:rPr>
            </w:pPr>
            <w:r>
              <w:rPr>
                <w:rFonts w:ascii="Arial" w:cs="Arial" w:eastAsia="Arial" w:hAnsi="Arial"/>
                <w:sz w:val="16"/>
                <w:szCs w:val="16"/>
                <w:b w:val="1"/>
                <w:bCs w:val="1"/>
                <w:color w:val="auto"/>
              </w:rPr>
              <w:t>For the Three Months Ended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4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6"/>
                <w:szCs w:val="16"/>
                <w:b w:val="1"/>
                <w:bCs w:val="1"/>
                <w:color w:val="auto"/>
              </w:rPr>
              <w:t>March 31,</w:t>
            </w: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460" w:type="dxa"/>
            <w:vAlign w:val="bottom"/>
          </w:tcPr>
          <w:p>
            <w:pPr>
              <w:spacing w:after="0"/>
              <w:rPr>
                <w:sz w:val="15"/>
                <w:szCs w:val="15"/>
                <w:color w:val="auto"/>
              </w:rPr>
            </w:pPr>
          </w:p>
        </w:tc>
        <w:tc>
          <w:tcPr>
            <w:tcW w:w="11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right"/>
              <w:ind w:right="4"/>
              <w:spacing w:after="0" w:line="181" w:lineRule="exact"/>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REVENUES</w:t>
            </w:r>
          </w:p>
        </w:tc>
        <w:tc>
          <w:tcPr>
            <w:tcW w:w="1100" w:type="dxa"/>
            <w:vAlign w:val="bottom"/>
            <w:shd w:val="clear" w:color="auto" w:fill="CFF0FC"/>
          </w:tcPr>
          <w:p>
            <w:pPr>
              <w:jc w:val="right"/>
              <w:ind w:right="920"/>
              <w:spacing w:after="0" w:line="181"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186,823</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92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157,789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of revenues, exclusive of amortization of acquired technologies</w:t>
            </w:r>
          </w:p>
        </w:tc>
        <w:tc>
          <w:tcPr>
            <w:tcW w:w="1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42,701</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0"/>
              <w:spacing w:after="0"/>
              <w:rPr>
                <w:sz w:val="20"/>
                <w:szCs w:val="20"/>
                <w:color w:val="auto"/>
              </w:rPr>
            </w:pPr>
            <w:r>
              <w:rPr>
                <w:rFonts w:ascii="Arial" w:cs="Arial" w:eastAsia="Arial" w:hAnsi="Arial"/>
                <w:sz w:val="16"/>
                <w:szCs w:val="16"/>
                <w:color w:val="auto"/>
              </w:rPr>
              <w:t>Amortization of acquired technologies</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6,695</w:t>
            </w:r>
          </w:p>
        </w:tc>
        <w:tc>
          <w:tcPr>
            <w:tcW w:w="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60" w:type="dxa"/>
            <w:vAlign w:val="bottom"/>
            <w:tcBorders>
              <w:bottom w:val="single" w:sz="8" w:color="CFF0FC"/>
            </w:tcBorders>
            <w:shd w:val="clear" w:color="auto" w:fill="CFF0FC"/>
          </w:tcPr>
          <w:p>
            <w:pPr>
              <w:ind w:left="560"/>
              <w:spacing w:after="0" w:line="181" w:lineRule="exact"/>
              <w:rPr>
                <w:sz w:val="20"/>
                <w:szCs w:val="20"/>
                <w:color w:val="auto"/>
              </w:rPr>
            </w:pPr>
            <w:r>
              <w:rPr>
                <w:rFonts w:ascii="Arial" w:cs="Arial" w:eastAsia="Arial" w:hAnsi="Arial"/>
                <w:sz w:val="16"/>
                <w:szCs w:val="16"/>
                <w:color w:val="auto"/>
              </w:rPr>
              <w:t>Total cost of revenues</w:t>
            </w:r>
          </w:p>
        </w:tc>
        <w:tc>
          <w:tcPr>
            <w:tcW w:w="1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49,396</w:t>
            </w:r>
          </w:p>
        </w:tc>
        <w:tc>
          <w:tcPr>
            <w:tcW w:w="28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44,593</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tcPr>
          <w:p>
            <w:pPr>
              <w:ind w:left="20"/>
              <w:spacing w:after="0" w:line="181" w:lineRule="exact"/>
              <w:rPr>
                <w:sz w:val="20"/>
                <w:szCs w:val="20"/>
                <w:color w:val="auto"/>
              </w:rPr>
            </w:pPr>
            <w:r>
              <w:rPr>
                <w:rFonts w:ascii="Arial" w:cs="Arial" w:eastAsia="Arial" w:hAnsi="Arial"/>
                <w:sz w:val="16"/>
                <w:szCs w:val="16"/>
                <w:color w:val="auto"/>
              </w:rPr>
              <w:t>GROSS PROFIT</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137,427</w:t>
            </w:r>
          </w:p>
        </w:tc>
        <w:tc>
          <w:tcPr>
            <w:tcW w:w="2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113,196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OPERATING EXPENSES:</w:t>
            </w:r>
          </w:p>
        </w:tc>
        <w:tc>
          <w:tcPr>
            <w:tcW w:w="1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35,681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30,624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and marketing</w:t>
            </w:r>
          </w:p>
        </w:tc>
        <w:tc>
          <w:tcPr>
            <w:tcW w:w="1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26,802</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19,417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0"/>
              <w:spacing w:after="0"/>
              <w:rPr>
                <w:sz w:val="20"/>
                <w:szCs w:val="20"/>
                <w:color w:val="auto"/>
              </w:rPr>
            </w:pPr>
            <w:r>
              <w:rPr>
                <w:rFonts w:ascii="Arial" w:cs="Arial" w:eastAsia="Arial" w:hAnsi="Arial"/>
                <w:sz w:val="16"/>
                <w:szCs w:val="16"/>
                <w:color w:val="auto"/>
              </w:rPr>
              <w:t>General and administrative</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44,207</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37,839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11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18,080</w:t>
            </w:r>
          </w:p>
        </w:tc>
        <w:tc>
          <w:tcPr>
            <w:tcW w:w="2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60" w:type="dxa"/>
            <w:vAlign w:val="bottom"/>
          </w:tcPr>
          <w:p>
            <w:pPr>
              <w:ind w:left="560"/>
              <w:spacing w:after="0" w:line="181" w:lineRule="exact"/>
              <w:rPr>
                <w:sz w:val="20"/>
                <w:szCs w:val="20"/>
                <w:color w:val="auto"/>
              </w:rPr>
            </w:pPr>
            <w:r>
              <w:rPr>
                <w:rFonts w:ascii="Arial" w:cs="Arial" w:eastAsia="Arial" w:hAnsi="Arial"/>
                <w:sz w:val="16"/>
                <w:szCs w:val="16"/>
                <w:color w:val="auto"/>
              </w:rPr>
              <w:t>Total operating expenses</w:t>
            </w:r>
          </w:p>
        </w:tc>
        <w:tc>
          <w:tcPr>
            <w:tcW w:w="1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124,770</w:t>
            </w:r>
          </w:p>
        </w:tc>
        <w:tc>
          <w:tcPr>
            <w:tcW w:w="2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105,957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OPERATING INCOME</w:t>
            </w:r>
          </w:p>
        </w:tc>
        <w:tc>
          <w:tcPr>
            <w:tcW w:w="1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12,657</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7,239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(7,341 )</w:t>
            </w:r>
          </w:p>
        </w:tc>
        <w:tc>
          <w:tcPr>
            <w:tcW w:w="10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(18,766 )</w:t>
            </w:r>
          </w:p>
        </w:tc>
        <w:tc>
          <w:tcPr>
            <w:tcW w:w="0" w:type="dxa"/>
            <w:vAlign w:val="bottom"/>
          </w:tcPr>
          <w:p>
            <w:pPr>
              <w:spacing w:after="0"/>
              <w:rPr>
                <w:sz w:val="1"/>
                <w:szCs w:val="1"/>
                <w:color w:val="auto"/>
              </w:rPr>
            </w:pPr>
          </w:p>
        </w:tc>
      </w:tr>
      <w:tr>
        <w:trPr>
          <w:trHeight w:val="150"/>
        </w:trPr>
        <w:tc>
          <w:tcPr>
            <w:tcW w:w="7460" w:type="dxa"/>
            <w:vAlign w:val="bottom"/>
            <w:shd w:val="clear" w:color="auto" w:fill="CFF0FC"/>
          </w:tcPr>
          <w:p>
            <w:pPr>
              <w:ind w:left="20"/>
              <w:spacing w:after="0" w:line="151" w:lineRule="exact"/>
              <w:rPr>
                <w:sz w:val="20"/>
                <w:szCs w:val="20"/>
                <w:color w:val="auto"/>
              </w:rPr>
            </w:pPr>
            <w:r>
              <w:rPr>
                <w:rFonts w:ascii="Arial" w:cs="Arial" w:eastAsia="Arial" w:hAnsi="Arial"/>
                <w:sz w:val="16"/>
                <w:szCs w:val="16"/>
                <w:color w:val="auto"/>
              </w:rPr>
              <w:t>GAIN ON CHANGE IN FAIR VALUE OF INTEREST RATE</w:t>
            </w:r>
          </w:p>
        </w:tc>
        <w:tc>
          <w:tcPr>
            <w:tcW w:w="110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3,277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SWAPS</w:t>
            </w:r>
          </w:p>
        </w:tc>
        <w:tc>
          <w:tcPr>
            <w:tcW w:w="110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GAIN ON SALE OF COST METHOD INVESTMENT</w:t>
            </w:r>
          </w:p>
        </w:tc>
        <w:tc>
          <w:tcPr>
            <w:tcW w:w="1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3,578</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 IN FAIR VALUE OF WARRANT LIABILITIES</w:t>
            </w:r>
          </w:p>
        </w:tc>
        <w:tc>
          <w:tcPr>
            <w:tcW w:w="1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OTHER INCOME — Net</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60" w:type="dxa"/>
            <w:vAlign w:val="bottom"/>
            <w:shd w:val="clear" w:color="auto" w:fill="CFF0FC"/>
          </w:tcPr>
          <w:p>
            <w:pPr>
              <w:ind w:left="20"/>
              <w:spacing w:after="0" w:line="181" w:lineRule="exact"/>
              <w:rPr>
                <w:sz w:val="20"/>
                <w:szCs w:val="20"/>
                <w:color w:val="auto"/>
              </w:rPr>
            </w:pPr>
            <w:r>
              <w:rPr>
                <w:rFonts w:ascii="Arial" w:cs="Arial" w:eastAsia="Arial" w:hAnsi="Arial"/>
                <w:sz w:val="16"/>
                <w:szCs w:val="16"/>
                <w:color w:val="auto"/>
              </w:rPr>
              <w:t>PRETAX INCOME (LOSS)</w:t>
            </w:r>
          </w:p>
        </w:tc>
        <w:tc>
          <w:tcPr>
            <w:tcW w:w="1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11,112</w:t>
            </w: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(8,163</w:t>
            </w:r>
          </w:p>
        </w:tc>
        <w:tc>
          <w:tcPr>
            <w:tcW w:w="8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460" w:type="dxa"/>
            <w:vAlign w:val="bottom"/>
            <w:shd w:val="clear" w:color="auto" w:fill="CFF0FC"/>
          </w:tcPr>
          <w:p>
            <w:pPr>
              <w:ind w:left="20"/>
              <w:spacing w:after="0" w:line="144" w:lineRule="exact"/>
              <w:rPr>
                <w:sz w:val="20"/>
                <w:szCs w:val="20"/>
                <w:color w:val="auto"/>
              </w:rPr>
            </w:pPr>
            <w:r>
              <w:rPr>
                <w:rFonts w:ascii="Arial" w:cs="Arial" w:eastAsia="Arial" w:hAnsi="Arial"/>
                <w:sz w:val="16"/>
                <w:szCs w:val="16"/>
                <w:color w:val="auto"/>
              </w:rPr>
              <w:t>NET INCOME (LOSS) INCLUDING NON-CONTROLLING</w:t>
            </w:r>
          </w:p>
        </w:tc>
        <w:tc>
          <w:tcPr>
            <w:tcW w:w="110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2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(5,084 )</w:t>
            </w: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w:t>
            </w:r>
          </w:p>
        </w:tc>
        <w:tc>
          <w:tcPr>
            <w:tcW w:w="1100" w:type="dxa"/>
            <w:vAlign w:val="bottom"/>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0"/>
              <w:spacing w:after="0"/>
              <w:rPr>
                <w:sz w:val="20"/>
                <w:szCs w:val="20"/>
                <w:color w:val="auto"/>
              </w:rPr>
            </w:pPr>
            <w:r>
              <w:rPr>
                <w:rFonts w:ascii="Arial" w:cs="Arial" w:eastAsia="Arial" w:hAnsi="Arial"/>
                <w:sz w:val="16"/>
                <w:szCs w:val="16"/>
                <w:color w:val="auto"/>
              </w:rPr>
              <w:t>Less: net income (loss) attributable to non-controlling interest</w:t>
            </w: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7460" w:type="dxa"/>
            <w:vAlign w:val="bottom"/>
            <w:shd w:val="clear" w:color="auto" w:fill="CFF0FC"/>
          </w:tcPr>
          <w:p>
            <w:pPr>
              <w:ind w:left="20"/>
              <w:spacing w:after="0" w:line="144" w:lineRule="exact"/>
              <w:rPr>
                <w:sz w:val="20"/>
                <w:szCs w:val="20"/>
                <w:color w:val="auto"/>
              </w:rPr>
            </w:pPr>
            <w:r>
              <w:rPr>
                <w:rFonts w:ascii="Arial" w:cs="Arial" w:eastAsia="Arial" w:hAnsi="Arial"/>
                <w:sz w:val="16"/>
                <w:szCs w:val="16"/>
                <w:color w:val="auto"/>
              </w:rPr>
              <w:t>NET INCOME (LOSS) ATTRIBUTABLE TO CCC INTELLIGENT</w:t>
            </w:r>
          </w:p>
        </w:tc>
        <w:tc>
          <w:tcPr>
            <w:tcW w:w="1100" w:type="dxa"/>
            <w:vAlign w:val="bottom"/>
            <w:vMerge w:val="restart"/>
            <w:shd w:val="clear" w:color="auto" w:fill="CFF0FC"/>
          </w:tcPr>
          <w:p>
            <w:pPr>
              <w:jc w:val="right"/>
              <w:ind w:right="920"/>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11,975</w:t>
            </w:r>
          </w:p>
        </w:tc>
        <w:tc>
          <w:tcPr>
            <w:tcW w:w="28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ind w:right="924"/>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(5,084 )</w:t>
            </w:r>
          </w:p>
        </w:tc>
        <w:tc>
          <w:tcPr>
            <w:tcW w:w="0" w:type="dxa"/>
            <w:vAlign w:val="bottom"/>
          </w:tcPr>
          <w:p>
            <w:pPr>
              <w:spacing w:after="0"/>
              <w:rPr>
                <w:sz w:val="1"/>
                <w:szCs w:val="1"/>
                <w:color w:val="auto"/>
              </w:rPr>
            </w:pPr>
          </w:p>
        </w:tc>
      </w:tr>
      <w:tr>
        <w:trPr>
          <w:trHeight w:val="197"/>
        </w:trPr>
        <w:tc>
          <w:tcPr>
            <w:tcW w:w="74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SOLUTIONS HOLDINGS INC.</w:t>
            </w:r>
          </w:p>
        </w:tc>
        <w:tc>
          <w:tcPr>
            <w:tcW w:w="1100" w:type="dxa"/>
            <w:vAlign w:val="bottom"/>
            <w:vMerge w:val="continue"/>
            <w:shd w:val="clear" w:color="auto" w:fill="CFF0FC"/>
          </w:tcPr>
          <w:p>
            <w:pPr>
              <w:spacing w:after="0"/>
              <w:rPr>
                <w:sz w:val="17"/>
                <w:szCs w:val="17"/>
                <w:color w:val="auto"/>
              </w:rPr>
            </w:pPr>
          </w:p>
        </w:tc>
        <w:tc>
          <w:tcPr>
            <w:tcW w:w="62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460" w:type="dxa"/>
            <w:vAlign w:val="bottom"/>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4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Basic</w:t>
            </w:r>
          </w:p>
        </w:tc>
        <w:tc>
          <w:tcPr>
            <w:tcW w:w="1100" w:type="dxa"/>
            <w:vAlign w:val="bottom"/>
            <w:shd w:val="clear" w:color="auto" w:fill="CFF0FC"/>
          </w:tcPr>
          <w:p>
            <w:pPr>
              <w:jc w:val="right"/>
              <w:ind w:right="9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92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191"/>
        </w:trPr>
        <w:tc>
          <w:tcPr>
            <w:tcW w:w="7460" w:type="dxa"/>
            <w:vAlign w:val="bottom"/>
          </w:tcPr>
          <w:p>
            <w:pPr>
              <w:ind w:left="380"/>
              <w:spacing w:after="0"/>
              <w:rPr>
                <w:sz w:val="20"/>
                <w:szCs w:val="20"/>
                <w:color w:val="auto"/>
              </w:rPr>
            </w:pPr>
            <w:r>
              <w:rPr>
                <w:rFonts w:ascii="Arial" w:cs="Arial" w:eastAsia="Arial" w:hAnsi="Arial"/>
                <w:sz w:val="16"/>
                <w:szCs w:val="16"/>
                <w:color w:val="auto"/>
              </w:rPr>
              <w:t>Diluted</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0.02</w:t>
            </w:r>
          </w:p>
        </w:tc>
        <w:tc>
          <w:tcPr>
            <w:tcW w:w="280" w:type="dxa"/>
            <w:vAlign w:val="bottom"/>
          </w:tcPr>
          <w:p>
            <w:pPr>
              <w:spacing w:after="0"/>
              <w:rPr>
                <w:sz w:val="16"/>
                <w:szCs w:val="16"/>
                <w:color w:val="auto"/>
              </w:rPr>
            </w:pPr>
          </w:p>
        </w:tc>
        <w:tc>
          <w:tcPr>
            <w:tcW w:w="1080" w:type="dxa"/>
            <w:vAlign w:val="bottom"/>
          </w:tcPr>
          <w:p>
            <w:pPr>
              <w:jc w:val="right"/>
              <w:ind w:right="92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-2857500</wp:posOffset>
            </wp:positionV>
            <wp:extent cx="5080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-2857500</wp:posOffset>
            </wp:positionV>
            <wp:extent cx="5080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-2127885</wp:posOffset>
            </wp:positionV>
            <wp:extent cx="5080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-2127885</wp:posOffset>
            </wp:positionV>
            <wp:extent cx="508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-1905</wp:posOffset>
            </wp:positionV>
            <wp:extent cx="7133590" cy="220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2203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p>
      <w:pPr>
        <w:ind w:left="140" w:right="240" w:hanging="119"/>
        <w:spacing w:after="0" w:line="226" w:lineRule="auto"/>
        <w:rPr>
          <w:sz w:val="20"/>
          <w:szCs w:val="20"/>
          <w:color w:val="auto"/>
        </w:rPr>
      </w:pPr>
      <w:r>
        <w:rPr>
          <w:rFonts w:ascii="Arial" w:cs="Arial" w:eastAsia="Arial" w:hAnsi="Arial"/>
          <w:sz w:val="16"/>
          <w:szCs w:val="16"/>
          <w:color w:val="auto"/>
        </w:rPr>
        <w:t>Weighted-average shares used in computing net income (loss) per share attributable to common stockholders: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Basic</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Diluted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 (LOSS):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income (loss) including non-controlling interest</w:t>
      </w:r>
    </w:p>
    <w:p>
      <w:pPr>
        <w:spacing w:after="0" w:line="3" w:lineRule="exact"/>
        <w:rPr>
          <w:sz w:val="20"/>
          <w:szCs w:val="20"/>
          <w:color w:val="auto"/>
        </w:rPr>
      </w:pPr>
    </w:p>
    <w:p>
      <w:pPr>
        <w:ind w:left="320" w:right="800" w:hanging="119"/>
        <w:spacing w:after="0" w:line="226" w:lineRule="auto"/>
        <w:rPr>
          <w:sz w:val="20"/>
          <w:szCs w:val="20"/>
          <w:color w:val="auto"/>
        </w:rPr>
      </w:pPr>
      <w:r>
        <w:rPr>
          <w:rFonts w:ascii="Arial" w:cs="Arial" w:eastAsia="Arial" w:hAnsi="Arial"/>
          <w:sz w:val="16"/>
          <w:szCs w:val="16"/>
          <w:color w:val="auto"/>
        </w:rPr>
        <w:t>Other comprehensive income—Foreign currency translation adjustment</w:t>
      </w:r>
    </w:p>
    <w:p>
      <w:pPr>
        <w:spacing w:after="0" w:line="1" w:lineRule="exact"/>
        <w:rPr>
          <w:sz w:val="20"/>
          <w:szCs w:val="20"/>
          <w:color w:val="auto"/>
        </w:rPr>
      </w:pPr>
    </w:p>
    <w:p>
      <w:pPr>
        <w:ind w:left="140" w:right="1360" w:hanging="119"/>
        <w:spacing w:after="0" w:line="226" w:lineRule="auto"/>
        <w:rPr>
          <w:sz w:val="20"/>
          <w:szCs w:val="20"/>
          <w:color w:val="auto"/>
        </w:rPr>
      </w:pPr>
      <w:r>
        <w:rPr>
          <w:rFonts w:ascii="Arial" w:cs="Arial" w:eastAsia="Arial" w:hAnsi="Arial"/>
          <w:sz w:val="16"/>
          <w:szCs w:val="16"/>
          <w:color w:val="auto"/>
        </w:rPr>
        <w:t>COMPREHENSIVE INCOME (LOSS) INCLUDING NON-CONTROLLING INTEREST</w:t>
      </w:r>
    </w:p>
    <w:p>
      <w:pPr>
        <w:spacing w:after="0" w:line="1" w:lineRule="exact"/>
        <w:rPr>
          <w:sz w:val="20"/>
          <w:szCs w:val="20"/>
          <w:color w:val="auto"/>
        </w:rPr>
      </w:pPr>
    </w:p>
    <w:p>
      <w:pPr>
        <w:ind w:left="320" w:right="440" w:hanging="119"/>
        <w:spacing w:after="0" w:line="226" w:lineRule="auto"/>
        <w:rPr>
          <w:sz w:val="20"/>
          <w:szCs w:val="20"/>
          <w:color w:val="auto"/>
        </w:rPr>
      </w:pPr>
      <w:r>
        <w:rPr>
          <w:rFonts w:ascii="Arial" w:cs="Arial" w:eastAsia="Arial" w:hAnsi="Arial"/>
          <w:sz w:val="16"/>
          <w:szCs w:val="16"/>
          <w:color w:val="auto"/>
        </w:rPr>
        <w:t>Less: comprehensive income (loss) attributable to non-controlling interest</w:t>
      </w:r>
    </w:p>
    <w:p>
      <w:pPr>
        <w:spacing w:after="0" w:line="1" w:lineRule="exact"/>
        <w:rPr>
          <w:sz w:val="20"/>
          <w:szCs w:val="20"/>
          <w:color w:val="auto"/>
        </w:rPr>
      </w:pPr>
    </w:p>
    <w:p>
      <w:pPr>
        <w:ind w:left="140" w:right="460" w:hanging="119"/>
        <w:spacing w:after="0" w:line="229" w:lineRule="auto"/>
        <w:rPr>
          <w:sz w:val="20"/>
          <w:szCs w:val="20"/>
          <w:color w:val="auto"/>
        </w:rPr>
      </w:pPr>
      <w:r>
        <w:rPr>
          <w:rFonts w:ascii="Arial" w:cs="Arial" w:eastAsia="Arial" w:hAnsi="Arial"/>
          <w:sz w:val="16"/>
          <w:szCs w:val="16"/>
          <w:color w:val="auto"/>
        </w:rPr>
        <w:t>COMPREHENSIVE INCOME (LOSS) ATTRIBUTABLE TO CCC INTELLIGENT SOLUTIONS HOLDINGS INC.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condensed consolidated financial statements.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188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603,104,839</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505,072,914</w:t>
            </w:r>
          </w:p>
        </w:tc>
        <w:tc>
          <w:tcPr>
            <w:tcW w:w="60" w:type="dxa"/>
            <w:vAlign w:val="bottom"/>
          </w:tcPr>
          <w:p>
            <w:pPr>
              <w:spacing w:after="0"/>
              <w:rPr>
                <w:sz w:val="16"/>
                <w:szCs w:val="16"/>
                <w:color w:val="auto"/>
              </w:rPr>
            </w:pPr>
          </w:p>
        </w:tc>
      </w:tr>
      <w:tr>
        <w:trPr>
          <w:trHeight w:val="205"/>
        </w:trPr>
        <w:tc>
          <w:tcPr>
            <w:tcW w:w="5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641,028,410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505,072,914</w:t>
            </w:r>
          </w:p>
        </w:tc>
        <w:tc>
          <w:tcPr>
            <w:tcW w:w="60" w:type="dxa"/>
            <w:vAlign w:val="bottom"/>
          </w:tcPr>
          <w:p>
            <w:pPr>
              <w:spacing w:after="0"/>
              <w:rPr>
                <w:sz w:val="17"/>
                <w:szCs w:val="17"/>
                <w:color w:val="auto"/>
              </w:rPr>
            </w:pPr>
          </w:p>
        </w:tc>
      </w:tr>
      <w:tr>
        <w:trPr>
          <w:trHeight w:val="374"/>
        </w:trPr>
        <w:tc>
          <w:tcPr>
            <w:tcW w:w="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11,975</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(5,084 )</w:t>
            </w:r>
          </w:p>
        </w:tc>
      </w:tr>
      <w:tr>
        <w:trPr>
          <w:trHeight w:val="326"/>
        </w:trPr>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4"/>
                <w:szCs w:val="24"/>
                <w:color w:val="auto"/>
              </w:rPr>
            </w:pPr>
          </w:p>
        </w:tc>
      </w:tr>
      <w:tr>
        <w:trPr>
          <w:trHeight w:val="349"/>
        </w:trPr>
        <w:tc>
          <w:tcPr>
            <w:tcW w:w="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11,984</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(5,077 )</w:t>
            </w:r>
          </w:p>
        </w:tc>
      </w:tr>
      <w:tr>
        <w:trPr>
          <w:trHeight w:val="326"/>
        </w:trPr>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301"/>
        </w:trPr>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11,984</w:t>
            </w:r>
          </w:p>
        </w:tc>
        <w:tc>
          <w:tcPr>
            <w:tcW w:w="7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(5,077 )</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-1237615</wp:posOffset>
            </wp:positionV>
            <wp:extent cx="7133590" cy="118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11874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-1000125</wp:posOffset>
            </wp:positionV>
            <wp:extent cx="7133590" cy="1187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11874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-661035</wp:posOffset>
            </wp:positionV>
            <wp:extent cx="7133590" cy="220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22034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-219710</wp:posOffset>
            </wp:positionV>
            <wp:extent cx="7133590" cy="220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2203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60325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4860" w:space="720"/>
            <w:col w:w="5660"/>
          </w:cols>
          <w:pgMar w:left="320" w:top="322"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jc w:val="center"/>
        <w:spacing w:after="0" w:line="232" w:lineRule="auto"/>
        <w:rPr>
          <w:sz w:val="20"/>
          <w:szCs w:val="20"/>
          <w:color w:val="auto"/>
        </w:rPr>
      </w:pPr>
      <w:r>
        <w:rPr>
          <w:rFonts w:ascii="Arial" w:cs="Arial" w:eastAsia="Arial" w:hAnsi="Arial"/>
          <w:sz w:val="18"/>
          <w:szCs w:val="18"/>
          <w:b w:val="1"/>
          <w:bCs w:val="1"/>
          <w:color w:val="auto"/>
        </w:rPr>
        <w:t>(In thousands, except number of shares)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6"/>
              </w:rPr>
              <w:t>Redeemable</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0"/>
              </w:rPr>
              <w:t>Non-Controlling</w:t>
            </w:r>
          </w:p>
        </w:tc>
        <w:tc>
          <w:tcPr>
            <w:tcW w:w="14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1"/>
                <w:szCs w:val="11"/>
                <w:b w:val="1"/>
                <w:bCs w:val="1"/>
                <w:color w:val="auto"/>
              </w:rPr>
              <w:t>Issued Preferred Stock</w:t>
            </w:r>
          </w:p>
        </w:tc>
        <w:tc>
          <w:tcPr>
            <w:tcW w:w="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0"/>
              </w:rPr>
              <w:t>Interest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4"/>
          </w:tcPr>
          <w:p>
            <w:pPr>
              <w:jc w:val="right"/>
              <w:ind w:right="367"/>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47"/>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2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20" w:type="dxa"/>
            <w:vAlign w:val="bottom"/>
            <w:tcBorders>
              <w:top w:val="single" w:sz="8" w:color="auto"/>
            </w:tcBorders>
          </w:tcPr>
          <w:p>
            <w:pPr>
              <w:jc w:val="center"/>
              <w:ind w:left="67"/>
              <w:spacing w:after="0" w:line="120" w:lineRule="exact"/>
              <w:rPr>
                <w:sz w:val="20"/>
                <w:szCs w:val="20"/>
                <w:color w:val="auto"/>
              </w:rPr>
            </w:pPr>
            <w:r>
              <w:rPr>
                <w:rFonts w:ascii="Arial" w:cs="Arial" w:eastAsia="Arial" w:hAnsi="Arial"/>
                <w:sz w:val="11"/>
                <w:szCs w:val="11"/>
                <w:b w:val="1"/>
                <w:bCs w:val="1"/>
                <w:color w:val="auto"/>
                <w:w w:val="90"/>
              </w:rPr>
              <w:t>Number of</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47"/>
              <w:spacing w:after="0" w:line="120" w:lineRule="exact"/>
              <w:rPr>
                <w:sz w:val="20"/>
                <w:szCs w:val="20"/>
                <w:color w:val="auto"/>
              </w:rPr>
            </w:pPr>
            <w:r>
              <w:rPr>
                <w:rFonts w:ascii="Arial" w:cs="Arial" w:eastAsia="Arial" w:hAnsi="Arial"/>
                <w:sz w:val="11"/>
                <w:szCs w:val="11"/>
                <w:b w:val="1"/>
                <w:bCs w:val="1"/>
                <w:color w:val="auto"/>
              </w:rPr>
              <w:t>Par</w:t>
            </w:r>
          </w:p>
        </w:tc>
        <w:tc>
          <w:tcPr>
            <w:tcW w:w="1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jc w:val="right"/>
              <w:ind w:right="87"/>
              <w:spacing w:after="0" w:line="120" w:lineRule="exact"/>
              <w:rPr>
                <w:sz w:val="20"/>
                <w:szCs w:val="20"/>
                <w:color w:val="auto"/>
              </w:rPr>
            </w:pPr>
            <w:r>
              <w:rPr>
                <w:rFonts w:ascii="Arial" w:cs="Arial" w:eastAsia="Arial" w:hAnsi="Arial"/>
                <w:sz w:val="11"/>
                <w:szCs w:val="11"/>
                <w:b w:val="1"/>
                <w:bCs w:val="1"/>
                <w:color w:val="auto"/>
              </w:rPr>
              <w:t>Number of</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227"/>
              <w:spacing w:after="0" w:line="120" w:lineRule="exact"/>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227"/>
              <w:spacing w:after="0" w:line="120"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0" w:lineRule="exact"/>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0"/>
                <w:szCs w:val="10"/>
                <w:color w:val="auto"/>
              </w:rPr>
            </w:pPr>
          </w:p>
        </w:tc>
        <w:tc>
          <w:tcPr>
            <w:tcW w:w="1100" w:type="dxa"/>
            <w:vAlign w:val="bottom"/>
            <w:gridSpan w:val="2"/>
          </w:tcPr>
          <w:p>
            <w:pPr>
              <w:jc w:val="center"/>
              <w:ind w:right="260"/>
              <w:spacing w:after="0" w:line="120" w:lineRule="exact"/>
              <w:rPr>
                <w:sz w:val="20"/>
                <w:szCs w:val="20"/>
                <w:color w:val="auto"/>
              </w:rPr>
            </w:pPr>
            <w:r>
              <w:rPr>
                <w:rFonts w:ascii="Arial" w:cs="Arial" w:eastAsia="Arial" w:hAnsi="Arial"/>
                <w:sz w:val="11"/>
                <w:szCs w:val="11"/>
                <w:b w:val="1"/>
                <w:bCs w:val="1"/>
                <w:color w:val="auto"/>
                <w:w w:val="87"/>
              </w:rPr>
              <w:t>Comprehensive</w:t>
            </w: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0" w:lineRule="exact"/>
              <w:rPr>
                <w:sz w:val="20"/>
                <w:szCs w:val="20"/>
                <w:color w:val="auto"/>
              </w:rPr>
            </w:pPr>
            <w:r>
              <w:rPr>
                <w:rFonts w:ascii="Arial" w:cs="Arial" w:eastAsia="Arial" w:hAnsi="Arial"/>
                <w:sz w:val="11"/>
                <w:szCs w:val="11"/>
                <w:b w:val="1"/>
                <w:bCs w:val="1"/>
                <w:color w:val="auto"/>
                <w:w w:val="87"/>
              </w:rPr>
              <w:t>Stockholders’</w:t>
            </w:r>
          </w:p>
        </w:tc>
        <w:tc>
          <w:tcPr>
            <w:tcW w:w="0" w:type="dxa"/>
            <w:vAlign w:val="bottom"/>
          </w:tcPr>
          <w:p>
            <w:pPr>
              <w:spacing w:after="0"/>
              <w:rPr>
                <w:sz w:val="1"/>
                <w:szCs w:val="1"/>
                <w:color w:val="auto"/>
              </w:rPr>
            </w:pPr>
          </w:p>
        </w:tc>
      </w:tr>
      <w:tr>
        <w:trPr>
          <w:trHeight w:val="143"/>
        </w:trPr>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20" w:type="dxa"/>
            <w:vAlign w:val="bottom"/>
          </w:tcPr>
          <w:p>
            <w:pPr>
              <w:jc w:val="center"/>
              <w:ind w:left="67"/>
              <w:spacing w:after="0"/>
              <w:rPr>
                <w:sz w:val="20"/>
                <w:szCs w:val="20"/>
                <w:color w:val="auto"/>
              </w:rPr>
            </w:pPr>
            <w:r>
              <w:rPr>
                <w:rFonts w:ascii="Arial" w:cs="Arial" w:eastAsia="Arial" w:hAnsi="Arial"/>
                <w:sz w:val="11"/>
                <w:szCs w:val="11"/>
                <w:b w:val="1"/>
                <w:bCs w:val="1"/>
                <w:color w:val="auto"/>
                <w:w w:val="81"/>
              </w:rPr>
              <w:t>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Arial" w:cs="Arial" w:eastAsia="Arial" w:hAnsi="Arial"/>
                <w:sz w:val="11"/>
                <w:szCs w:val="11"/>
                <w:b w:val="1"/>
                <w:bCs w:val="1"/>
                <w:color w:val="auto"/>
              </w:rPr>
              <w:t>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67"/>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67"/>
              <w:spacing w:after="0"/>
              <w:rPr>
                <w:sz w:val="20"/>
                <w:szCs w:val="20"/>
                <w:color w:val="auto"/>
              </w:rPr>
            </w:pPr>
            <w:r>
              <w:rPr>
                <w:rFonts w:ascii="Arial" w:cs="Arial" w:eastAsia="Arial" w:hAnsi="Arial"/>
                <w:sz w:val="11"/>
                <w:szCs w:val="11"/>
                <w:b w:val="1"/>
                <w:bCs w:val="1"/>
                <w:color w:val="auto"/>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7"/>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77"/>
              </w:rPr>
              <w:t>Loss</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38"/>
        </w:trPr>
        <w:tc>
          <w:tcPr>
            <w:tcW w:w="258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BALANCE—December 31, 2021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14,179</w:t>
            </w:r>
          </w:p>
        </w:tc>
        <w:tc>
          <w:tcPr>
            <w:tcW w:w="140" w:type="dxa"/>
            <w:vAlign w:val="bottom"/>
            <w:tcBorders>
              <w:right w:val="single" w:sz="8" w:color="auto"/>
            </w:tcBorders>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w w:val="90"/>
              </w:rPr>
              <w:t>—</w:t>
            </w:r>
          </w:p>
        </w:tc>
        <w:tc>
          <w:tcPr>
            <w:tcW w:w="680" w:type="dxa"/>
            <w:vAlign w:val="bottom"/>
            <w:gridSpan w:val="2"/>
            <w:shd w:val="clear" w:color="auto" w:fill="CFF0FC"/>
          </w:tcPr>
          <w:p>
            <w:pPr>
              <w:jc w:val="right"/>
              <w:ind w:right="427"/>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ind w:left="40"/>
              <w:spacing w:after="0"/>
              <w:rPr>
                <w:sz w:val="20"/>
                <w:szCs w:val="20"/>
                <w:color w:val="auto"/>
              </w:rPr>
            </w:pPr>
            <w:r>
              <w:rPr>
                <w:rFonts w:ascii="Arial" w:cs="Arial" w:eastAsia="Arial" w:hAnsi="Arial"/>
                <w:sz w:val="11"/>
                <w:szCs w:val="11"/>
                <w:color w:val="auto"/>
                <w:w w:val="90"/>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609,768,296</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2,618,924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(746,352 )</w:t>
            </w:r>
          </w:p>
        </w:tc>
        <w:tc>
          <w:tcPr>
            <w:tcW w:w="140" w:type="dxa"/>
            <w:vAlign w:val="bottom"/>
            <w:shd w:val="clear" w:color="auto" w:fill="CFF0FC"/>
          </w:tcPr>
          <w:p>
            <w:pPr>
              <w:jc w:val="right"/>
              <w:ind w:right="7"/>
              <w:spacing w:after="0"/>
              <w:rPr>
                <w:sz w:val="20"/>
                <w:szCs w:val="20"/>
                <w:color w:val="auto"/>
              </w:rPr>
            </w:pPr>
            <w:r>
              <w:rPr>
                <w:rFonts w:ascii="Arial" w:cs="Arial" w:eastAsia="Arial" w:hAnsi="Arial"/>
                <w:sz w:val="11"/>
                <w:szCs w:val="11"/>
                <w:color w:val="auto"/>
                <w:w w:val="97"/>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(315 )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1,872,318</w:t>
            </w: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140"/>
              <w:spacing w:after="0"/>
              <w:rPr>
                <w:sz w:val="20"/>
                <w:szCs w:val="20"/>
                <w:color w:val="auto"/>
              </w:rPr>
            </w:pPr>
            <w:r>
              <w:rPr>
                <w:rFonts w:ascii="Arial" w:cs="Arial" w:eastAsia="Arial" w:hAnsi="Arial"/>
                <w:sz w:val="11"/>
                <w:szCs w:val="11"/>
                <w:color w:val="auto"/>
              </w:rPr>
              <w:t>Stock-based compensation expense</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23,644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23,644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140"/>
              <w:spacing w:after="0"/>
              <w:rPr>
                <w:sz w:val="20"/>
                <w:szCs w:val="20"/>
                <w:color w:val="auto"/>
              </w:rPr>
            </w:pPr>
            <w:r>
              <w:rPr>
                <w:rFonts w:ascii="Arial" w:cs="Arial" w:eastAsia="Arial" w:hAnsi="Arial"/>
                <w:sz w:val="11"/>
                <w:szCs w:val="11"/>
                <w:color w:val="auto"/>
              </w:rPr>
              <w:t>Exercise of stock options—net of tax</w:t>
            </w:r>
          </w:p>
        </w:tc>
        <w:tc>
          <w:tcPr>
            <w:tcW w:w="80" w:type="dxa"/>
            <w:vAlign w:val="bottom"/>
            <w:shd w:val="clear" w:color="auto" w:fill="CFF0FC"/>
          </w:tcPr>
          <w:p>
            <w:pPr>
              <w:spacing w:after="0"/>
              <w:rPr>
                <w:sz w:val="11"/>
                <w:szCs w:val="11"/>
                <w:color w:val="auto"/>
              </w:rPr>
            </w:pPr>
          </w:p>
        </w:tc>
        <w:tc>
          <w:tcPr>
            <w:tcW w:w="98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ind w:left="40"/>
              <w:spacing w:after="0"/>
              <w:rPr>
                <w:sz w:val="20"/>
                <w:szCs w:val="20"/>
                <w:color w:val="auto"/>
              </w:rPr>
            </w:pPr>
            <w:r>
              <w:rPr>
                <w:rFonts w:ascii="Arial" w:cs="Arial" w:eastAsia="Arial" w:hAnsi="Arial"/>
                <w:sz w:val="11"/>
                <w:szCs w:val="11"/>
                <w:color w:val="auto"/>
                <w:w w:val="90"/>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3,961,270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10,633</w:t>
            </w: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140"/>
              <w:spacing w:after="0"/>
              <w:rPr>
                <w:sz w:val="20"/>
                <w:szCs w:val="20"/>
                <w:color w:val="auto"/>
              </w:rPr>
            </w:pPr>
            <w:r>
              <w:rPr>
                <w:rFonts w:ascii="Arial" w:cs="Arial" w:eastAsia="Arial" w:hAnsi="Arial"/>
                <w:sz w:val="11"/>
                <w:szCs w:val="11"/>
                <w:color w:val="auto"/>
              </w:rPr>
              <w:t>Exercise of warrants—net</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1,246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2580" w:type="dxa"/>
            <w:vAlign w:val="bottom"/>
            <w:shd w:val="clear" w:color="auto" w:fill="CFF0FC"/>
          </w:tcPr>
          <w:p>
            <w:pPr>
              <w:ind w:left="140"/>
              <w:spacing w:after="0" w:line="97" w:lineRule="exact"/>
              <w:rPr>
                <w:sz w:val="20"/>
                <w:szCs w:val="20"/>
                <w:color w:val="auto"/>
              </w:rPr>
            </w:pPr>
            <w:r>
              <w:rPr>
                <w:rFonts w:ascii="Arial" w:cs="Arial" w:eastAsia="Arial" w:hAnsi="Arial"/>
                <w:sz w:val="11"/>
                <w:szCs w:val="11"/>
                <w:color w:val="auto"/>
                <w:w w:val="96"/>
              </w:rPr>
              <w:t>Issuance of common stock upon vesting of RSUs—</w:t>
            </w:r>
          </w:p>
        </w:tc>
        <w:tc>
          <w:tcPr>
            <w:tcW w:w="80" w:type="dxa"/>
            <w:vAlign w:val="bottom"/>
            <w:shd w:val="clear" w:color="auto" w:fill="CFF0FC"/>
          </w:tcPr>
          <w:p>
            <w:pPr>
              <w:spacing w:after="0"/>
              <w:rPr>
                <w:sz w:val="8"/>
                <w:szCs w:val="8"/>
                <w:color w:val="auto"/>
              </w:rPr>
            </w:pPr>
          </w:p>
        </w:tc>
        <w:tc>
          <w:tcPr>
            <w:tcW w:w="98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spacing w:after="0"/>
              <w:rPr>
                <w:sz w:val="8"/>
                <w:szCs w:val="8"/>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60" w:type="dxa"/>
            <w:vAlign w:val="bottom"/>
            <w:vMerge w:val="restart"/>
            <w:shd w:val="clear" w:color="auto" w:fill="CFF0FC"/>
          </w:tcPr>
          <w:p>
            <w:pPr>
              <w:ind w:left="40"/>
              <w:spacing w:after="0"/>
              <w:rPr>
                <w:sz w:val="20"/>
                <w:szCs w:val="20"/>
                <w:color w:val="auto"/>
              </w:rPr>
            </w:pPr>
            <w:r>
              <w:rPr>
                <w:rFonts w:ascii="Arial" w:cs="Arial" w:eastAsia="Arial" w:hAnsi="Arial"/>
                <w:sz w:val="11"/>
                <w:szCs w:val="11"/>
                <w:color w:val="auto"/>
                <w:w w:val="90"/>
              </w:rPr>
              <w:t>—</w:t>
            </w:r>
          </w:p>
        </w:tc>
        <w:tc>
          <w:tcPr>
            <w:tcW w:w="900" w:type="dxa"/>
            <w:vAlign w:val="bottom"/>
            <w:gridSpan w:val="2"/>
            <w:vMerge w:val="restart"/>
            <w:shd w:val="clear" w:color="auto" w:fill="CFF0FC"/>
          </w:tcPr>
          <w:p>
            <w:pPr>
              <w:jc w:val="right"/>
              <w:spacing w:after="0"/>
              <w:rPr>
                <w:sz w:val="20"/>
                <w:szCs w:val="20"/>
                <w:color w:val="auto"/>
              </w:rPr>
            </w:pPr>
            <w:r>
              <w:rPr>
                <w:rFonts w:ascii="Arial" w:cs="Arial" w:eastAsia="Arial" w:hAnsi="Arial"/>
                <w:sz w:val="11"/>
                <w:szCs w:val="11"/>
                <w:color w:val="auto"/>
              </w:rPr>
              <w:t>27,314</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8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w:t>
            </w:r>
          </w:p>
        </w:tc>
        <w:tc>
          <w:tcPr>
            <w:tcW w:w="80" w:type="dxa"/>
            <w:vAlign w:val="bottom"/>
            <w:shd w:val="clear" w:color="auto" w:fill="CFF0FC"/>
          </w:tcPr>
          <w:p>
            <w:pPr>
              <w:spacing w:after="0"/>
              <w:rPr>
                <w:sz w:val="12"/>
                <w:szCs w:val="12"/>
                <w:color w:val="auto"/>
              </w:rPr>
            </w:pPr>
          </w:p>
        </w:tc>
        <w:tc>
          <w:tcPr>
            <w:tcW w:w="980" w:type="dxa"/>
            <w:vAlign w:val="bottom"/>
            <w:tcBorders>
              <w:right w:val="single" w:sz="8" w:color="auto"/>
            </w:tcBorders>
            <w:gridSpan w:val="2"/>
            <w:vMerge w:val="continue"/>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Net income</w:t>
            </w:r>
          </w:p>
        </w:tc>
        <w:tc>
          <w:tcPr>
            <w:tcW w:w="8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right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1"/>
                <w:szCs w:val="11"/>
                <w:color w:val="auto"/>
                <w:w w:val="90"/>
              </w:rPr>
              <w:t>—</w:t>
            </w:r>
          </w:p>
        </w:tc>
        <w:tc>
          <w:tcPr>
            <w:tcW w:w="120" w:type="dxa"/>
            <w:vAlign w:val="bottom"/>
            <w:tcBorders>
              <w:bottom w:val="single" w:sz="8" w:color="CFF0FC"/>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1"/>
                <w:szCs w:val="11"/>
                <w:color w:val="auto"/>
                <w:w w:val="90"/>
              </w:rPr>
              <w:t>—</w:t>
            </w:r>
          </w:p>
        </w:tc>
        <w:tc>
          <w:tcPr>
            <w:tcW w:w="14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11,975</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11,975</w:t>
            </w:r>
          </w:p>
        </w:tc>
        <w:tc>
          <w:tcPr>
            <w:tcW w:w="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80" w:type="dxa"/>
            <w:vAlign w:val="bottom"/>
          </w:tcPr>
          <w:p>
            <w:pPr>
              <w:ind w:left="20"/>
              <w:spacing w:after="0"/>
              <w:rPr>
                <w:sz w:val="20"/>
                <w:szCs w:val="20"/>
                <w:color w:val="auto"/>
              </w:rPr>
            </w:pPr>
            <w:r>
              <w:rPr>
                <w:rFonts w:ascii="Arial" w:cs="Arial" w:eastAsia="Arial" w:hAnsi="Arial"/>
                <w:sz w:val="11"/>
                <w:szCs w:val="11"/>
                <w:color w:val="auto"/>
              </w:rPr>
              <w:t>BALANCE—March 31, 2022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14,179</w:t>
            </w:r>
          </w:p>
        </w:tc>
        <w:tc>
          <w:tcPr>
            <w:tcW w:w="1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right"/>
              <w:ind w:right="427"/>
              <w:spacing w:after="0"/>
              <w:rPr>
                <w:sz w:val="20"/>
                <w:szCs w:val="20"/>
                <w:color w:val="auto"/>
              </w:rPr>
            </w:pPr>
            <w:r>
              <w:rPr>
                <w:rFonts w:ascii="Arial" w:cs="Arial" w:eastAsia="Arial" w:hAnsi="Arial"/>
                <w:sz w:val="11"/>
                <w:szCs w:val="11"/>
                <w:color w:val="auto"/>
              </w:rPr>
              <w:t>$</w:t>
            </w:r>
          </w:p>
        </w:tc>
        <w:tc>
          <w:tcPr>
            <w:tcW w:w="160" w:type="dxa"/>
            <w:vAlign w:val="bottom"/>
          </w:tcPr>
          <w:p>
            <w:pPr>
              <w:ind w:left="40"/>
              <w:spacing w:after="0"/>
              <w:rPr>
                <w:sz w:val="20"/>
                <w:szCs w:val="20"/>
                <w:color w:val="auto"/>
              </w:rPr>
            </w:pPr>
            <w:r>
              <w:rPr>
                <w:rFonts w:ascii="Arial" w:cs="Arial" w:eastAsia="Arial" w:hAnsi="Arial"/>
                <w:sz w:val="11"/>
                <w:szCs w:val="11"/>
                <w:color w:val="auto"/>
                <w:w w:val="90"/>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613,758,126</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61</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2,653,201</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1"/>
                <w:szCs w:val="11"/>
                <w:color w:val="auto"/>
              </w:rPr>
              <w:t>(734,377 )</w:t>
            </w:r>
          </w:p>
        </w:tc>
        <w:tc>
          <w:tcPr>
            <w:tcW w:w="140" w:type="dxa"/>
            <w:vAlign w:val="bottom"/>
          </w:tcPr>
          <w:p>
            <w:pPr>
              <w:jc w:val="right"/>
              <w:ind w:right="7"/>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60"/>
              <w:spacing w:after="0"/>
              <w:rPr>
                <w:sz w:val="20"/>
                <w:szCs w:val="20"/>
                <w:color w:val="auto"/>
              </w:rPr>
            </w:pPr>
            <w:r>
              <w:rPr>
                <w:rFonts w:ascii="Arial" w:cs="Arial" w:eastAsia="Arial" w:hAnsi="Arial"/>
                <w:sz w:val="11"/>
                <w:szCs w:val="11"/>
                <w:color w:val="auto"/>
              </w:rPr>
              <w:t>(306 )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1,918,579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-114935</wp:posOffset>
            </wp:positionV>
            <wp:extent cx="2540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2778125</wp:posOffset>
            </wp:positionH>
            <wp:positionV relativeFrom="paragraph">
              <wp:posOffset>-114935</wp:posOffset>
            </wp:positionV>
            <wp:extent cx="2540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3321050</wp:posOffset>
            </wp:positionH>
            <wp:positionV relativeFrom="paragraph">
              <wp:posOffset>-114935</wp:posOffset>
            </wp:positionV>
            <wp:extent cx="2540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-114935</wp:posOffset>
            </wp:positionV>
            <wp:extent cx="1714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-114935</wp:posOffset>
            </wp:positionV>
            <wp:extent cx="1714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5034280</wp:posOffset>
            </wp:positionH>
            <wp:positionV relativeFrom="paragraph">
              <wp:posOffset>-114935</wp:posOffset>
            </wp:positionV>
            <wp:extent cx="1714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5679440</wp:posOffset>
            </wp:positionH>
            <wp:positionV relativeFrom="paragraph">
              <wp:posOffset>-114935</wp:posOffset>
            </wp:positionV>
            <wp:extent cx="254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-114935</wp:posOffset>
            </wp:positionV>
            <wp:extent cx="254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-114935</wp:posOffset>
            </wp:positionV>
            <wp:extent cx="1714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CCC INTELLIGENT SOLUTIONS HOLDINGS INC. AND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MEZZANINE EQUITY AND STOCKHOLDERS’ EQUITY</w:t>
      </w:r>
    </w:p>
    <w:p>
      <w:pPr>
        <w:jc w:val="center"/>
        <w:ind w:right="20"/>
        <w:spacing w:after="0" w:line="232" w:lineRule="auto"/>
        <w:rPr>
          <w:sz w:val="20"/>
          <w:szCs w:val="20"/>
          <w:color w:val="auto"/>
        </w:rPr>
      </w:pPr>
      <w:r>
        <w:rPr>
          <w:rFonts w:ascii="Arial" w:cs="Arial" w:eastAsia="Arial" w:hAnsi="Arial"/>
          <w:sz w:val="18"/>
          <w:szCs w:val="18"/>
          <w:b w:val="1"/>
          <w:bCs w:val="1"/>
          <w:color w:val="auto"/>
        </w:rPr>
        <w:t>(In thousands, except number of shares)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86"/>
              </w:rPr>
              <w:t>Redeemable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0"/>
              </w:rPr>
              <w:t>Non-Controlling</w:t>
            </w:r>
          </w:p>
        </w:tc>
        <w:tc>
          <w:tcPr>
            <w:tcW w:w="156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Issued Preferred Stock</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7"/>
        </w:trPr>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0"/>
              </w:rPr>
              <w:t>Interest</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47"/>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Other</w:t>
            </w:r>
          </w:p>
        </w:tc>
        <w:tc>
          <w:tcPr>
            <w:tcW w:w="10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r>
      <w:tr>
        <w:trPr>
          <w:trHeight w:val="120"/>
        </w:trPr>
        <w:tc>
          <w:tcPr>
            <w:tcW w:w="2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720" w:type="dxa"/>
            <w:vAlign w:val="bottom"/>
            <w:tcBorders>
              <w:top w:val="single" w:sz="8" w:color="auto"/>
            </w:tcBorders>
          </w:tcPr>
          <w:p>
            <w:pPr>
              <w:ind w:left="100"/>
              <w:spacing w:after="0" w:line="120" w:lineRule="exact"/>
              <w:rPr>
                <w:sz w:val="20"/>
                <w:szCs w:val="20"/>
                <w:color w:val="auto"/>
              </w:rPr>
            </w:pPr>
            <w:r>
              <w:rPr>
                <w:rFonts w:ascii="Arial" w:cs="Arial" w:eastAsia="Arial" w:hAnsi="Arial"/>
                <w:sz w:val="11"/>
                <w:szCs w:val="11"/>
                <w:b w:val="1"/>
                <w:bCs w:val="1"/>
                <w:color w:val="auto"/>
              </w:rPr>
              <w:t>Number of</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ind w:left="120"/>
              <w:spacing w:after="0" w:line="120" w:lineRule="exact"/>
              <w:rPr>
                <w:sz w:val="20"/>
                <w:szCs w:val="20"/>
                <w:color w:val="auto"/>
              </w:rPr>
            </w:pPr>
            <w:r>
              <w:rPr>
                <w:rFonts w:ascii="Arial" w:cs="Arial" w:eastAsia="Arial" w:hAnsi="Arial"/>
                <w:sz w:val="11"/>
                <w:szCs w:val="11"/>
                <w:b w:val="1"/>
                <w:bCs w:val="1"/>
                <w:color w:val="auto"/>
              </w:rPr>
              <w:t>Par</w:t>
            </w:r>
          </w:p>
        </w:tc>
        <w:tc>
          <w:tcPr>
            <w:tcW w:w="140" w:type="dxa"/>
            <w:vAlign w:val="bottom"/>
          </w:tcPr>
          <w:p>
            <w:pPr>
              <w:spacing w:after="0"/>
              <w:rPr>
                <w:sz w:val="10"/>
                <w:szCs w:val="10"/>
                <w:color w:val="auto"/>
              </w:rPr>
            </w:pPr>
          </w:p>
        </w:tc>
        <w:tc>
          <w:tcPr>
            <w:tcW w:w="880" w:type="dxa"/>
            <w:vAlign w:val="bottom"/>
            <w:tcBorders>
              <w:top w:val="single" w:sz="8" w:color="auto"/>
            </w:tcBorders>
          </w:tcPr>
          <w:p>
            <w:pPr>
              <w:jc w:val="right"/>
              <w:ind w:right="147"/>
              <w:spacing w:after="0" w:line="120" w:lineRule="exact"/>
              <w:rPr>
                <w:sz w:val="20"/>
                <w:szCs w:val="20"/>
                <w:color w:val="auto"/>
              </w:rPr>
            </w:pPr>
            <w:r>
              <w:rPr>
                <w:rFonts w:ascii="Arial" w:cs="Arial" w:eastAsia="Arial" w:hAnsi="Arial"/>
                <w:sz w:val="11"/>
                <w:szCs w:val="11"/>
                <w:b w:val="1"/>
                <w:bCs w:val="1"/>
                <w:color w:val="auto"/>
              </w:rPr>
              <w:t>Number of</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207"/>
              <w:spacing w:after="0" w:line="120" w:lineRule="exact"/>
              <w:rPr>
                <w:sz w:val="20"/>
                <w:szCs w:val="20"/>
                <w:color w:val="auto"/>
              </w:rPr>
            </w:pPr>
            <w:r>
              <w:rPr>
                <w:rFonts w:ascii="Arial" w:cs="Arial" w:eastAsia="Arial" w:hAnsi="Arial"/>
                <w:sz w:val="11"/>
                <w:szCs w:val="11"/>
                <w:b w:val="1"/>
                <w:bCs w:val="1"/>
                <w:color w:val="auto"/>
              </w:rPr>
              <w:t>Par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227"/>
              <w:spacing w:after="0" w:line="120"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20" w:lineRule="exact"/>
              <w:rPr>
                <w:sz w:val="20"/>
                <w:szCs w:val="20"/>
                <w:color w:val="auto"/>
              </w:rPr>
            </w:pPr>
            <w:r>
              <w:rPr>
                <w:rFonts w:ascii="Arial" w:cs="Arial" w:eastAsia="Arial" w:hAnsi="Arial"/>
                <w:sz w:val="11"/>
                <w:szCs w:val="11"/>
                <w:b w:val="1"/>
                <w:bCs w:val="1"/>
                <w:color w:val="auto"/>
                <w:w w:val="92"/>
              </w:rPr>
              <w:t>Accumulated</w:t>
            </w: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20" w:lineRule="exact"/>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10"/>
                <w:szCs w:val="10"/>
                <w:color w:val="auto"/>
              </w:rPr>
            </w:pPr>
          </w:p>
        </w:tc>
        <w:tc>
          <w:tcPr>
            <w:tcW w:w="860" w:type="dxa"/>
            <w:vAlign w:val="bottom"/>
            <w:gridSpan w:val="2"/>
          </w:tcPr>
          <w:p>
            <w:pPr>
              <w:jc w:val="center"/>
              <w:ind w:right="160"/>
              <w:spacing w:after="0" w:line="120" w:lineRule="exact"/>
              <w:rPr>
                <w:sz w:val="20"/>
                <w:szCs w:val="20"/>
                <w:color w:val="auto"/>
              </w:rPr>
            </w:pPr>
            <w:r>
              <w:rPr>
                <w:rFonts w:ascii="Arial" w:cs="Arial" w:eastAsia="Arial" w:hAnsi="Arial"/>
                <w:sz w:val="11"/>
                <w:szCs w:val="11"/>
                <w:b w:val="1"/>
                <w:bCs w:val="1"/>
                <w:color w:val="auto"/>
                <w:w w:val="85"/>
              </w:rPr>
              <w:t>Stockholders’</w:t>
            </w:r>
          </w:p>
        </w:tc>
      </w:tr>
      <w:tr>
        <w:trPr>
          <w:trHeight w:val="143"/>
        </w:trPr>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720" w:type="dxa"/>
            <w:vAlign w:val="bottom"/>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Value</w:t>
            </w:r>
          </w:p>
        </w:tc>
        <w:tc>
          <w:tcPr>
            <w:tcW w:w="140" w:type="dxa"/>
            <w:vAlign w:val="bottom"/>
          </w:tcPr>
          <w:p>
            <w:pPr>
              <w:spacing w:after="0"/>
              <w:rPr>
                <w:sz w:val="12"/>
                <w:szCs w:val="12"/>
                <w:color w:val="auto"/>
              </w:rPr>
            </w:pPr>
          </w:p>
        </w:tc>
        <w:tc>
          <w:tcPr>
            <w:tcW w:w="880" w:type="dxa"/>
            <w:vAlign w:val="bottom"/>
          </w:tcPr>
          <w:p>
            <w:pPr>
              <w:jc w:val="right"/>
              <w:ind w:right="227"/>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167"/>
              <w:spacing w:after="0"/>
              <w:rPr>
                <w:sz w:val="20"/>
                <w:szCs w:val="20"/>
                <w:color w:val="auto"/>
              </w:rPr>
            </w:pPr>
            <w:r>
              <w:rPr>
                <w:rFonts w:ascii="Arial" w:cs="Arial" w:eastAsia="Arial" w:hAnsi="Arial"/>
                <w:sz w:val="11"/>
                <w:szCs w:val="11"/>
                <w:b w:val="1"/>
                <w:bCs w:val="1"/>
                <w:color w:val="auto"/>
                <w:w w:val="81"/>
              </w:rPr>
              <w:t>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7"/>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5"/>
              </w:rPr>
              <w:t>Loss</w:t>
            </w:r>
          </w:p>
        </w:tc>
        <w:tc>
          <w:tcPr>
            <w:tcW w:w="10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Equity</w:t>
            </w:r>
          </w:p>
        </w:tc>
      </w:tr>
      <w:tr>
        <w:trPr>
          <w:trHeight w:val="138"/>
        </w:trPr>
        <w:tc>
          <w:tcPr>
            <w:tcW w:w="2520" w:type="dxa"/>
            <w:vAlign w:val="bottom"/>
            <w:shd w:val="clear" w:color="auto" w:fill="CFF0FC"/>
          </w:tcPr>
          <w:p>
            <w:pPr>
              <w:ind w:left="20"/>
              <w:spacing w:after="0"/>
              <w:rPr>
                <w:sz w:val="20"/>
                <w:szCs w:val="20"/>
                <w:color w:val="auto"/>
              </w:rPr>
            </w:pPr>
            <w:r>
              <w:rPr>
                <w:rFonts w:ascii="Arial" w:cs="Arial" w:eastAsia="Arial" w:hAnsi="Arial"/>
                <w:sz w:val="11"/>
                <w:szCs w:val="11"/>
                <w:color w:val="auto"/>
              </w:rPr>
              <w:t>BALANCE—December 31, 2020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14,179</w:t>
            </w:r>
          </w:p>
        </w:tc>
        <w:tc>
          <w:tcPr>
            <w:tcW w:w="140" w:type="dxa"/>
            <w:vAlign w:val="bottom"/>
            <w:tcBorders>
              <w:right w:val="single" w:sz="8" w:color="auto"/>
            </w:tcBorders>
            <w:shd w:val="clear" w:color="auto" w:fill="CFF0FC"/>
          </w:tcPr>
          <w:p>
            <w:pPr>
              <w:spacing w:after="0"/>
              <w:rPr>
                <w:sz w:val="11"/>
                <w:szCs w:val="11"/>
                <w:color w:val="auto"/>
              </w:rPr>
            </w:pPr>
          </w:p>
        </w:tc>
        <w:tc>
          <w:tcPr>
            <w:tcW w:w="720" w:type="dxa"/>
            <w:vAlign w:val="bottom"/>
            <w:shd w:val="clear" w:color="auto" w:fill="CFF0FC"/>
          </w:tcPr>
          <w:p>
            <w:pPr>
              <w:ind w:left="600"/>
              <w:spacing w:after="0"/>
              <w:rPr>
                <w:sz w:val="20"/>
                <w:szCs w:val="20"/>
                <w:color w:val="auto"/>
              </w:rPr>
            </w:pPr>
            <w:r>
              <w:rPr>
                <w:rFonts w:ascii="Arial" w:cs="Arial" w:eastAsia="Arial" w:hAnsi="Arial"/>
                <w:sz w:val="11"/>
                <w:szCs w:val="11"/>
                <w:color w:val="auto"/>
                <w:w w:val="90"/>
              </w:rPr>
              <w:t>—</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ind w:left="44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504,274,890</w:t>
            </w:r>
          </w:p>
        </w:tc>
        <w:tc>
          <w:tcPr>
            <w:tcW w:w="320" w:type="dxa"/>
            <w:vAlign w:val="bottom"/>
            <w:gridSpan w:val="2"/>
            <w:shd w:val="clear" w:color="auto" w:fill="CFF0FC"/>
          </w:tcPr>
          <w:p>
            <w:pPr>
              <w:jc w:val="right"/>
              <w:ind w:right="92"/>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1,501,206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(129,370 )</w:t>
            </w:r>
          </w:p>
        </w:tc>
        <w:tc>
          <w:tcPr>
            <w:tcW w:w="140" w:type="dxa"/>
            <w:vAlign w:val="bottom"/>
            <w:shd w:val="clear" w:color="auto" w:fill="CFF0FC"/>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(271 )</w:t>
            </w: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1,371,615</w:t>
            </w:r>
          </w:p>
        </w:tc>
        <w:tc>
          <w:tcPr>
            <w:tcW w:w="20" w:type="dxa"/>
            <w:vAlign w:val="bottom"/>
          </w:tcPr>
          <w:p>
            <w:pPr>
              <w:spacing w:after="0"/>
              <w:rPr>
                <w:sz w:val="11"/>
                <w:szCs w:val="11"/>
                <w:color w:val="auto"/>
              </w:rPr>
            </w:pPr>
          </w:p>
        </w:tc>
      </w:tr>
      <w:tr>
        <w:trPr>
          <w:trHeight w:val="134"/>
        </w:trPr>
        <w:tc>
          <w:tcPr>
            <w:tcW w:w="2520" w:type="dxa"/>
            <w:vAlign w:val="bottom"/>
          </w:tcPr>
          <w:p>
            <w:pPr>
              <w:ind w:left="140"/>
              <w:spacing w:after="0"/>
              <w:rPr>
                <w:sz w:val="20"/>
                <w:szCs w:val="20"/>
                <w:color w:val="auto"/>
              </w:rPr>
            </w:pPr>
            <w:r>
              <w:rPr>
                <w:rFonts w:ascii="Arial" w:cs="Arial" w:eastAsia="Arial" w:hAnsi="Arial"/>
                <w:sz w:val="11"/>
                <w:szCs w:val="11"/>
                <w:color w:val="auto"/>
              </w:rPr>
              <w:t>Issuance of common stock</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110,679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1,007</w:t>
            </w:r>
          </w:p>
        </w:tc>
        <w:tc>
          <w:tcPr>
            <w:tcW w:w="20" w:type="dxa"/>
            <w:vAlign w:val="bottom"/>
          </w:tcPr>
          <w:p>
            <w:pPr>
              <w:spacing w:after="0"/>
              <w:rPr>
                <w:sz w:val="11"/>
                <w:szCs w:val="11"/>
                <w:color w:val="auto"/>
              </w:rPr>
            </w:pPr>
          </w:p>
        </w:tc>
      </w:tr>
      <w:tr>
        <w:trPr>
          <w:trHeight w:val="134"/>
        </w:trPr>
        <w:tc>
          <w:tcPr>
            <w:tcW w:w="25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FF0FC"/>
          </w:tcPr>
          <w:p>
            <w:pPr>
              <w:spacing w:after="0"/>
              <w:rPr>
                <w:sz w:val="11"/>
                <w:szCs w:val="11"/>
                <w:color w:val="auto"/>
              </w:rPr>
            </w:pP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ind w:left="440"/>
              <w:spacing w:after="0"/>
              <w:rPr>
                <w:sz w:val="20"/>
                <w:szCs w:val="20"/>
                <w:color w:val="auto"/>
              </w:rPr>
            </w:pPr>
            <w:r>
              <w:rPr>
                <w:rFonts w:ascii="Arial" w:cs="Arial" w:eastAsia="Arial" w:hAnsi="Arial"/>
                <w:sz w:val="11"/>
                <w:szCs w:val="11"/>
                <w:color w:val="auto"/>
                <w:w w:val="90"/>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883,729</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11,838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jc w:val="right"/>
              <w:ind w:right="7"/>
              <w:spacing w:after="0"/>
              <w:rPr>
                <w:sz w:val="20"/>
                <w:szCs w:val="20"/>
                <w:color w:val="auto"/>
              </w:rPr>
            </w:pPr>
            <w:r>
              <w:rPr>
                <w:rFonts w:ascii="Arial" w:cs="Arial" w:eastAsia="Arial" w:hAnsi="Arial"/>
                <w:sz w:val="11"/>
                <w:szCs w:val="11"/>
                <w:color w:val="auto"/>
              </w:rPr>
              <w:t>11,838</w:t>
            </w:r>
          </w:p>
        </w:tc>
        <w:tc>
          <w:tcPr>
            <w:tcW w:w="20" w:type="dxa"/>
            <w:vAlign w:val="bottom"/>
          </w:tcPr>
          <w:p>
            <w:pPr>
              <w:spacing w:after="0"/>
              <w:rPr>
                <w:sz w:val="11"/>
                <w:szCs w:val="11"/>
                <w:color w:val="auto"/>
              </w:rPr>
            </w:pPr>
          </w:p>
        </w:tc>
      </w:tr>
      <w:tr>
        <w:trPr>
          <w:trHeight w:val="134"/>
        </w:trPr>
        <w:tc>
          <w:tcPr>
            <w:tcW w:w="2520" w:type="dxa"/>
            <w:vAlign w:val="bottom"/>
          </w:tcPr>
          <w:p>
            <w:pPr>
              <w:ind w:left="140"/>
              <w:spacing w:after="0"/>
              <w:rPr>
                <w:sz w:val="20"/>
                <w:szCs w:val="20"/>
                <w:color w:val="auto"/>
              </w:rPr>
            </w:pPr>
            <w:r>
              <w:rPr>
                <w:rFonts w:ascii="Arial" w:cs="Arial" w:eastAsia="Arial" w:hAnsi="Arial"/>
                <w:sz w:val="11"/>
                <w:szCs w:val="11"/>
                <w:color w:val="auto"/>
              </w:rPr>
              <w:t>Exercise of stock options—net of tax</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Arial" w:cs="Arial" w:eastAsia="Arial" w:hAnsi="Arial"/>
                <w:sz w:val="11"/>
                <w:szCs w:val="11"/>
                <w:color w:val="auto"/>
                <w:w w:val="90"/>
              </w:rPr>
              <w:t>—</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161,080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444</w:t>
            </w:r>
          </w:p>
        </w:tc>
        <w:tc>
          <w:tcPr>
            <w:tcW w:w="20" w:type="dxa"/>
            <w:vAlign w:val="bottom"/>
          </w:tcPr>
          <w:p>
            <w:pPr>
              <w:spacing w:after="0"/>
              <w:rPr>
                <w:sz w:val="11"/>
                <w:szCs w:val="11"/>
                <w:color w:val="auto"/>
              </w:rPr>
            </w:pPr>
          </w:p>
        </w:tc>
      </w:tr>
      <w:tr>
        <w:trPr>
          <w:trHeight w:val="134"/>
        </w:trPr>
        <w:tc>
          <w:tcPr>
            <w:tcW w:w="25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Dividend to CCCIS stockholders</w:t>
            </w:r>
          </w:p>
        </w:tc>
        <w:tc>
          <w:tcPr>
            <w:tcW w:w="80" w:type="dxa"/>
            <w:vAlign w:val="bottom"/>
            <w:shd w:val="clear" w:color="auto" w:fill="CFF0FC"/>
          </w:tcPr>
          <w:p>
            <w:pPr>
              <w:spacing w:after="0"/>
              <w:rPr>
                <w:sz w:val="11"/>
                <w:szCs w:val="11"/>
                <w:color w:val="auto"/>
              </w:rPr>
            </w:pP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shd w:val="clear" w:color="auto" w:fill="CFF0FC"/>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ind w:left="4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(134,551 )</w:t>
            </w: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(134,551 )</w:t>
            </w:r>
          </w:p>
        </w:tc>
        <w:tc>
          <w:tcPr>
            <w:tcW w:w="20" w:type="dxa"/>
            <w:vAlign w:val="bottom"/>
          </w:tcPr>
          <w:p>
            <w:pPr>
              <w:spacing w:after="0"/>
              <w:rPr>
                <w:sz w:val="11"/>
                <w:szCs w:val="11"/>
                <w:color w:val="auto"/>
              </w:rPr>
            </w:pPr>
          </w:p>
        </w:tc>
      </w:tr>
      <w:tr>
        <w:trPr>
          <w:trHeight w:val="134"/>
        </w:trPr>
        <w:tc>
          <w:tcPr>
            <w:tcW w:w="2520" w:type="dxa"/>
            <w:vAlign w:val="bottom"/>
          </w:tcPr>
          <w:p>
            <w:pPr>
              <w:ind w:left="140"/>
              <w:spacing w:after="0"/>
              <w:rPr>
                <w:sz w:val="20"/>
                <w:szCs w:val="20"/>
                <w:color w:val="auto"/>
              </w:rPr>
            </w:pPr>
            <w:r>
              <w:rPr>
                <w:rFonts w:ascii="Arial" w:cs="Arial" w:eastAsia="Arial" w:hAnsi="Arial"/>
                <w:sz w:val="11"/>
                <w:szCs w:val="11"/>
                <w:color w:val="auto"/>
              </w:rPr>
              <w:t>Foreign currency translation adjustment</w:t>
            </w:r>
          </w:p>
        </w:tc>
        <w:tc>
          <w:tcPr>
            <w:tcW w:w="80" w:type="dxa"/>
            <w:vAlign w:val="bottom"/>
          </w:tcPr>
          <w:p>
            <w:pPr>
              <w:spacing w:after="0"/>
              <w:rPr>
                <w:sz w:val="11"/>
                <w:szCs w:val="11"/>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4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1"/>
                <w:szCs w:val="11"/>
                <w:color w:val="auto"/>
              </w:rPr>
            </w:pPr>
          </w:p>
        </w:tc>
      </w:tr>
      <w:tr>
        <w:trPr>
          <w:trHeight w:val="134"/>
        </w:trPr>
        <w:tc>
          <w:tcPr>
            <w:tcW w:w="2520" w:type="dxa"/>
            <w:vAlign w:val="bottom"/>
            <w:shd w:val="clear" w:color="auto" w:fill="CFF0FC"/>
          </w:tcPr>
          <w:p>
            <w:pPr>
              <w:ind w:left="140"/>
              <w:spacing w:after="0"/>
              <w:rPr>
                <w:sz w:val="20"/>
                <w:szCs w:val="20"/>
                <w:color w:val="auto"/>
              </w:rPr>
            </w:pPr>
            <w:r>
              <w:rPr>
                <w:rFonts w:ascii="Arial" w:cs="Arial" w:eastAsia="Arial" w:hAnsi="Arial"/>
                <w:sz w:val="11"/>
                <w:szCs w:val="11"/>
                <w:color w:val="auto"/>
              </w:rPr>
              <w:t>Net loss</w:t>
            </w: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auto"/>
            </w:tcBorders>
            <w:shd w:val="clear" w:color="auto" w:fill="CFF0FC"/>
          </w:tcPr>
          <w:p>
            <w:pPr>
              <w:spacing w:after="0"/>
              <w:rPr>
                <w:sz w:val="11"/>
                <w:szCs w:val="11"/>
                <w:color w:val="auto"/>
              </w:rPr>
            </w:pPr>
          </w:p>
        </w:tc>
        <w:tc>
          <w:tcPr>
            <w:tcW w:w="720" w:type="dxa"/>
            <w:vAlign w:val="bottom"/>
            <w:shd w:val="clear" w:color="auto" w:fill="CFF0FC"/>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ind w:left="44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(5,084 )</w:t>
            </w:r>
          </w:p>
        </w:tc>
        <w:tc>
          <w:tcPr>
            <w:tcW w:w="14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(5,084 )</w:t>
            </w:r>
          </w:p>
        </w:tc>
        <w:tc>
          <w:tcPr>
            <w:tcW w:w="20" w:type="dxa"/>
            <w:vAlign w:val="bottom"/>
          </w:tcPr>
          <w:p>
            <w:pPr>
              <w:spacing w:after="0"/>
              <w:rPr>
                <w:sz w:val="11"/>
                <w:szCs w:val="1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7"/>
        </w:trPr>
        <w:tc>
          <w:tcPr>
            <w:tcW w:w="2520" w:type="dxa"/>
            <w:vAlign w:val="bottom"/>
          </w:tcPr>
          <w:p>
            <w:pPr>
              <w:ind w:left="20"/>
              <w:spacing w:after="0"/>
              <w:rPr>
                <w:sz w:val="20"/>
                <w:szCs w:val="20"/>
                <w:color w:val="auto"/>
              </w:rPr>
            </w:pPr>
            <w:r>
              <w:rPr>
                <w:rFonts w:ascii="Arial" w:cs="Arial" w:eastAsia="Arial" w:hAnsi="Arial"/>
                <w:sz w:val="11"/>
                <w:szCs w:val="11"/>
                <w:color w:val="auto"/>
              </w:rPr>
              <w:t>BALANCE—March 31, 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14,179</w:t>
            </w:r>
          </w:p>
        </w:tc>
        <w:tc>
          <w:tcPr>
            <w:tcW w:w="140" w:type="dxa"/>
            <w:vAlign w:val="bottom"/>
            <w:tcBorders>
              <w:right w:val="single" w:sz="8" w:color="auto"/>
            </w:tcBorders>
          </w:tcPr>
          <w:p>
            <w:pPr>
              <w:spacing w:after="0"/>
              <w:rPr>
                <w:sz w:val="11"/>
                <w:szCs w:val="11"/>
                <w:color w:val="auto"/>
              </w:rPr>
            </w:pPr>
          </w:p>
        </w:tc>
        <w:tc>
          <w:tcPr>
            <w:tcW w:w="720" w:type="dxa"/>
            <w:vAlign w:val="bottom"/>
          </w:tcPr>
          <w:p>
            <w:pPr>
              <w:ind w:left="600"/>
              <w:spacing w:after="0"/>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1"/>
                <w:szCs w:val="11"/>
                <w:color w:val="auto"/>
              </w:rPr>
            </w:pPr>
          </w:p>
        </w:tc>
        <w:tc>
          <w:tcPr>
            <w:tcW w:w="160" w:type="dxa"/>
            <w:vAlign w:val="bottom"/>
          </w:tcPr>
          <w:p>
            <w:pPr>
              <w:jc w:val="right"/>
              <w:ind w:right="27"/>
              <w:spacing w:after="0"/>
              <w:rPr>
                <w:sz w:val="20"/>
                <w:szCs w:val="20"/>
                <w:color w:val="auto"/>
              </w:rPr>
            </w:pPr>
            <w:r>
              <w:rPr>
                <w:rFonts w:ascii="Arial" w:cs="Arial" w:eastAsia="Arial" w:hAnsi="Arial"/>
                <w:sz w:val="11"/>
                <w:szCs w:val="11"/>
                <w:color w:val="auto"/>
                <w:w w:val="97"/>
              </w:rPr>
              <w:t>$</w:t>
            </w:r>
          </w:p>
        </w:tc>
        <w:tc>
          <w:tcPr>
            <w:tcW w:w="560" w:type="dxa"/>
            <w:vAlign w:val="bottom"/>
          </w:tcPr>
          <w:p>
            <w:pPr>
              <w:ind w:left="440"/>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505,430,378</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w:t>
            </w:r>
          </w:p>
        </w:tc>
        <w:tc>
          <w:tcPr>
            <w:tcW w:w="100" w:type="dxa"/>
            <w:vAlign w:val="bottom"/>
          </w:tcPr>
          <w:p>
            <w:pPr>
              <w:spacing w:after="0"/>
              <w:rPr>
                <w:sz w:val="11"/>
                <w:szCs w:val="11"/>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1,514,495</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1"/>
                <w:szCs w:val="11"/>
                <w:color w:val="auto"/>
              </w:rPr>
              <w:t>(269,005 )</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1"/>
                <w:szCs w:val="11"/>
                <w:color w:val="auto"/>
              </w:rPr>
              <w:t>(264 )</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1,245,276</w:t>
            </w:r>
          </w:p>
        </w:tc>
        <w:tc>
          <w:tcPr>
            <w:tcW w:w="20" w:type="dxa"/>
            <w:vAlign w:val="bottom"/>
          </w:tcPr>
          <w:p>
            <w:pPr>
              <w:spacing w:after="0"/>
              <w:rPr>
                <w:sz w:val="11"/>
                <w:szCs w:val="11"/>
                <w:color w:val="auto"/>
              </w:rPr>
            </w:pPr>
          </w:p>
        </w:tc>
      </w:tr>
      <w:tr>
        <w:trPr>
          <w:trHeight w:val="20"/>
        </w:trPr>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-114935</wp:posOffset>
            </wp:positionV>
            <wp:extent cx="254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-114935</wp:posOffset>
            </wp:positionV>
            <wp:extent cx="2540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-114935</wp:posOffset>
            </wp:positionV>
            <wp:extent cx="2540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-114935</wp:posOffset>
            </wp:positionV>
            <wp:extent cx="1714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4415155</wp:posOffset>
            </wp:positionH>
            <wp:positionV relativeFrom="paragraph">
              <wp:posOffset>-114935</wp:posOffset>
            </wp:positionV>
            <wp:extent cx="1714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5051425</wp:posOffset>
            </wp:positionH>
            <wp:positionV relativeFrom="paragraph">
              <wp:posOffset>-114935</wp:posOffset>
            </wp:positionV>
            <wp:extent cx="1714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5687695</wp:posOffset>
            </wp:positionH>
            <wp:positionV relativeFrom="paragraph">
              <wp:posOffset>-114935</wp:posOffset>
            </wp:positionV>
            <wp:extent cx="254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6468110</wp:posOffset>
            </wp:positionH>
            <wp:positionV relativeFrom="paragraph">
              <wp:posOffset>-114935</wp:posOffset>
            </wp:positionV>
            <wp:extent cx="254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-114935</wp:posOffset>
            </wp:positionV>
            <wp:extent cx="254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571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322" w:right="3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89535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9" w:name="page10"/>
    <w:bookmarkEnd w:id="9"/>
    <w:p>
      <w:pPr>
        <w:ind w:left="2960" w:right="2660" w:hanging="292"/>
        <w:spacing w:after="0" w:line="243" w:lineRule="auto"/>
        <w:tabs>
          <w:tab w:leader="none" w:pos="310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INTELLIGENT SOLUTIONS HOLDINGS INC. AND SUBSIDIARIES 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jc w:val="right"/>
              <w:spacing w:after="0"/>
              <w:rPr>
                <w:sz w:val="20"/>
                <w:szCs w:val="20"/>
                <w:color w:val="auto"/>
              </w:rPr>
            </w:pPr>
            <w:r>
              <w:rPr>
                <w:rFonts w:ascii="Arial" w:cs="Arial" w:eastAsia="Arial" w:hAnsi="Arial"/>
                <w:sz w:val="11"/>
                <w:szCs w:val="11"/>
                <w:b w:val="1"/>
                <w:bCs w:val="1"/>
                <w:color w:val="auto"/>
                <w:w w:val="91"/>
              </w:rPr>
              <w:t>For the Three Months Ended</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3"/>
        </w:trPr>
        <w:tc>
          <w:tcPr>
            <w:tcW w:w="80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1"/>
                <w:szCs w:val="11"/>
                <w:b w:val="1"/>
                <w:bCs w:val="1"/>
                <w:color w:val="auto"/>
              </w:rPr>
              <w:t>March 31,</w:t>
            </w:r>
          </w:p>
        </w:tc>
        <w:tc>
          <w:tcPr>
            <w:tcW w:w="8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31"/>
        </w:trPr>
        <w:tc>
          <w:tcPr>
            <w:tcW w:w="8000" w:type="dxa"/>
            <w:vAlign w:val="bottom"/>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67"/>
              <w:spacing w:after="0"/>
              <w:rPr>
                <w:sz w:val="20"/>
                <w:szCs w:val="20"/>
                <w:color w:val="auto"/>
              </w:rPr>
            </w:pPr>
            <w:r>
              <w:rPr>
                <w:rFonts w:ascii="Arial" w:cs="Arial" w:eastAsia="Arial" w:hAnsi="Arial"/>
                <w:sz w:val="11"/>
                <w:szCs w:val="11"/>
                <w:b w:val="1"/>
                <w:bCs w:val="1"/>
                <w:color w:val="auto"/>
                <w:w w:val="97"/>
              </w:rPr>
              <w:t>2021</w:t>
            </w:r>
          </w:p>
        </w:tc>
        <w:tc>
          <w:tcPr>
            <w:tcW w:w="60" w:type="dxa"/>
            <w:vAlign w:val="bottom"/>
          </w:tcPr>
          <w:p>
            <w:pPr>
              <w:spacing w:after="0"/>
              <w:rPr>
                <w:sz w:val="11"/>
                <w:szCs w:val="11"/>
                <w:color w:val="auto"/>
              </w:rPr>
            </w:pPr>
          </w:p>
        </w:tc>
      </w:tr>
      <w:tr>
        <w:trPr>
          <w:trHeight w:val="127"/>
        </w:trPr>
        <w:tc>
          <w:tcPr>
            <w:tcW w:w="80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FLOWS FROM OPERATING ACTIVITIES: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Net income (loss)</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11,975</w:t>
            </w:r>
          </w:p>
        </w:tc>
        <w:tc>
          <w:tcPr>
            <w:tcW w:w="220" w:type="dxa"/>
            <w:vAlign w:val="bottom"/>
          </w:tcPr>
          <w:p>
            <w:pPr>
              <w:spacing w:after="0"/>
              <w:rPr>
                <w:sz w:val="11"/>
                <w:szCs w:val="11"/>
                <w:color w:val="auto"/>
              </w:rPr>
            </w:pPr>
          </w:p>
        </w:tc>
        <w:tc>
          <w:tcPr>
            <w:tcW w:w="600" w:type="dxa"/>
            <w:vAlign w:val="bottom"/>
          </w:tcPr>
          <w:p>
            <w:pPr>
              <w:jc w:val="right"/>
              <w:ind w:right="467"/>
              <w:spacing w:after="0"/>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(5,084 )</w:t>
            </w:r>
          </w:p>
        </w:tc>
      </w:tr>
      <w:tr>
        <w:trPr>
          <w:trHeight w:val="134"/>
        </w:trPr>
        <w:tc>
          <w:tcPr>
            <w:tcW w:w="80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Depreciation and amortization of software, equipment, and property</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6,807</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5,153</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intangible assets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24,775</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24,657</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Deferred income taxes</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(21,223 )</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(6,079 )</w:t>
            </w: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Stock-based compensation</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23,644</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12,654</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Amortization of deferred financing fees</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1,150</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Amortization of discount on debt</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Change in fair value of interest rate swaps</w:t>
            </w:r>
          </w:p>
        </w:tc>
        <w:tc>
          <w:tcPr>
            <w:tcW w:w="880" w:type="dxa"/>
            <w:vAlign w:val="bottom"/>
          </w:tcPr>
          <w:p>
            <w:pPr>
              <w:spacing w:after="0"/>
              <w:rPr>
                <w:sz w:val="11"/>
                <w:szCs w:val="11"/>
                <w:color w:val="auto"/>
              </w:rPr>
            </w:pPr>
          </w:p>
        </w:tc>
        <w:tc>
          <w:tcPr>
            <w:tcW w:w="82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(3,277 )</w:t>
            </w: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Change in fair value of warrant liabilities</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(2,136 )</w:t>
            </w: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7"/>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Non-cash lease expense</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1,228</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909</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Loss on disposal of software, equipment and property</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795</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7"/>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Gain on sale of cost method investment</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(3,578 )</w:t>
            </w:r>
          </w:p>
        </w:tc>
        <w:tc>
          <w:tcPr>
            <w:tcW w:w="600" w:type="dxa"/>
            <w:vAlign w:val="bottom"/>
          </w:tcPr>
          <w:p>
            <w:pPr>
              <w:spacing w:after="0"/>
              <w:rPr>
                <w:sz w:val="11"/>
                <w:szCs w:val="11"/>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shd w:val="clear" w:color="auto" w:fill="CFF0FC"/>
          </w:tcPr>
          <w:p>
            <w:pPr>
              <w:ind w:left="380"/>
              <w:spacing w:after="0"/>
              <w:rPr>
                <w:sz w:val="20"/>
                <w:szCs w:val="20"/>
                <w:color w:val="auto"/>
              </w:rPr>
            </w:pPr>
            <w:r>
              <w:rPr>
                <w:rFonts w:ascii="Arial" w:cs="Arial" w:eastAsia="Arial" w:hAnsi="Arial"/>
                <w:sz w:val="11"/>
                <w:szCs w:val="11"/>
                <w:color w:val="auto"/>
              </w:rPr>
              <w:t>Other</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380"/>
              <w:spacing w:after="0"/>
              <w:rPr>
                <w:sz w:val="20"/>
                <w:szCs w:val="20"/>
                <w:color w:val="auto"/>
              </w:rPr>
            </w:pPr>
            <w:r>
              <w:rPr>
                <w:rFonts w:ascii="Arial" w:cs="Arial" w:eastAsia="Arial" w:hAnsi="Arial"/>
                <w:sz w:val="11"/>
                <w:szCs w:val="11"/>
                <w:color w:val="auto"/>
              </w:rPr>
              <w:t>Changes in:</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Accounts receivable—Net</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2,043</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6,184</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Deferred contract costs</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(576 )</w:t>
            </w: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current assets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2,187</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(1,061 )</w:t>
            </w: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Deferred contract costs—Non-current</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(288 )</w:t>
            </w: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Other assets</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(10,805 )</w:t>
            </w: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2,106</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Operating lease assets</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1,316</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2,372</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Income taxes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20,370</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(907 )</w:t>
            </w: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Accounts payable</w:t>
            </w:r>
          </w:p>
        </w:tc>
        <w:tc>
          <w:tcPr>
            <w:tcW w:w="8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4,825</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4,344</w:t>
            </w: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Accrued expenses</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(16,460 )</w:t>
            </w: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(4,348 )</w:t>
            </w: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Operating lease liabilities</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(1,986 )</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(1,655 )</w:t>
            </w:r>
          </w:p>
        </w:tc>
      </w:tr>
      <w:tr>
        <w:trPr>
          <w:trHeight w:val="134"/>
        </w:trPr>
        <w:tc>
          <w:tcPr>
            <w:tcW w:w="8000" w:type="dxa"/>
            <w:vAlign w:val="bottom"/>
            <w:shd w:val="clear" w:color="auto" w:fill="CFF0FC"/>
          </w:tcPr>
          <w:p>
            <w:pPr>
              <w:ind w:left="560"/>
              <w:spacing w:after="0"/>
              <w:rPr>
                <w:sz w:val="20"/>
                <w:szCs w:val="20"/>
                <w:color w:val="auto"/>
              </w:rPr>
            </w:pPr>
            <w:r>
              <w:rPr>
                <w:rFonts w:ascii="Arial" w:cs="Arial" w:eastAsia="Arial" w:hAnsi="Arial"/>
                <w:sz w:val="11"/>
                <w:szCs w:val="11"/>
                <w:color w:val="auto"/>
              </w:rPr>
              <w:t>Deferred revenues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2,353</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1,580</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560"/>
              <w:spacing w:after="0"/>
              <w:rPr>
                <w:sz w:val="20"/>
                <w:szCs w:val="20"/>
                <w:color w:val="auto"/>
              </w:rPr>
            </w:pPr>
            <w:r>
              <w:rPr>
                <w:rFonts w:ascii="Arial" w:cs="Arial" w:eastAsia="Arial" w:hAnsi="Arial"/>
                <w:sz w:val="11"/>
                <w:szCs w:val="11"/>
                <w:color w:val="auto"/>
              </w:rPr>
              <w:t>Other liabilities</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(68 )</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(426 )</w:t>
            </w:r>
          </w:p>
        </w:tc>
      </w:tr>
      <w:tr>
        <w:trPr>
          <w:trHeight w:val="127"/>
        </w:trPr>
        <w:tc>
          <w:tcPr>
            <w:tcW w:w="8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1"/>
                <w:szCs w:val="11"/>
                <w:color w:val="auto"/>
              </w:rPr>
              <w:t>Net cash provided by operating activities</w:t>
            </w: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46,865</w:t>
            </w:r>
          </w:p>
        </w:tc>
        <w:tc>
          <w:tcPr>
            <w:tcW w:w="2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38,234</w:t>
            </w:r>
          </w:p>
        </w:tc>
        <w:tc>
          <w:tcPr>
            <w:tcW w:w="60" w:type="dxa"/>
            <w:vAlign w:val="bottom"/>
            <w:tcBorders>
              <w:bottom w:val="single" w:sz="8" w:color="CFF0FC"/>
            </w:tcBorders>
            <w:shd w:val="clear" w:color="auto" w:fill="CFF0FC"/>
          </w:tcPr>
          <w:p>
            <w:pPr>
              <w:spacing w:after="0"/>
              <w:rPr>
                <w:sz w:val="11"/>
                <w:szCs w:val="11"/>
                <w:color w:val="auto"/>
              </w:rPr>
            </w:pPr>
          </w:p>
        </w:tc>
      </w:tr>
      <w:tr>
        <w:trPr>
          <w:trHeight w:val="127"/>
        </w:trPr>
        <w:tc>
          <w:tcPr>
            <w:tcW w:w="8000" w:type="dxa"/>
            <w:vAlign w:val="bottom"/>
          </w:tcPr>
          <w:p>
            <w:pPr>
              <w:ind w:left="20"/>
              <w:spacing w:after="0"/>
              <w:rPr>
                <w:sz w:val="20"/>
                <w:szCs w:val="20"/>
                <w:color w:val="auto"/>
              </w:rPr>
            </w:pPr>
            <w:r>
              <w:rPr>
                <w:rFonts w:ascii="Arial" w:cs="Arial" w:eastAsia="Arial" w:hAnsi="Arial"/>
                <w:sz w:val="11"/>
                <w:szCs w:val="11"/>
                <w:color w:val="auto"/>
              </w:rPr>
              <w:t>CASH FLOWS FROM INVESTING ACTIVITIES:</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Purchases of software, equipment, and property</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3"/>
              <w:spacing w:after="0"/>
              <w:rPr>
                <w:sz w:val="20"/>
                <w:szCs w:val="20"/>
                <w:color w:val="auto"/>
              </w:rPr>
            </w:pPr>
            <w:r>
              <w:rPr>
                <w:rFonts w:ascii="Arial" w:cs="Arial" w:eastAsia="Arial" w:hAnsi="Arial"/>
                <w:sz w:val="11"/>
                <w:szCs w:val="11"/>
                <w:color w:val="auto"/>
              </w:rPr>
              <w:t>(14,280 )</w:t>
            </w: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(4,637 )</w:t>
            </w: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Acquisition of Safekeep, Inc., net of cash acquired</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(32,227 )</w:t>
            </w:r>
          </w:p>
        </w:tc>
        <w:tc>
          <w:tcPr>
            <w:tcW w:w="600" w:type="dxa"/>
            <w:vAlign w:val="bottom"/>
          </w:tcPr>
          <w:p>
            <w:pPr>
              <w:spacing w:after="0"/>
              <w:rPr>
                <w:sz w:val="11"/>
                <w:szCs w:val="11"/>
                <w:color w:val="auto"/>
              </w:rPr>
            </w:pPr>
          </w:p>
        </w:tc>
        <w:tc>
          <w:tcPr>
            <w:tcW w:w="940" w:type="dxa"/>
            <w:vAlign w:val="bottom"/>
            <w:gridSpan w:val="2"/>
          </w:tcPr>
          <w:p>
            <w:pPr>
              <w:jc w:val="right"/>
              <w:ind w:right="7"/>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Proceeds from sale of cost method investment</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3,892</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7"/>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Purchase of intangible asset</w:t>
            </w:r>
          </w:p>
        </w:tc>
        <w:tc>
          <w:tcPr>
            <w:tcW w:w="880" w:type="dxa"/>
            <w:vAlign w:val="bottom"/>
          </w:tcPr>
          <w:p>
            <w:pPr>
              <w:spacing w:after="0"/>
              <w:rPr>
                <w:sz w:val="11"/>
                <w:szCs w:val="11"/>
                <w:color w:val="auto"/>
              </w:rPr>
            </w:pPr>
          </w:p>
        </w:tc>
        <w:tc>
          <w:tcPr>
            <w:tcW w:w="820" w:type="dxa"/>
            <w:vAlign w:val="bottom"/>
            <w:gridSpan w:val="2"/>
          </w:tcPr>
          <w:p>
            <w:pPr>
              <w:jc w:val="right"/>
              <w:ind w:right="203"/>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(49 )</w:t>
            </w:r>
          </w:p>
        </w:tc>
      </w:tr>
      <w:tr>
        <w:trPr>
          <w:trHeight w:val="127"/>
        </w:trPr>
        <w:tc>
          <w:tcPr>
            <w:tcW w:w="8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1"/>
                <w:szCs w:val="11"/>
                <w:color w:val="auto"/>
              </w:rPr>
              <w:t>Net cash used in investing activities</w:t>
            </w: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(42,615</w:t>
            </w:r>
          </w:p>
        </w:tc>
        <w:tc>
          <w:tcPr>
            <w:tcW w:w="220" w:type="dxa"/>
            <w:vAlign w:val="bottom"/>
            <w:tcBorders>
              <w:bottom w:val="single" w:sz="8" w:color="CFF0FC"/>
            </w:tcBorders>
            <w:shd w:val="clear" w:color="auto" w:fill="CFF0FC"/>
          </w:tcPr>
          <w:p>
            <w:pPr>
              <w:jc w:val="right"/>
              <w:ind w:right="143"/>
              <w:spacing w:after="0"/>
              <w:rPr>
                <w:sz w:val="20"/>
                <w:szCs w:val="20"/>
                <w:color w:val="auto"/>
              </w:rPr>
            </w:pPr>
            <w:r>
              <w:rPr>
                <w:rFonts w:ascii="Arial" w:cs="Arial" w:eastAsia="Arial" w:hAnsi="Arial"/>
                <w:sz w:val="7"/>
                <w:szCs w:val="7"/>
                <w:color w:val="auto"/>
                <w:w w:val="83"/>
              </w:rPr>
              <w:t>)</w:t>
            </w:r>
          </w:p>
        </w:tc>
        <w:tc>
          <w:tcPr>
            <w:tcW w:w="60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(4,686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r>
      <w:tr>
        <w:trPr>
          <w:trHeight w:val="127"/>
        </w:trPr>
        <w:tc>
          <w:tcPr>
            <w:tcW w:w="8000" w:type="dxa"/>
            <w:vAlign w:val="bottom"/>
          </w:tcPr>
          <w:p>
            <w:pPr>
              <w:ind w:left="20"/>
              <w:spacing w:after="0"/>
              <w:rPr>
                <w:sz w:val="20"/>
                <w:szCs w:val="20"/>
                <w:color w:val="auto"/>
              </w:rPr>
            </w:pPr>
            <w:r>
              <w:rPr>
                <w:rFonts w:ascii="Arial" w:cs="Arial" w:eastAsia="Arial" w:hAnsi="Arial"/>
                <w:sz w:val="11"/>
                <w:szCs w:val="11"/>
                <w:color w:val="auto"/>
              </w:rPr>
              <w:t>CASH FLOWS FROM FINANCING ACTIVITIES:</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80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Dividend to CCCIS stockholders</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3"/>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(134,549 )</w:t>
            </w: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Principal payments on long-term debt</w:t>
            </w:r>
          </w:p>
        </w:tc>
        <w:tc>
          <w:tcPr>
            <w:tcW w:w="880" w:type="dxa"/>
            <w:vAlign w:val="bottom"/>
          </w:tcPr>
          <w:p>
            <w:pPr>
              <w:spacing w:after="0"/>
              <w:rPr>
                <w:sz w:val="11"/>
                <w:szCs w:val="11"/>
                <w:color w:val="auto"/>
              </w:rPr>
            </w:pPr>
          </w:p>
        </w:tc>
        <w:tc>
          <w:tcPr>
            <w:tcW w:w="820" w:type="dxa"/>
            <w:vAlign w:val="bottom"/>
            <w:gridSpan w:val="2"/>
          </w:tcPr>
          <w:p>
            <w:pPr>
              <w:jc w:val="right"/>
              <w:ind w:right="143"/>
              <w:spacing w:after="0"/>
              <w:rPr>
                <w:sz w:val="20"/>
                <w:szCs w:val="20"/>
                <w:color w:val="auto"/>
              </w:rPr>
            </w:pPr>
            <w:r>
              <w:rPr>
                <w:rFonts w:ascii="Arial" w:cs="Arial" w:eastAsia="Arial" w:hAnsi="Arial"/>
                <w:sz w:val="11"/>
                <w:szCs w:val="11"/>
                <w:color w:val="auto"/>
              </w:rPr>
              <w:t>(2,000 )</w:t>
            </w:r>
          </w:p>
        </w:tc>
        <w:tc>
          <w:tcPr>
            <w:tcW w:w="60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(3,462 )</w:t>
            </w:r>
          </w:p>
        </w:tc>
      </w:tr>
      <w:tr>
        <w:trPr>
          <w:trHeight w:val="134"/>
        </w:trPr>
        <w:tc>
          <w:tcPr>
            <w:tcW w:w="800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Proceeds from issuance of common stock</w:t>
            </w:r>
          </w:p>
        </w:tc>
        <w:tc>
          <w:tcPr>
            <w:tcW w:w="8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3"/>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1,007</w:t>
            </w:r>
          </w:p>
        </w:tc>
        <w:tc>
          <w:tcPr>
            <w:tcW w:w="60" w:type="dxa"/>
            <w:vAlign w:val="bottom"/>
            <w:shd w:val="clear" w:color="auto" w:fill="CFF0FC"/>
          </w:tcPr>
          <w:p>
            <w:pPr>
              <w:spacing w:after="0"/>
              <w:rPr>
                <w:sz w:val="11"/>
                <w:szCs w:val="11"/>
                <w:color w:val="auto"/>
              </w:rPr>
            </w:pP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Proceeds from exercise of stock options</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10,691</w:t>
            </w: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503</w:t>
            </w:r>
          </w:p>
        </w:tc>
        <w:tc>
          <w:tcPr>
            <w:tcW w:w="60" w:type="dxa"/>
            <w:vAlign w:val="bottom"/>
          </w:tcPr>
          <w:p>
            <w:pPr>
              <w:spacing w:after="0"/>
              <w:rPr>
                <w:sz w:val="11"/>
                <w:szCs w:val="11"/>
                <w:color w:val="auto"/>
              </w:rPr>
            </w:pPr>
          </w:p>
        </w:tc>
      </w:tr>
      <w:tr>
        <w:trPr>
          <w:trHeight w:val="127"/>
        </w:trPr>
        <w:tc>
          <w:tcPr>
            <w:tcW w:w="80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1"/>
                <w:szCs w:val="11"/>
                <w:color w:val="auto"/>
              </w:rPr>
              <w:t>Net cash provided by (used in) financing activities</w:t>
            </w:r>
          </w:p>
        </w:tc>
        <w:tc>
          <w:tcPr>
            <w:tcW w:w="8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8,691</w:t>
            </w:r>
          </w:p>
        </w:tc>
        <w:tc>
          <w:tcPr>
            <w:tcW w:w="2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(136,501</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r>
      <w:tr>
        <w:trPr>
          <w:trHeight w:val="127"/>
        </w:trPr>
        <w:tc>
          <w:tcPr>
            <w:tcW w:w="8000" w:type="dxa"/>
            <w:vAlign w:val="bottom"/>
          </w:tcPr>
          <w:p>
            <w:pPr>
              <w:ind w:left="20"/>
              <w:spacing w:after="0"/>
              <w:rPr>
                <w:sz w:val="20"/>
                <w:szCs w:val="20"/>
                <w:color w:val="auto"/>
              </w:rPr>
            </w:pPr>
            <w:r>
              <w:rPr>
                <w:rFonts w:ascii="Arial" w:cs="Arial" w:eastAsia="Arial" w:hAnsi="Arial"/>
                <w:sz w:val="11"/>
                <w:szCs w:val="11"/>
                <w:color w:val="auto"/>
              </w:rPr>
              <w:t>NET EFFECT OF EXCHANGE RATE CHANGES ON CASH AND CASH EQUIVALENTS</w:t>
            </w: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11"/>
                <w:szCs w:val="11"/>
                <w:color w:val="auto"/>
              </w:rPr>
            </w:pPr>
          </w:p>
        </w:tc>
      </w:tr>
      <w:tr>
        <w:trPr>
          <w:trHeight w:val="127"/>
        </w:trPr>
        <w:tc>
          <w:tcPr>
            <w:tcW w:w="80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CHANGE IN CASH AND CASH EQUIVALENTS</w:t>
            </w:r>
          </w:p>
        </w:tc>
        <w:tc>
          <w:tcPr>
            <w:tcW w:w="8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12,953</w:t>
            </w:r>
          </w:p>
        </w:tc>
        <w:tc>
          <w:tcPr>
            <w:tcW w:w="2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(102,944</w:t>
            </w:r>
          </w:p>
        </w:tc>
        <w:tc>
          <w:tcPr>
            <w:tcW w:w="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r>
      <w:tr>
        <w:trPr>
          <w:trHeight w:val="134"/>
        </w:trPr>
        <w:tc>
          <w:tcPr>
            <w:tcW w:w="800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4"/>
        </w:trPr>
        <w:tc>
          <w:tcPr>
            <w:tcW w:w="8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Beginning of period</w:t>
            </w:r>
          </w:p>
        </w:tc>
        <w:tc>
          <w:tcPr>
            <w:tcW w:w="88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182,544</w:t>
            </w:r>
          </w:p>
        </w:tc>
        <w:tc>
          <w:tcPr>
            <w:tcW w:w="22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162,118</w:t>
            </w:r>
          </w:p>
        </w:tc>
        <w:tc>
          <w:tcPr>
            <w:tcW w:w="60" w:type="dxa"/>
            <w:vAlign w:val="bottom"/>
            <w:tcBorders>
              <w:bottom w:val="single" w:sz="8" w:color="CFF0FC"/>
            </w:tcBorders>
            <w:shd w:val="clear" w:color="auto" w:fill="CFF0FC"/>
          </w:tcPr>
          <w:p>
            <w:pPr>
              <w:spacing w:after="0"/>
              <w:rPr>
                <w:sz w:val="11"/>
                <w:szCs w:val="11"/>
                <w:color w:val="auto"/>
              </w:rPr>
            </w:pPr>
          </w:p>
        </w:tc>
      </w:tr>
      <w:tr>
        <w:trPr>
          <w:trHeight w:val="127"/>
        </w:trPr>
        <w:tc>
          <w:tcPr>
            <w:tcW w:w="8000" w:type="dxa"/>
            <w:vAlign w:val="bottom"/>
          </w:tcPr>
          <w:p>
            <w:pPr>
              <w:ind w:left="200"/>
              <w:spacing w:after="0"/>
              <w:rPr>
                <w:sz w:val="20"/>
                <w:szCs w:val="20"/>
                <w:color w:val="auto"/>
              </w:rPr>
            </w:pPr>
            <w:r>
              <w:rPr>
                <w:rFonts w:ascii="Arial" w:cs="Arial" w:eastAsia="Arial" w:hAnsi="Arial"/>
                <w:sz w:val="11"/>
                <w:szCs w:val="11"/>
                <w:color w:val="auto"/>
              </w:rPr>
              <w:t>End of period</w:t>
            </w: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195,497</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59,174</w:t>
            </w:r>
          </w:p>
        </w:tc>
        <w:tc>
          <w:tcPr>
            <w:tcW w:w="60" w:type="dxa"/>
            <w:vAlign w:val="bottom"/>
          </w:tcPr>
          <w:p>
            <w:pPr>
              <w:spacing w:after="0"/>
              <w:rPr>
                <w:sz w:val="11"/>
                <w:szCs w:val="11"/>
                <w:color w:val="auto"/>
              </w:rPr>
            </w:pPr>
          </w:p>
        </w:tc>
      </w:tr>
      <w:tr>
        <w:trPr>
          <w:trHeight w:val="20"/>
        </w:trPr>
        <w:tc>
          <w:tcPr>
            <w:tcW w:w="8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4"/>
        </w:trPr>
        <w:tc>
          <w:tcPr>
            <w:tcW w:w="8000" w:type="dxa"/>
            <w:vAlign w:val="bottom"/>
            <w:shd w:val="clear" w:color="auto" w:fill="CFF0FC"/>
          </w:tcPr>
          <w:p>
            <w:pPr>
              <w:ind w:left="20"/>
              <w:spacing w:after="0" w:line="114" w:lineRule="exact"/>
              <w:rPr>
                <w:sz w:val="20"/>
                <w:szCs w:val="20"/>
                <w:color w:val="auto"/>
              </w:rPr>
            </w:pPr>
            <w:r>
              <w:rPr>
                <w:rFonts w:ascii="Arial" w:cs="Arial" w:eastAsia="Arial" w:hAnsi="Arial"/>
                <w:sz w:val="11"/>
                <w:szCs w:val="11"/>
                <w:color w:val="auto"/>
              </w:rPr>
              <w:t>NONCASH INVESTING AND FINANCING ACTIVITIES:</w:t>
            </w:r>
          </w:p>
        </w:tc>
        <w:tc>
          <w:tcPr>
            <w:tcW w:w="88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34"/>
        </w:trPr>
        <w:tc>
          <w:tcPr>
            <w:tcW w:w="8000" w:type="dxa"/>
            <w:vAlign w:val="bottom"/>
          </w:tcPr>
          <w:p>
            <w:pPr>
              <w:ind w:left="200"/>
              <w:spacing w:after="0"/>
              <w:rPr>
                <w:sz w:val="20"/>
                <w:szCs w:val="20"/>
                <w:color w:val="auto"/>
              </w:rPr>
            </w:pPr>
            <w:r>
              <w:rPr>
                <w:rFonts w:ascii="Arial" w:cs="Arial" w:eastAsia="Arial" w:hAnsi="Arial"/>
                <w:sz w:val="11"/>
                <w:szCs w:val="11"/>
                <w:color w:val="auto"/>
              </w:rPr>
              <w:t>Unpaid liability related to software, equipment, and property</w:t>
            </w: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1"/>
                <w:szCs w:val="11"/>
                <w:color w:val="auto"/>
              </w:rPr>
            </w:pPr>
          </w:p>
        </w:tc>
      </w:tr>
      <w:tr>
        <w:trPr>
          <w:trHeight w:val="20"/>
        </w:trPr>
        <w:tc>
          <w:tcPr>
            <w:tcW w:w="8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54"/>
        </w:trPr>
        <w:tc>
          <w:tcPr>
            <w:tcW w:w="8000" w:type="dxa"/>
            <w:vAlign w:val="bottom"/>
            <w:tcBorders>
              <w:bottom w:val="single" w:sz="8" w:color="CFF0FC"/>
            </w:tcBorders>
            <w:shd w:val="clear" w:color="auto" w:fill="CFF0FC"/>
          </w:tcPr>
          <w:p>
            <w:pPr>
              <w:ind w:left="200"/>
              <w:spacing w:after="0" w:line="114" w:lineRule="exact"/>
              <w:rPr>
                <w:sz w:val="20"/>
                <w:szCs w:val="20"/>
                <w:color w:val="auto"/>
              </w:rPr>
            </w:pPr>
            <w:r>
              <w:rPr>
                <w:rFonts w:ascii="Arial" w:cs="Arial" w:eastAsia="Arial" w:hAnsi="Arial"/>
                <w:sz w:val="11"/>
                <w:szCs w:val="11"/>
                <w:color w:val="auto"/>
              </w:rPr>
              <w:t>Contingent consideration related to business acquisition</w:t>
            </w:r>
          </w:p>
        </w:tc>
        <w:tc>
          <w:tcPr>
            <w:tcW w:w="880" w:type="dxa"/>
            <w:vAlign w:val="bottom"/>
            <w:tcBorders>
              <w:top w:val="single" w:sz="8" w:color="auto"/>
              <w:bottom w:val="single" w:sz="8" w:color="auto"/>
            </w:tcBorders>
            <w:shd w:val="clear" w:color="auto" w:fill="CFF0FC"/>
          </w:tcPr>
          <w:p>
            <w:pPr>
              <w:jc w:val="right"/>
              <w:ind w:right="771"/>
              <w:spacing w:after="0" w:line="114" w:lineRule="exact"/>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1"/>
                <w:szCs w:val="11"/>
                <w:color w:val="auto"/>
              </w:rPr>
              <w:t>200</w:t>
            </w:r>
          </w:p>
        </w:tc>
        <w:tc>
          <w:tcPr>
            <w:tcW w:w="22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jc w:val="right"/>
              <w:ind w:right="467"/>
              <w:spacing w:after="0" w:line="114" w:lineRule="exact"/>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3"/>
                <w:szCs w:val="13"/>
                <w:color w:val="auto"/>
              </w:rPr>
            </w:pPr>
          </w:p>
        </w:tc>
      </w:tr>
      <w:tr>
        <w:trPr>
          <w:trHeight w:val="114"/>
        </w:trPr>
        <w:tc>
          <w:tcPr>
            <w:tcW w:w="8000" w:type="dxa"/>
            <w:vAlign w:val="bottom"/>
          </w:tcPr>
          <w:p>
            <w:pPr>
              <w:ind w:left="20"/>
              <w:spacing w:after="0" w:line="114" w:lineRule="exact"/>
              <w:rPr>
                <w:sz w:val="20"/>
                <w:szCs w:val="20"/>
                <w:color w:val="auto"/>
              </w:rPr>
            </w:pPr>
            <w:r>
              <w:rPr>
                <w:rFonts w:ascii="Arial" w:cs="Arial" w:eastAsia="Arial" w:hAnsi="Arial"/>
                <w:sz w:val="11"/>
                <w:szCs w:val="11"/>
                <w:color w:val="auto"/>
              </w:rPr>
              <w:t>SUPPLEMENTAL DISCLOSURES OF CASH FLOW INFORMATION:</w:t>
            </w:r>
          </w:p>
        </w:tc>
        <w:tc>
          <w:tcPr>
            <w:tcW w:w="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74"/>
        </w:trPr>
        <w:tc>
          <w:tcPr>
            <w:tcW w:w="8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1"/>
                <w:szCs w:val="11"/>
                <w:color w:val="auto"/>
              </w:rPr>
              <w:t>Cash paid for interest</w:t>
            </w:r>
          </w:p>
        </w:tc>
        <w:tc>
          <w:tcPr>
            <w:tcW w:w="880" w:type="dxa"/>
            <w:vAlign w:val="bottom"/>
            <w:tcBorders>
              <w:bottom w:val="single" w:sz="8" w:color="auto"/>
            </w:tcBorders>
            <w:shd w:val="clear" w:color="auto" w:fill="CFF0FC"/>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6,783</w:t>
            </w:r>
          </w:p>
        </w:tc>
        <w:tc>
          <w:tcPr>
            <w:tcW w:w="2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17,422</w:t>
            </w:r>
          </w:p>
        </w:tc>
        <w:tc>
          <w:tcPr>
            <w:tcW w:w="60" w:type="dxa"/>
            <w:vAlign w:val="bottom"/>
            <w:tcBorders>
              <w:bottom w:val="single" w:sz="8" w:color="CFF0FC"/>
            </w:tcBorders>
            <w:shd w:val="clear" w:color="auto" w:fill="CFF0FC"/>
          </w:tcPr>
          <w:p>
            <w:pPr>
              <w:spacing w:after="0"/>
              <w:rPr>
                <w:sz w:val="15"/>
                <w:szCs w:val="15"/>
                <w:color w:val="auto"/>
              </w:rPr>
            </w:pPr>
          </w:p>
        </w:tc>
      </w:tr>
      <w:tr>
        <w:trPr>
          <w:trHeight w:val="114"/>
        </w:trPr>
        <w:tc>
          <w:tcPr>
            <w:tcW w:w="8000" w:type="dxa"/>
            <w:vAlign w:val="bottom"/>
          </w:tcPr>
          <w:p>
            <w:pPr>
              <w:ind w:left="200"/>
              <w:spacing w:after="0" w:line="114" w:lineRule="exact"/>
              <w:rPr>
                <w:sz w:val="20"/>
                <w:szCs w:val="20"/>
                <w:color w:val="auto"/>
              </w:rPr>
            </w:pPr>
            <w:r>
              <w:rPr>
                <w:rFonts w:ascii="Arial" w:cs="Arial" w:eastAsia="Arial" w:hAnsi="Arial"/>
                <w:sz w:val="11"/>
                <w:szCs w:val="11"/>
                <w:color w:val="auto"/>
              </w:rPr>
              <w:t>Cash received (paid) for income taxes—Net</w:t>
            </w:r>
          </w:p>
        </w:tc>
        <w:tc>
          <w:tcPr>
            <w:tcW w:w="880" w:type="dxa"/>
            <w:vAlign w:val="bottom"/>
          </w:tcPr>
          <w:p>
            <w:pPr>
              <w:jc w:val="right"/>
              <w:ind w:right="771"/>
              <w:spacing w:after="0" w:line="114" w:lineRule="exact"/>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14" w:lineRule="exact"/>
              <w:rPr>
                <w:sz w:val="20"/>
                <w:szCs w:val="20"/>
                <w:color w:val="auto"/>
              </w:rPr>
            </w:pPr>
            <w:r>
              <w:rPr>
                <w:rFonts w:ascii="Arial" w:cs="Arial" w:eastAsia="Arial" w:hAnsi="Arial"/>
                <w:sz w:val="11"/>
                <w:szCs w:val="11"/>
                <w:color w:val="auto"/>
              </w:rPr>
              <w:t>45</w:t>
            </w:r>
          </w:p>
        </w:tc>
        <w:tc>
          <w:tcPr>
            <w:tcW w:w="220" w:type="dxa"/>
            <w:vAlign w:val="bottom"/>
          </w:tcPr>
          <w:p>
            <w:pPr>
              <w:spacing w:after="0"/>
              <w:rPr>
                <w:sz w:val="9"/>
                <w:szCs w:val="9"/>
                <w:color w:val="auto"/>
              </w:rPr>
            </w:pPr>
          </w:p>
        </w:tc>
        <w:tc>
          <w:tcPr>
            <w:tcW w:w="600" w:type="dxa"/>
            <w:vAlign w:val="bottom"/>
          </w:tcPr>
          <w:p>
            <w:pPr>
              <w:jc w:val="right"/>
              <w:ind w:right="467"/>
              <w:spacing w:after="0" w:line="114" w:lineRule="exact"/>
              <w:rPr>
                <w:sz w:val="20"/>
                <w:szCs w:val="20"/>
                <w:color w:val="auto"/>
              </w:rPr>
            </w:pPr>
            <w:r>
              <w:rPr>
                <w:rFonts w:ascii="Arial" w:cs="Arial" w:eastAsia="Arial" w:hAnsi="Arial"/>
                <w:sz w:val="11"/>
                <w:szCs w:val="11"/>
                <w:color w:val="auto"/>
                <w:w w:val="97"/>
              </w:rPr>
              <w:t>$</w:t>
            </w:r>
          </w:p>
        </w:tc>
        <w:tc>
          <w:tcPr>
            <w:tcW w:w="940" w:type="dxa"/>
            <w:vAlign w:val="bottom"/>
            <w:gridSpan w:val="2"/>
          </w:tcPr>
          <w:p>
            <w:pPr>
              <w:jc w:val="right"/>
              <w:spacing w:after="0" w:line="114" w:lineRule="exact"/>
              <w:rPr>
                <w:sz w:val="20"/>
                <w:szCs w:val="20"/>
                <w:color w:val="auto"/>
              </w:rPr>
            </w:pPr>
            <w:r>
              <w:rPr>
                <w:rFonts w:ascii="Arial" w:cs="Arial" w:eastAsia="Arial" w:hAnsi="Arial"/>
                <w:sz w:val="11"/>
                <w:szCs w:val="11"/>
                <w:color w:val="auto"/>
              </w:rPr>
              <w:t>(3,906 )</w:t>
            </w:r>
          </w:p>
        </w:tc>
      </w:tr>
      <w:tr>
        <w:trPr>
          <w:trHeight w:val="20"/>
        </w:trPr>
        <w:tc>
          <w:tcPr>
            <w:tcW w:w="8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6018530</wp:posOffset>
            </wp:positionH>
            <wp:positionV relativeFrom="paragraph">
              <wp:posOffset>-2134235</wp:posOffset>
            </wp:positionV>
            <wp:extent cx="3365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-2134235</wp:posOffset>
            </wp:positionV>
            <wp:extent cx="3365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-1607820</wp:posOffset>
            </wp:positionV>
            <wp:extent cx="3365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-1607820</wp:posOffset>
            </wp:positionV>
            <wp:extent cx="3365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-1082040</wp:posOffset>
            </wp:positionV>
            <wp:extent cx="3365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-1082040</wp:posOffset>
            </wp:positionV>
            <wp:extent cx="3365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-725805</wp:posOffset>
            </wp:positionV>
            <wp:extent cx="3365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-725805</wp:posOffset>
            </wp:positionV>
            <wp:extent cx="3365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-330200</wp:posOffset>
            </wp:positionV>
            <wp:extent cx="336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-313055</wp:posOffset>
            </wp:positionV>
            <wp:extent cx="336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-330200</wp:posOffset>
            </wp:positionV>
            <wp:extent cx="336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-313055</wp:posOffset>
            </wp:positionV>
            <wp:extent cx="336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-135255</wp:posOffset>
            </wp:positionV>
            <wp:extent cx="336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6018530</wp:posOffset>
            </wp:positionH>
            <wp:positionV relativeFrom="paragraph">
              <wp:posOffset>-118110</wp:posOffset>
            </wp:positionV>
            <wp:extent cx="336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-135255</wp:posOffset>
            </wp:positionV>
            <wp:extent cx="33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-118110</wp:posOffset>
            </wp:positionV>
            <wp:extent cx="336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p>
      <w:pPr>
        <w:ind w:left="520" w:hanging="513"/>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04" w:lineRule="exact"/>
        <w:rPr>
          <w:sz w:val="20"/>
          <w:szCs w:val="20"/>
          <w:color w:val="auto"/>
        </w:rPr>
      </w:pPr>
    </w:p>
    <w:p>
      <w:pPr>
        <w:ind w:left="520" w:right="240" w:hanging="4"/>
        <w:spacing w:after="0" w:line="238" w:lineRule="auto"/>
        <w:tabs>
          <w:tab w:leader="none" w:pos="92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Intelligent Solutions Holdings Inc., a Delaware corporation, is a leading provider of innovative cloud, mobile, telematics, hyperscale technologies, and applications for the property and casualty (“P&amp;C”) insurance economy. Our cloud-based software as a service (“SaaS”) platform connects trading partners, facilitates commerce, and supports mission-critical, artificial intelligence ("AI") enabled digital workflows. Our platform digitizes workflows and connects companies across the P&amp;C insurance economy, including insurance carriers, collision repairers, parts suppliers, automotive manufacturers, financial institutions, and others.</w:t>
      </w:r>
    </w:p>
    <w:p>
      <w:pPr>
        <w:spacing w:after="0" w:line="82" w:lineRule="exact"/>
        <w:rPr>
          <w:sz w:val="20"/>
          <w:szCs w:val="20"/>
          <w:color w:val="auto"/>
        </w:rPr>
      </w:pPr>
    </w:p>
    <w:p>
      <w:pPr>
        <w:ind w:left="520" w:right="180"/>
        <w:spacing w:after="0" w:line="255" w:lineRule="auto"/>
        <w:rPr>
          <w:sz w:val="20"/>
          <w:szCs w:val="20"/>
          <w:color w:val="auto"/>
        </w:rPr>
      </w:pPr>
      <w:r>
        <w:rPr>
          <w:rFonts w:ascii="Arial" w:cs="Arial" w:eastAsia="Arial" w:hAnsi="Arial"/>
          <w:sz w:val="18"/>
          <w:szCs w:val="18"/>
          <w:color w:val="auto"/>
        </w:rPr>
        <w:t>The Company is headquartered in Chicago, Illinois. The Company’s primary operations are in the United States (“US”) and it also has operations in China.</w:t>
      </w:r>
    </w:p>
    <w:p>
      <w:pPr>
        <w:spacing w:after="0" w:line="68" w:lineRule="exact"/>
        <w:rPr>
          <w:sz w:val="20"/>
          <w:szCs w:val="20"/>
          <w:color w:val="auto"/>
        </w:rPr>
      </w:pPr>
    </w:p>
    <w:p>
      <w:pPr>
        <w:ind w:left="520" w:right="60"/>
        <w:spacing w:after="0" w:line="255" w:lineRule="auto"/>
        <w:rPr>
          <w:sz w:val="20"/>
          <w:szCs w:val="20"/>
          <w:color w:val="auto"/>
        </w:rPr>
      </w:pPr>
      <w:r>
        <w:rPr>
          <w:rFonts w:ascii="Arial" w:cs="Arial" w:eastAsia="Arial" w:hAnsi="Arial"/>
          <w:sz w:val="17"/>
          <w:szCs w:val="17"/>
          <w:color w:val="auto"/>
        </w:rPr>
        <w:t>The Company was originally incorporated as a Cayman Islands exempted company on July 3, 2020 as a special purpose acquisition company under the name Dragoneer Growth Opportunities Corp. On February 2, 2021, CCCIS entered into the Business Combination Agreement with Dragoneer. In connection with the closing of the Business Combination (see Note 3), Dragoneer changed its jurisdiction of incorporation by deregistering as an exempted company in the Cayman Islands and continuing and domesticating as a Delaware corporation on July 30, 2021, upon which Dragoneer changed its name to CCC Intelligent Solutions Holdings Inc.</w:t>
      </w:r>
    </w:p>
    <w:p>
      <w:pPr>
        <w:spacing w:after="0" w:line="280"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3" w:lineRule="exact"/>
        <w:rPr>
          <w:rFonts w:ascii="Arial" w:cs="Arial" w:eastAsia="Arial" w:hAnsi="Arial"/>
          <w:sz w:val="18"/>
          <w:szCs w:val="18"/>
          <w:b w:val="1"/>
          <w:bCs w:val="1"/>
          <w:color w:val="auto"/>
        </w:rPr>
      </w:pPr>
    </w:p>
    <w:p>
      <w:pPr>
        <w:ind w:left="520" w:right="280"/>
        <w:spacing w:after="0" w:line="271" w:lineRule="auto"/>
        <w:rPr>
          <w:rFonts w:ascii="Arial" w:cs="Arial" w:eastAsia="Arial" w:hAnsi="Arial"/>
          <w:sz w:val="18"/>
          <w:szCs w:val="18"/>
          <w:b w:val="1"/>
          <w:bCs w:val="1"/>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condensed consolidated balance sheets as of March 31, 2022 and December 31, 2021, the condensed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of operations and comprehensive income (loss) for the three months ended March 31, 2022 and 2021, the condensed consolidated statements of mezzanine equity and stockholders’ equity for the three months ended March 31, 2022 and 2021, and the condensed consolidated statements of cash flows for the three months ended March 31, 2022 and 2021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59" w:lineRule="exact"/>
        <w:rPr>
          <w:rFonts w:ascii="Arial" w:cs="Arial" w:eastAsia="Arial" w:hAnsi="Arial"/>
          <w:sz w:val="18"/>
          <w:szCs w:val="18"/>
          <w:b w:val="1"/>
          <w:bCs w:val="1"/>
          <w:color w:val="auto"/>
        </w:rPr>
      </w:pPr>
    </w:p>
    <w:p>
      <w:pPr>
        <w:ind w:left="520" w:right="400"/>
        <w:spacing w:after="0" w:line="253" w:lineRule="auto"/>
        <w:rPr>
          <w:rFonts w:ascii="Arial" w:cs="Arial" w:eastAsia="Arial" w:hAnsi="Arial"/>
          <w:sz w:val="18"/>
          <w:szCs w:val="18"/>
          <w:b w:val="1"/>
          <w:bCs w:val="1"/>
          <w:color w:val="auto"/>
        </w:rPr>
      </w:pPr>
      <w:r>
        <w:rPr>
          <w:rFonts w:ascii="Arial" w:cs="Arial" w:eastAsia="Arial" w:hAnsi="Arial"/>
          <w:sz w:val="17"/>
          <w:szCs w:val="17"/>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179" w:lineRule="exact"/>
        <w:rPr>
          <w:rFonts w:ascii="Arial" w:cs="Arial" w:eastAsia="Arial" w:hAnsi="Arial"/>
          <w:sz w:val="18"/>
          <w:szCs w:val="18"/>
          <w:b w:val="1"/>
          <w:bCs w:val="1"/>
          <w:color w:val="auto"/>
        </w:rPr>
      </w:pPr>
    </w:p>
    <w:p>
      <w:pPr>
        <w:ind w:left="520"/>
        <w:spacing w:after="0" w:line="275" w:lineRule="auto"/>
        <w:rPr>
          <w:rFonts w:ascii="Arial" w:cs="Arial" w:eastAsia="Arial" w:hAnsi="Arial"/>
          <w:sz w:val="18"/>
          <w:szCs w:val="18"/>
          <w:b w:val="1"/>
          <w:bCs w:val="1"/>
          <w:color w:val="auto"/>
        </w:rPr>
      </w:pPr>
      <w:r>
        <w:rPr>
          <w:rFonts w:ascii="Arial" w:cs="Arial" w:eastAsia="Arial" w:hAnsi="Arial"/>
          <w:sz w:val="16"/>
          <w:szCs w:val="16"/>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2021.</w:t>
      </w:r>
    </w:p>
    <w:p>
      <w:pPr>
        <w:spacing w:after="0" w:line="161" w:lineRule="exact"/>
        <w:rPr>
          <w:rFonts w:ascii="Arial" w:cs="Arial" w:eastAsia="Arial" w:hAnsi="Arial"/>
          <w:sz w:val="18"/>
          <w:szCs w:val="18"/>
          <w:b w:val="1"/>
          <w:bCs w:val="1"/>
          <w:color w:val="auto"/>
        </w:rPr>
      </w:pPr>
    </w:p>
    <w:p>
      <w:pPr>
        <w:ind w:left="520" w:right="18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2021. There have been no material changes to the significant accounting policies during the three months ended March 31, 2022.</w:t>
      </w:r>
    </w:p>
    <w:p>
      <w:pPr>
        <w:spacing w:after="0" w:line="75" w:lineRule="exact"/>
        <w:rPr>
          <w:rFonts w:ascii="Arial" w:cs="Arial" w:eastAsia="Arial" w:hAnsi="Arial"/>
          <w:sz w:val="18"/>
          <w:szCs w:val="18"/>
          <w:b w:val="1"/>
          <w:bCs w:val="1"/>
          <w:color w:val="auto"/>
        </w:rPr>
      </w:pPr>
    </w:p>
    <w:p>
      <w:pPr>
        <w:ind w:left="520" w:right="120"/>
        <w:spacing w:after="0" w:line="281" w:lineRule="auto"/>
        <w:rPr>
          <w:rFonts w:ascii="Arial" w:cs="Arial" w:eastAsia="Arial" w:hAnsi="Arial"/>
          <w:sz w:val="18"/>
          <w:szCs w:val="18"/>
          <w:b w:val="1"/>
          <w:bCs w:val="1"/>
          <w:color w:val="auto"/>
        </w:rPr>
      </w:pPr>
      <w:r>
        <w:rPr>
          <w:rFonts w:ascii="Arial" w:cs="Arial" w:eastAsia="Arial" w:hAnsi="Arial"/>
          <w:sz w:val="16"/>
          <w:szCs w:val="16"/>
          <w:b w:val="1"/>
          <w:bCs w:val="1"/>
          <w:color w:val="auto"/>
        </w:rPr>
        <w:t>Basis of Accounting</w:t>
      </w:r>
      <w:r>
        <w:rPr>
          <w:rFonts w:ascii="Arial" w:cs="Arial" w:eastAsia="Arial" w:hAnsi="Arial"/>
          <w:sz w:val="16"/>
          <w:szCs w:val="16"/>
          <w:color w:val="auto"/>
        </w:rPr>
        <w:t>—The accompanying condensed consolidated financial statements are prepared in accordance with GAAP and include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of the Company and its wholly-owned subsidiaries and majority-owned subsidiaries. All intercompany balances and transactions have been eliminated in consolidation. The condensed consolidated financial statements include 100% of the accounts of wholly-owned and majority-owned subsidiaries and the ownership interest of the minority investor is recorded as a non-controlling interest in a subsidiary.</w:t>
      </w:r>
    </w:p>
    <w:p>
      <w:pPr>
        <w:spacing w:after="0" w:line="46" w:lineRule="exact"/>
        <w:rPr>
          <w:rFonts w:ascii="Arial" w:cs="Arial" w:eastAsia="Arial" w:hAnsi="Arial"/>
          <w:sz w:val="18"/>
          <w:szCs w:val="18"/>
          <w:b w:val="1"/>
          <w:bCs w:val="1"/>
          <w:color w:val="auto"/>
        </w:rPr>
      </w:pPr>
    </w:p>
    <w:p>
      <w:pPr>
        <w:ind w:left="520" w:right="60"/>
        <w:spacing w:after="0" w:line="246" w:lineRule="auto"/>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the condensed consolidated financial statements requires management to make estimates and assumptions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reported amounts, and the disclosures of contingent amounts in the Company’s condensed consolidated financial statements and the accompanying notes. Although the Company regularly assesses these estimates, actual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1" w:name="page12"/>
    <w:bookmarkEnd w:id="11"/>
    <w:p>
      <w:pPr>
        <w:spacing w:after="0" w:line="272" w:lineRule="auto"/>
        <w:rPr>
          <w:sz w:val="20"/>
          <w:szCs w:val="20"/>
          <w:color w:val="auto"/>
        </w:rPr>
      </w:pPr>
      <w:r>
        <w:rPr>
          <w:rFonts w:ascii="Arial" w:cs="Arial" w:eastAsia="Arial" w:hAnsi="Arial"/>
          <w:sz w:val="16"/>
          <w:szCs w:val="16"/>
          <w:color w:val="auto"/>
        </w:rPr>
        <w:t>results could differ from those estimates. Changes in estimates are recorded in the period in which they become known. The Company bases its estimates on historical experience and various other assumptions that it believes to be reasonable under the circumstances. Actual results could differ from management’s estimates if past experience or other assumptions are not substantially accurate. Significant estimates in these condensed consolidated financial statements include the estimation of contract transaction prices, the determination of the amortization period for contract assets, the valuation of goodwill and intangible assets, the valuation of the warrant liabilities, the estimates and assumptions associated with stock incentive plans, and the preliminary measurement of expected contingent consideration in connection with business acquisitions.</w:t>
      </w:r>
    </w:p>
    <w:p>
      <w:pPr>
        <w:spacing w:after="0" w:line="148"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policy follows guidance from Accounting Standards Codification (“ASC”) 606,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 from Contracts with Customers.</w:t>
      </w:r>
    </w:p>
    <w:p>
      <w:pPr>
        <w:spacing w:after="0" w:line="6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Company generates revenue from contracts that are generally billed either on a monthly subscription or transactional basis. Other revenue primarily consists of professional services revenue that is generally transaction-based (where a fee per transaction is charged). Revenues are recognized as control of these services is transferred to customers, in an amount that reflects the consideration the Company expects to be entitled to in exchange for those services.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determines revenue recognition based on the application of the following steps:</w:t>
      </w:r>
    </w:p>
    <w:p>
      <w:pPr>
        <w:spacing w:after="0" w:line="100" w:lineRule="exact"/>
        <w:rPr>
          <w:sz w:val="20"/>
          <w:szCs w:val="20"/>
          <w:color w:val="auto"/>
        </w:rPr>
      </w:pPr>
    </w:p>
    <w:p>
      <w:pPr>
        <w:ind w:left="620" w:hanging="37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Identification of the contract, or contracts, with a customer</w:t>
      </w:r>
    </w:p>
    <w:p>
      <w:pPr>
        <w:spacing w:after="0" w:line="100" w:lineRule="exact"/>
        <w:rPr>
          <w:rFonts w:ascii="Arial" w:cs="Arial" w:eastAsia="Arial" w:hAnsi="Arial"/>
          <w:sz w:val="18"/>
          <w:szCs w:val="18"/>
          <w:color w:val="auto"/>
        </w:rPr>
      </w:pPr>
    </w:p>
    <w:p>
      <w:pPr>
        <w:ind w:left="620" w:hanging="37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Identification of the performance obligation(s) in the contract</w:t>
      </w:r>
    </w:p>
    <w:p>
      <w:pPr>
        <w:spacing w:after="0" w:line="100" w:lineRule="exact"/>
        <w:rPr>
          <w:rFonts w:ascii="Arial" w:cs="Arial" w:eastAsia="Arial" w:hAnsi="Arial"/>
          <w:sz w:val="18"/>
          <w:szCs w:val="18"/>
          <w:color w:val="auto"/>
        </w:rPr>
      </w:pPr>
    </w:p>
    <w:p>
      <w:pPr>
        <w:ind w:left="620" w:hanging="37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Determination of the transaction price</w:t>
      </w:r>
    </w:p>
    <w:p>
      <w:pPr>
        <w:spacing w:after="0" w:line="100" w:lineRule="exact"/>
        <w:rPr>
          <w:rFonts w:ascii="Arial" w:cs="Arial" w:eastAsia="Arial" w:hAnsi="Arial"/>
          <w:sz w:val="18"/>
          <w:szCs w:val="18"/>
          <w:color w:val="auto"/>
        </w:rPr>
      </w:pPr>
    </w:p>
    <w:p>
      <w:pPr>
        <w:ind w:left="620" w:hanging="37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00" w:lineRule="exact"/>
        <w:rPr>
          <w:rFonts w:ascii="Arial" w:cs="Arial" w:eastAsia="Arial" w:hAnsi="Arial"/>
          <w:sz w:val="18"/>
          <w:szCs w:val="18"/>
          <w:color w:val="auto"/>
        </w:rPr>
      </w:pPr>
    </w:p>
    <w:p>
      <w:pPr>
        <w:ind w:left="620" w:hanging="37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Recognition of revenue when, or as a performance obligation is satisfied</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i w:val="1"/>
          <w:iCs w:val="1"/>
          <w:color w:val="auto"/>
        </w:rPr>
        <w:t>Software Subscription Revenues</w:t>
      </w:r>
      <w:r>
        <w:rPr>
          <w:rFonts w:ascii="Arial" w:cs="Arial" w:eastAsia="Arial" w:hAnsi="Arial"/>
          <w:sz w:val="18"/>
          <w:szCs w:val="18"/>
          <w:color w:val="auto"/>
        </w:rPr>
        <w:t>—Software services are hosted and provide customers with the right to use the hosted software over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without taking possession of the software and are generally billed on either a monthly subscription or transactional basis. Revenues related to services billed on a subscription basis are recognized ratably over the contract period as this is the time period over which services are transferred to the customer, generally between three and five years.</w:t>
      </w:r>
    </w:p>
    <w:p>
      <w:pPr>
        <w:spacing w:after="0" w:line="8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Revenues from subscription services represent a stand-ready obligation to provide access to the Company’s platform. As each day of providing services is substantially the same and the customer simultaneously receives and consumes the benefits as access is provided, subscription arrangements include a series of distinct services. The Company may provide certain of its customers with implementation activities such as basic setup, installation and initial training that the Company must undertake to fulfill the contract. These are considered fulfillment activities that do not transfer the service to the customer.</w:t>
      </w:r>
    </w:p>
    <w:p>
      <w:pPr>
        <w:spacing w:after="0" w:line="8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For contracts with fixed and variable consideration, to the extent that customers’ usage exceeds the committed contracted amounts under their subscriptions, they are charged for their incremental usage. For such overage fees, the Company includes an estimate of the amount it expects to receive for the total transaction price if it is probable that a significant reversal of cumulative revenue recognized will not occur. Revenue recognized from overage fees was not material during the three months ended March 31, 2022 and 2021. When customers’ usage falls below the committed contracted amounts, the customer does not receive any credits or refunds for the shortfall.</w:t>
      </w:r>
    </w:p>
    <w:p>
      <w:pPr>
        <w:spacing w:after="0" w:line="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contracts where fees are solely based on transaction volume, the amount invoiced corresponds directly with the value provided to the customer, and revenue is recognized when invoiced using the as-invoiced practical expedient.</w:t>
      </w:r>
    </w:p>
    <w:p>
      <w:pPr>
        <w:spacing w:after="0" w:line="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—Other revenues are recognized over time as the services are performed and consist of professional services and other non-software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Other revenues are generally invoiced monthly in arrears.</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Revenues related to such services that are billed on a transactional basis are recognized when the transaction for the related service occurs. Transaction revenue is primarily comprised of fees for professional services applied to the volume of transactions. These are typically based on a per-unit rate and are invoiced for the same period in which the transactions were processed and as the performance obligation is satisfied. For contracts with transaction fees, the amount invoiced corresponds directly with the value provided to the customer, and revenue is recognized when invoiced using the as-invoiced practical expedient.</w:t>
      </w:r>
    </w:p>
    <w:p>
      <w:pPr>
        <w:spacing w:after="0" w:line="8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Contracts with Multiple Performance Obligations</w:t>
      </w:r>
      <w:r>
        <w:rPr>
          <w:rFonts w:ascii="Arial" w:cs="Arial" w:eastAsia="Arial" w:hAnsi="Arial"/>
          <w:sz w:val="18"/>
          <w:szCs w:val="18"/>
          <w:color w:val="auto"/>
        </w:rPr>
        <w:t>—The Company’s contracts with customers can include access to different software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CCC workflow, estimating, valuation and analytics, each of which is its own performance obligation. These additional services are either sold on a standalone basis or could be used on their own with readily available resources. For these contracts, the Company accounts for individual performance obligations separately, if they are distinct. The transaction price is allocated to the separate performance obligations on a relative standalone selling price basis. The standalone selling price for distinct performance obligations is generally based on directly observable pricing. In instances where</w:t>
      </w:r>
    </w:p>
    <w:p>
      <w:pPr>
        <w:spacing w:after="0" w:line="19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51435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00"/>
          </w:cols>
          <w:pgMar w:left="840" w:top="432" w:right="359" w:bottom="1440" w:gutter="0" w:footer="0" w:header="0"/>
        </w:sectPr>
      </w:pPr>
    </w:p>
    <w:bookmarkStart w:id="12" w:name="page13"/>
    <w:bookmarkEnd w:id="12"/>
    <w:p>
      <w:pPr>
        <w:ind w:right="220"/>
        <w:spacing w:after="0" w:line="255" w:lineRule="auto"/>
        <w:rPr>
          <w:sz w:val="20"/>
          <w:szCs w:val="20"/>
          <w:color w:val="auto"/>
        </w:rPr>
      </w:pPr>
      <w:r>
        <w:rPr>
          <w:rFonts w:ascii="Arial" w:cs="Arial" w:eastAsia="Arial" w:hAnsi="Arial"/>
          <w:sz w:val="18"/>
          <w:szCs w:val="18"/>
          <w:color w:val="auto"/>
        </w:rPr>
        <w:t>standalone selling price is not directly observable, the Company determines standalone selling price based on overall pricing objectives, which take into consideration observable data, market conditions and entity-specific factors.</w:t>
      </w:r>
    </w:p>
    <w:p>
      <w:pPr>
        <w:spacing w:after="0" w:line="68"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—The Company provides disaggregation of revenue based on type of service as it believes these categories best depict</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nature, amount, timing and uncertainty of revenue and cash flows are affected by economic factors.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type of service for the three months ended March 31, 2022 and 2021 (in thousands):</w:t>
      </w:r>
    </w:p>
    <w:p>
      <w:pPr>
        <w:spacing w:after="0" w:line="176"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For the Three Months</w:t>
      </w:r>
    </w:p>
    <w:p>
      <w:pPr>
        <w:jc w:val="center"/>
        <w:ind w:left="5160"/>
        <w:spacing w:after="0" w:line="232" w:lineRule="auto"/>
        <w:rPr>
          <w:sz w:val="20"/>
          <w:szCs w:val="20"/>
          <w:color w:val="auto"/>
        </w:rPr>
      </w:pPr>
      <w:r>
        <w:rPr>
          <w:rFonts w:ascii="Arial" w:cs="Arial" w:eastAsia="Arial" w:hAnsi="Arial"/>
          <w:sz w:val="18"/>
          <w:szCs w:val="18"/>
          <w:b w:val="1"/>
          <w:bCs w:val="1"/>
          <w:color w:val="auto"/>
        </w:rPr>
        <w:t>Ended</w:t>
      </w:r>
    </w:p>
    <w:p>
      <w:pPr>
        <w:ind w:left="7300"/>
        <w:spacing w:after="0" w:line="230" w:lineRule="auto"/>
        <w:rPr>
          <w:sz w:val="20"/>
          <w:szCs w:val="20"/>
          <w:color w:val="auto"/>
        </w:rPr>
      </w:pPr>
      <w:r>
        <w:rPr>
          <w:rFonts w:ascii="Arial" w:cs="Arial" w:eastAsia="Arial" w:hAnsi="Arial"/>
          <w:sz w:val="18"/>
          <w:szCs w:val="18"/>
          <w:b w:val="1"/>
          <w:bCs w:val="1"/>
          <w:color w:val="auto"/>
        </w:rPr>
        <w:t>March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1880" w:type="dxa"/>
            <w:vAlign w:val="bottom"/>
            <w:tcBorders>
              <w:top w:val="single" w:sz="8" w:color="auto"/>
              <w:bottom w:val="single" w:sz="8" w:color="auto"/>
            </w:tcBorders>
          </w:tcPr>
          <w:p>
            <w:pPr>
              <w:jc w:val="right"/>
              <w:ind w:right="211"/>
              <w:spacing w:after="0" w:line="194" w:lineRule="exact"/>
              <w:rPr>
                <w:sz w:val="20"/>
                <w:szCs w:val="20"/>
                <w:color w:val="auto"/>
              </w:rPr>
            </w:pPr>
            <w:r>
              <w:rPr>
                <w:rFonts w:ascii="Arial" w:cs="Arial" w:eastAsia="Arial" w:hAnsi="Arial"/>
                <w:sz w:val="18"/>
                <w:szCs w:val="18"/>
                <w:b w:val="1"/>
                <w:bCs w:val="1"/>
                <w:color w:val="auto"/>
              </w:rPr>
              <w:t>2022</w:t>
            </w:r>
          </w:p>
        </w:tc>
        <w:tc>
          <w:tcPr>
            <w:tcW w:w="9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tcPr>
          <w:p>
            <w:pPr>
              <w:jc w:val="right"/>
              <w:ind w:right="1131"/>
              <w:spacing w:after="0" w:line="194"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6"/>
                <w:szCs w:val="16"/>
                <w:color w:val="auto"/>
              </w:rPr>
            </w:pPr>
          </w:p>
        </w:tc>
      </w:tr>
      <w:tr>
        <w:trPr>
          <w:trHeight w:val="194"/>
        </w:trPr>
        <w:tc>
          <w:tcPr>
            <w:tcW w:w="466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Software subscriptions</w:t>
            </w:r>
          </w:p>
        </w:tc>
        <w:tc>
          <w:tcPr>
            <w:tcW w:w="1880" w:type="dxa"/>
            <w:vAlign w:val="bottom"/>
            <w:shd w:val="clear" w:color="auto" w:fill="CFF0FC"/>
          </w:tcPr>
          <w:p>
            <w:pPr>
              <w:jc w:val="right"/>
              <w:ind w:right="1691"/>
              <w:spacing w:after="0" w:line="194"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179,818</w:t>
            </w:r>
          </w:p>
        </w:tc>
        <w:tc>
          <w:tcPr>
            <w:tcW w:w="38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51"/>
              <w:spacing w:after="0" w:line="194" w:lineRule="exact"/>
              <w:rPr>
                <w:sz w:val="20"/>
                <w:szCs w:val="20"/>
                <w:color w:val="auto"/>
              </w:rPr>
            </w:pPr>
            <w:r>
              <w:rPr>
                <w:rFonts w:ascii="Arial" w:cs="Arial" w:eastAsia="Arial" w:hAnsi="Arial"/>
                <w:sz w:val="18"/>
                <w:szCs w:val="18"/>
                <w:color w:val="auto"/>
                <w:w w:val="99"/>
              </w:rPr>
              <w:t>$</w:t>
            </w:r>
          </w:p>
        </w:tc>
        <w:tc>
          <w:tcPr>
            <w:tcW w:w="21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152,026</w:t>
            </w:r>
          </w:p>
        </w:tc>
        <w:tc>
          <w:tcPr>
            <w:tcW w:w="60" w:type="dxa"/>
            <w:vAlign w:val="bottom"/>
            <w:shd w:val="clear" w:color="auto" w:fill="CFF0FC"/>
          </w:tcPr>
          <w:p>
            <w:pPr>
              <w:spacing w:after="0"/>
              <w:rPr>
                <w:sz w:val="16"/>
                <w:szCs w:val="16"/>
                <w:color w:val="auto"/>
              </w:rPr>
            </w:pPr>
          </w:p>
        </w:tc>
      </w:tr>
      <w:tr>
        <w:trPr>
          <w:trHeight w:val="200"/>
        </w:trPr>
        <w:tc>
          <w:tcPr>
            <w:tcW w:w="4660" w:type="dxa"/>
            <w:vAlign w:val="bottom"/>
          </w:tcPr>
          <w:p>
            <w:pPr>
              <w:ind w:left="20"/>
              <w:spacing w:after="0" w:line="201" w:lineRule="exact"/>
              <w:rPr>
                <w:sz w:val="20"/>
                <w:szCs w:val="20"/>
                <w:color w:val="auto"/>
              </w:rPr>
            </w:pPr>
            <w:r>
              <w:rPr>
                <w:rFonts w:ascii="Arial" w:cs="Arial" w:eastAsia="Arial" w:hAnsi="Arial"/>
                <w:sz w:val="18"/>
                <w:szCs w:val="18"/>
                <w:color w:val="auto"/>
              </w:rPr>
              <w:t>Other</w:t>
            </w:r>
          </w:p>
        </w:tc>
        <w:tc>
          <w:tcPr>
            <w:tcW w:w="1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7,005</w:t>
            </w:r>
          </w:p>
        </w:tc>
        <w:tc>
          <w:tcPr>
            <w:tcW w:w="3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5,763</w:t>
            </w:r>
          </w:p>
        </w:tc>
        <w:tc>
          <w:tcPr>
            <w:tcW w:w="60" w:type="dxa"/>
            <w:vAlign w:val="bottom"/>
          </w:tcPr>
          <w:p>
            <w:pPr>
              <w:spacing w:after="0"/>
              <w:rPr>
                <w:sz w:val="17"/>
                <w:szCs w:val="17"/>
                <w:color w:val="auto"/>
              </w:rPr>
            </w:pPr>
          </w:p>
        </w:tc>
      </w:tr>
      <w:tr>
        <w:trPr>
          <w:trHeight w:val="234"/>
        </w:trPr>
        <w:tc>
          <w:tcPr>
            <w:tcW w:w="4660" w:type="dxa"/>
            <w:vAlign w:val="bottom"/>
            <w:tcBorders>
              <w:bottom w:val="single" w:sz="8" w:color="CFF0FC"/>
            </w:tcBorders>
            <w:shd w:val="clear" w:color="auto" w:fill="CFF0FC"/>
          </w:tcPr>
          <w:p>
            <w:pPr>
              <w:ind w:left="200"/>
              <w:spacing w:after="0" w:line="181" w:lineRule="exact"/>
              <w:rPr>
                <w:sz w:val="20"/>
                <w:szCs w:val="20"/>
                <w:color w:val="auto"/>
              </w:rPr>
            </w:pPr>
            <w:r>
              <w:rPr>
                <w:rFonts w:ascii="Arial" w:cs="Arial" w:eastAsia="Arial" w:hAnsi="Arial"/>
                <w:sz w:val="18"/>
                <w:szCs w:val="18"/>
                <w:color w:val="auto"/>
              </w:rPr>
              <w:t>Total revenues</w:t>
            </w:r>
          </w:p>
        </w:tc>
        <w:tc>
          <w:tcPr>
            <w:tcW w:w="1880" w:type="dxa"/>
            <w:vAlign w:val="bottom"/>
            <w:tcBorders>
              <w:bottom w:val="single" w:sz="8" w:color="auto"/>
            </w:tcBorders>
            <w:shd w:val="clear" w:color="auto" w:fill="CFF0FC"/>
          </w:tcPr>
          <w:p>
            <w:pPr>
              <w:jc w:val="right"/>
              <w:ind w:right="1691"/>
              <w:spacing w:after="0" w:line="181"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186,823</w:t>
            </w:r>
          </w:p>
        </w:tc>
        <w:tc>
          <w:tcPr>
            <w:tcW w:w="3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51"/>
              <w:spacing w:after="0" w:line="181" w:lineRule="exact"/>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157,789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-24765</wp:posOffset>
            </wp:positionV>
            <wp:extent cx="425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-7620</wp:posOffset>
            </wp:positionV>
            <wp:extent cx="425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-24765</wp:posOffset>
            </wp:positionV>
            <wp:extent cx="425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-7620</wp:posOffset>
            </wp:positionV>
            <wp:extent cx="425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Transaction Price Allocated to the Remaining Performance Obligations</w:t>
      </w:r>
      <w:r>
        <w:rPr>
          <w:rFonts w:ascii="Arial" w:cs="Arial" w:eastAsia="Arial" w:hAnsi="Arial"/>
          <w:sz w:val="17"/>
          <w:szCs w:val="17"/>
          <w:color w:val="auto"/>
        </w:rPr>
        <w:t>—Remaining performance obligations represent contracted revenue that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yet been recognized, which includes deferred revenue and amounts that will be invoiced and recognized as revenue in future periods. As of March 31, 2022, approximately $1,327 million of revenue is expected to be recognized from remaining performance obligations in the amount of approximately $525 million during the following twelve months, and approximately $802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7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i w:val="1"/>
          <w:iCs w:val="1"/>
          <w:color w:val="auto"/>
        </w:rPr>
        <w:t>Contract Liabilities</w:t>
      </w:r>
      <w:r>
        <w:rPr>
          <w:rFonts w:ascii="Arial" w:cs="Arial" w:eastAsia="Arial" w:hAnsi="Arial"/>
          <w:sz w:val="18"/>
          <w:szCs w:val="18"/>
          <w:color w:val="auto"/>
        </w:rPr>
        <w:t>—Contract liabilities consist of deferred revenue and include customer billings in advance of revenues being recognized from</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contracts and professional services. Deferred revenue that is expected to be recognized during the succeeding twelve-month period is recorded as current, and the remaining portion is recorded as noncurrent and included within other liabilities on the condensed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recognized for the three months ended March 31, 2022 from amounts in deferred revenue as of December 31, 2021 was $29.7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recognized for the three months ended March 31, 2021 from amounts in deferred revenue as of December 31, 2020 was $25.0 million.</w:t>
      </w:r>
    </w:p>
    <w:p>
      <w:pPr>
        <w:spacing w:after="0" w:line="10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i w:val="1"/>
          <w:iCs w:val="1"/>
          <w:color w:val="auto"/>
        </w:rPr>
        <w:t>Costs to Obtain and Fulfill the Contract</w:t>
      </w:r>
      <w:r>
        <w:rPr>
          <w:rFonts w:ascii="Arial" w:cs="Arial" w:eastAsia="Arial" w:hAnsi="Arial"/>
          <w:sz w:val="18"/>
          <w:szCs w:val="18"/>
          <w:color w:val="auto"/>
        </w:rPr>
        <w:t>—The Company defers costs that are considered to be incremental and recoverable costs of obtaining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with a customer, including sales commissions. Costs to fulfill contracts are capitalized when such costs are direct and related to implementation activities for hosted software solutions. Capitalized costs to obtain a contract and costs to fulfill a contract are generally amortized over a period between three and five years, which represents the expected period of benefit of these costs and corresponds to the contract period. In instances where the contract term is significantly less than three years, costs to fulfill are amortized over the contract term which the Company believes best reflects the period of benefit of these costs.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color w:val="auto"/>
        </w:rPr>
        <w:t>Stock-Based Compensation</w:t>
      </w:r>
      <w:r>
        <w:rPr>
          <w:rFonts w:ascii="Arial" w:cs="Arial" w:eastAsia="Arial" w:hAnsi="Arial"/>
          <w:sz w:val="17"/>
          <w:szCs w:val="17"/>
          <w:color w:val="auto"/>
        </w:rPr>
        <w:t>—The Company’s stock-based compensation plans are described in Note 17. The Company accounts for stock-based</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awards based on the grant date fair value. The incremental fair value of modifications to stock-based payment awards is estimated at the date of modification. Stock-based payment awards that are settled in cash are accounted for as liabilities. The Company recognizes stock-based compensation expense for only the portion of awards expected to vest, based on an estimated forfeiture rate.</w:t>
      </w:r>
    </w:p>
    <w:p>
      <w:pPr>
        <w:spacing w:after="0" w:line="6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Company recognizes stock-based compensation expense for time-based awards on a straight-line basis over the requisite service period, which is generally the vesting period of the respective awards. Stock-based compensation expense for performance-based awards with a market condition is not recognized until the performance condition is probable of occurring.</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 of restricted stock units with only a time-based vesting component or a performance-based vesting component is determined using the quoted price of our common stock on the date of grant.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Company’s stock options with only a time-based component is estimated using the Black-Scholes option pricing model.</w:t>
      </w:r>
    </w:p>
    <w:p>
      <w:pPr>
        <w:spacing w:after="0" w:line="11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fair value of the Company’s performance-based awards with a market condition is estimated using a Monte Carlo simulation model. The assumptions utilized under these methods require judgments and estimates. Changes in these inputs and assumptions could affect the measurement of the estimated fair value of the related compensation expense of these stock-based payment awards.</w:t>
      </w:r>
    </w:p>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51435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840" w:top="432" w:right="339" w:bottom="1440" w:gutter="0" w:footer="0" w:header="0"/>
        </w:sectPr>
      </w:pPr>
    </w:p>
    <w:bookmarkStart w:id="13" w:name="page14"/>
    <w:bookmarkEnd w:id="13"/>
    <w:p>
      <w:pPr>
        <w:ind w:left="513" w:right="160"/>
        <w:spacing w:after="0" w:line="243" w:lineRule="auto"/>
        <w:rPr>
          <w:sz w:val="20"/>
          <w:szCs w:val="20"/>
          <w:color w:val="auto"/>
        </w:rPr>
      </w:pPr>
      <w:r>
        <w:rPr>
          <w:rFonts w:ascii="Arial" w:cs="Arial" w:eastAsia="Arial" w:hAnsi="Arial"/>
          <w:sz w:val="18"/>
          <w:szCs w:val="18"/>
          <w:color w:val="auto"/>
        </w:rPr>
        <w:t>Stock-based compensation expense related to purchase rights issued under the 2021 Employee Stock Purchase Plan ("ESPP") is based on the Black-Scholes option-pricing model fair value of the estimated number of awards as of the beginning of the offering period. Stock-based compensation expense is recognized using the straight-line method over the offering period.</w:t>
      </w:r>
    </w:p>
    <w:p>
      <w:pPr>
        <w:spacing w:after="0" w:line="75" w:lineRule="exact"/>
        <w:rPr>
          <w:sz w:val="20"/>
          <w:szCs w:val="20"/>
          <w:color w:val="auto"/>
        </w:rPr>
      </w:pPr>
    </w:p>
    <w:p>
      <w:pPr>
        <w:ind w:left="513" w:right="60"/>
        <w:spacing w:after="0" w:line="253" w:lineRule="auto"/>
        <w:rPr>
          <w:sz w:val="20"/>
          <w:szCs w:val="20"/>
          <w:color w:val="auto"/>
        </w:rPr>
      </w:pPr>
      <w:r>
        <w:rPr>
          <w:rFonts w:ascii="Arial" w:cs="Arial" w:eastAsia="Arial" w:hAnsi="Arial"/>
          <w:sz w:val="17"/>
          <w:szCs w:val="17"/>
          <w:b w:val="1"/>
          <w:bCs w:val="1"/>
          <w:color w:val="auto"/>
        </w:rPr>
        <w:t>Goodwill and Intangible Assets</w:t>
      </w:r>
      <w:r>
        <w:rPr>
          <w:rFonts w:ascii="Arial" w:cs="Arial" w:eastAsia="Arial" w:hAnsi="Arial"/>
          <w:sz w:val="17"/>
          <w:szCs w:val="17"/>
          <w:color w:val="auto"/>
        </w:rPr>
        <w:t>—Goodwill and intangible assets deemed to have indefinite lives are not amortized, but are subjected to an annual</w:t>
      </w:r>
      <w:r>
        <w:rPr>
          <w:rFonts w:ascii="Arial" w:cs="Arial" w:eastAsia="Arial" w:hAnsi="Arial"/>
          <w:sz w:val="17"/>
          <w:szCs w:val="17"/>
          <w:b w:val="1"/>
          <w:bCs w:val="1"/>
          <w:color w:val="auto"/>
        </w:rPr>
        <w:t xml:space="preserve"> </w:t>
      </w:r>
      <w:r>
        <w:rPr>
          <w:rFonts w:ascii="Arial" w:cs="Arial" w:eastAsia="Arial" w:hAnsi="Arial"/>
          <w:sz w:val="17"/>
          <w:szCs w:val="17"/>
          <w:color w:val="auto"/>
        </w:rPr>
        <w:t>impairment test as of September 30 of each fiscal year, or more frequently if events or changes in circumstances indicate that the carrying value may not be recoverable. Testing goodwill and intangible assets for impairment involves comparing the fair value of the reporting unit or intangible asset to its carrying value. If the carrying amount of a reporting unit or intangible asset exceeds its fair value, an impairment loss is recognized in an amount equal to the excess, up to the carrying value of the goodwill or intangible asset. There were no events or changes in circumstances that indicated the carrying value may not be recoverable and no impairment charges related to goodwill or indefinite-lived intangible assets were recognized for the three months ended March 31, 2022 and 2021.</w:t>
      </w:r>
    </w:p>
    <w:p>
      <w:pPr>
        <w:spacing w:after="0" w:line="67" w:lineRule="exact"/>
        <w:rPr>
          <w:sz w:val="20"/>
          <w:szCs w:val="20"/>
          <w:color w:val="auto"/>
        </w:rPr>
      </w:pPr>
    </w:p>
    <w:p>
      <w:pPr>
        <w:ind w:left="513" w:right="220"/>
        <w:spacing w:after="0" w:line="253" w:lineRule="auto"/>
        <w:rPr>
          <w:sz w:val="20"/>
          <w:szCs w:val="20"/>
          <w:color w:val="auto"/>
        </w:rPr>
      </w:pPr>
      <w:r>
        <w:rPr>
          <w:rFonts w:ascii="Arial" w:cs="Arial" w:eastAsia="Arial" w:hAnsi="Arial"/>
          <w:sz w:val="17"/>
          <w:szCs w:val="17"/>
          <w:b w:val="1"/>
          <w:bCs w:val="1"/>
          <w:color w:val="auto"/>
        </w:rPr>
        <w:t>Business Combinations</w:t>
      </w:r>
      <w:r>
        <w:rPr>
          <w:rFonts w:ascii="Arial" w:cs="Arial" w:eastAsia="Arial" w:hAnsi="Arial"/>
          <w:sz w:val="17"/>
          <w:szCs w:val="17"/>
          <w:color w:val="auto"/>
        </w:rPr>
        <w:t>—The Company allocates the purchase consideration of acquired companies to tangible and intangible assets acquired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assumed based on their estimated fair values at the acquisition date, with the excess recorded to goodwill. These estimates are inherently uncertain and subject to refinement. During the measurement period, which may be up to one year from the acquisition date, adjustments may be recorded to the fair value of these tangible and intangible assets acquired and liabilities assumed, including uncertain tax positions and tax-related valuation allowances, with the corresponding offset to goodwill. Upon the conclusion of the measurement period or final determination of the fair value of assets acquired or liabilities assumed, whichever comes first, any subsequent adjustments are recorded to the condensed consolidated statements of operations and comprehensive income (loss).</w:t>
      </w:r>
    </w:p>
    <w:p>
      <w:pPr>
        <w:spacing w:after="0" w:line="71" w:lineRule="exact"/>
        <w:rPr>
          <w:sz w:val="20"/>
          <w:szCs w:val="20"/>
          <w:color w:val="auto"/>
        </w:rPr>
      </w:pPr>
    </w:p>
    <w:p>
      <w:pPr>
        <w:ind w:left="513" w:right="240"/>
        <w:spacing w:after="0" w:line="243" w:lineRule="auto"/>
        <w:rPr>
          <w:sz w:val="20"/>
          <w:szCs w:val="20"/>
          <w:color w:val="auto"/>
        </w:rPr>
      </w:pPr>
      <w:r>
        <w:rPr>
          <w:rFonts w:ascii="Arial" w:cs="Arial" w:eastAsia="Arial" w:hAnsi="Arial"/>
          <w:sz w:val="18"/>
          <w:szCs w:val="18"/>
          <w:color w:val="auto"/>
        </w:rPr>
        <w:t>The Company estimates the fair value of contingent consideration related to business combinations on the date of acquisition (see Note 4). The fair value of the contingent consideration is remeasured each reporting period, with any change in the fair value recorded within the condensed consolidated statements of operations and comprehensive income (loss).</w:t>
      </w:r>
    </w:p>
    <w:p>
      <w:pPr>
        <w:spacing w:after="0" w:line="195" w:lineRule="exact"/>
        <w:rPr>
          <w:sz w:val="20"/>
          <w:szCs w:val="20"/>
          <w:color w:val="auto"/>
        </w:rPr>
      </w:pPr>
    </w:p>
    <w:p>
      <w:pPr>
        <w:ind w:left="513" w:right="80"/>
        <w:spacing w:after="0" w:line="254" w:lineRule="auto"/>
        <w:rPr>
          <w:sz w:val="20"/>
          <w:szCs w:val="20"/>
          <w:color w:val="auto"/>
        </w:rPr>
      </w:pPr>
      <w:r>
        <w:rPr>
          <w:rFonts w:ascii="Arial" w:cs="Arial" w:eastAsia="Arial" w:hAnsi="Arial"/>
          <w:sz w:val="17"/>
          <w:szCs w:val="17"/>
          <w:b w:val="1"/>
          <w:bCs w:val="1"/>
          <w:color w:val="auto"/>
        </w:rPr>
        <w:t>Recently Adopted Accounting Pronouncements</w:t>
      </w:r>
      <w:r>
        <w:rPr>
          <w:rFonts w:ascii="Arial" w:cs="Arial" w:eastAsia="Arial" w:hAnsi="Arial"/>
          <w:sz w:val="17"/>
          <w:szCs w:val="17"/>
          <w:color w:val="auto"/>
        </w:rPr>
        <w:t>—Effective January 1, 2022, the Company adopted ASU 2019-12,</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Income Taxes (Topic 740):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This ASU is intended to reduce the complexity of accounting for income taxes. Changes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of hybrid tax regimes, tax basis step-up in goodwill obtained in a transaction that is not a business combination, separate financial statements of legal entities not subject to tax, intra period tax allocation, ownership changes in investments, interim-period accounting for enacted changes in tax law, and year-to-date loss limitation in interim-period tax accounting. The adoption of ASU 2019-12 did not have a material impact on the Company's condensed consolidated financial statements.</w:t>
      </w:r>
    </w:p>
    <w:p>
      <w:pPr>
        <w:spacing w:after="0" w:line="68" w:lineRule="exact"/>
        <w:rPr>
          <w:sz w:val="20"/>
          <w:szCs w:val="20"/>
          <w:color w:val="auto"/>
        </w:rPr>
      </w:pPr>
    </w:p>
    <w:p>
      <w:pPr>
        <w:ind w:left="513" w:right="100"/>
        <w:spacing w:after="0" w:line="274" w:lineRule="auto"/>
        <w:rPr>
          <w:sz w:val="20"/>
          <w:szCs w:val="20"/>
          <w:color w:val="auto"/>
        </w:rPr>
      </w:pPr>
      <w:r>
        <w:rPr>
          <w:rFonts w:ascii="Arial" w:cs="Arial" w:eastAsia="Arial" w:hAnsi="Arial"/>
          <w:sz w:val="16"/>
          <w:szCs w:val="16"/>
          <w:b w:val="1"/>
          <w:bCs w:val="1"/>
          <w:color w:val="auto"/>
        </w:rPr>
        <w:t>Recently Issued Accounting Pronouncements</w:t>
      </w:r>
      <w:r>
        <w:rPr>
          <w:rFonts w:ascii="Arial" w:cs="Arial" w:eastAsia="Arial" w:hAnsi="Arial"/>
          <w:sz w:val="16"/>
          <w:szCs w:val="16"/>
          <w:color w:val="auto"/>
        </w:rPr>
        <w:t>—In June 2016, the FASB issued ASU 2016-13,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Financial Instruments — Credit Losses (Topic 326),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and subsequent amendments to the initial guidance: ASU 2018-19, ASU 2019-04, ASU</w:t>
      </w:r>
    </w:p>
    <w:p>
      <w:pPr>
        <w:spacing w:after="0" w:line="1" w:lineRule="exact"/>
        <w:rPr>
          <w:sz w:val="20"/>
          <w:szCs w:val="20"/>
          <w:color w:val="auto"/>
        </w:rPr>
      </w:pPr>
    </w:p>
    <w:p>
      <w:pPr>
        <w:ind w:left="513" w:right="180"/>
        <w:spacing w:after="0" w:line="250" w:lineRule="auto"/>
        <w:rPr>
          <w:sz w:val="20"/>
          <w:szCs w:val="20"/>
          <w:color w:val="auto"/>
        </w:rPr>
      </w:pPr>
      <w:r>
        <w:rPr>
          <w:rFonts w:ascii="Arial" w:cs="Arial" w:eastAsia="Arial" w:hAnsi="Arial"/>
          <w:sz w:val="17"/>
          <w:szCs w:val="17"/>
          <w:color w:val="auto"/>
        </w:rPr>
        <w:t>2019-05, and ASU 2020-03. The guidance amends the current accounting guidance and requires the measurements of all expected losses based on historical experience, current conditions and reasonable and supportable forecasts. The new guidance replaces the existing incurred loss impairment model with an expected credit loss model and requires a financial asset measured at amortized cost to be presented at the net amount expected to be collected. The guidance is effective for the Company on January 1, 2023 and early adoption is permitted. The Company is currently assessing the impact of this update on its condensed consolidated financial statements.</w:t>
      </w:r>
    </w:p>
    <w:p>
      <w:pPr>
        <w:spacing w:after="0" w:line="75" w:lineRule="exact"/>
        <w:rPr>
          <w:sz w:val="20"/>
          <w:szCs w:val="20"/>
          <w:color w:val="auto"/>
        </w:rPr>
      </w:pPr>
    </w:p>
    <w:p>
      <w:pPr>
        <w:ind w:left="513"/>
        <w:spacing w:after="0" w:line="25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and in January 2021 subsequently issued ASU 2021-01, which refines the scope of Topic 848. These ASUs provide optional expedients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exceptions for applying GAAP to contracts, hedging relationships, and other transactions affected by reference rate reform if certain criteria are met. Adoption of the expedients and exceptions is permitted upon issuance of ASU 2020-04 through December 31, 2022. The Company is currently assessing the impact of this update on its condensed consolidated financial statements.</w:t>
      </w:r>
    </w:p>
    <w:p>
      <w:pPr>
        <w:spacing w:after="0" w:line="280" w:lineRule="exact"/>
        <w:rPr>
          <w:sz w:val="20"/>
          <w:szCs w:val="20"/>
          <w:color w:val="auto"/>
        </w:rPr>
      </w:pPr>
    </w:p>
    <w:p>
      <w:pPr>
        <w:ind w:left="513" w:hanging="513"/>
        <w:spacing w:after="0"/>
        <w:tabs>
          <w:tab w:leader="none" w:pos="51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04" w:lineRule="exact"/>
        <w:rPr>
          <w:rFonts w:ascii="Arial" w:cs="Arial" w:eastAsia="Arial" w:hAnsi="Arial"/>
          <w:sz w:val="18"/>
          <w:szCs w:val="18"/>
          <w:b w:val="1"/>
          <w:bCs w:val="1"/>
          <w:color w:val="auto"/>
        </w:rPr>
      </w:pPr>
    </w:p>
    <w:p>
      <w:pPr>
        <w:jc w:val="both"/>
        <w:ind w:left="513" w:right="2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On July 30, 2021, the Company consummated the previously announced Business Combination pursuant to the terms of the Business Combination Agreement, dated as of February 2, 2021, as amended, by and among Dragoneer, Chariot Opportunity Merger Sub, Inc. (“Chariot Merger Sub”), a Delaware corporation, and CCCIS, a Delaware corporation.</w:t>
      </w:r>
    </w:p>
    <w:p>
      <w:pPr>
        <w:spacing w:after="0" w:line="79" w:lineRule="exact"/>
        <w:rPr>
          <w:rFonts w:ascii="Arial" w:cs="Arial" w:eastAsia="Arial" w:hAnsi="Arial"/>
          <w:sz w:val="18"/>
          <w:szCs w:val="18"/>
          <w:b w:val="1"/>
          <w:bCs w:val="1"/>
          <w:color w:val="auto"/>
        </w:rPr>
      </w:pPr>
    </w:p>
    <w:p>
      <w:pPr>
        <w:ind w:left="513" w:right="2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Immediately upon the consummation of the Business Combination and the Transactions, Chariot Merger Sub, a wholly-owned direct subsidiary of Dragoneer, merged with and into CCCIS, with CCCIS surviving the Business Combination as a wholly-owned direct subsidiary of Dragoneer (“Merger”). In connection with the Transactions, Dragoneer changed its name to “CCC Intelligent Solutions Holdings Inc.”</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432" w:right="339" w:bottom="1440" w:gutter="0" w:footer="0" w:header="0"/>
        </w:sectPr>
      </w:pPr>
    </w:p>
    <w:bookmarkStart w:id="14" w:name="page15"/>
    <w:bookmarkEnd w:id="14"/>
    <w:p>
      <w:pPr>
        <w:ind w:left="513" w:right="40"/>
        <w:spacing w:after="0" w:line="243" w:lineRule="auto"/>
        <w:rPr>
          <w:sz w:val="20"/>
          <w:szCs w:val="20"/>
          <w:color w:val="auto"/>
        </w:rPr>
      </w:pPr>
      <w:r>
        <w:rPr>
          <w:rFonts w:ascii="Arial" w:cs="Arial" w:eastAsia="Arial" w:hAnsi="Arial"/>
          <w:sz w:val="18"/>
          <w:szCs w:val="18"/>
          <w:color w:val="auto"/>
        </w:rPr>
        <w:t>The Merger was accounted for as a reverse recapitalization in accordance with GAAP. Under this method of accounting, Dragoneer was treated as the acquired company for accounting purposes and the Business Combination was treated as the equivalent of CCCIS issuing stock for the net assets of Dragoneer, accompanied by a recapitalization.</w:t>
      </w:r>
    </w:p>
    <w:p>
      <w:pPr>
        <w:spacing w:after="0" w:line="93" w:lineRule="exact"/>
        <w:rPr>
          <w:sz w:val="20"/>
          <w:szCs w:val="20"/>
          <w:color w:val="auto"/>
        </w:rPr>
      </w:pPr>
    </w:p>
    <w:p>
      <w:pPr>
        <w:ind w:left="513" w:right="140"/>
        <w:spacing w:after="0" w:line="243" w:lineRule="auto"/>
        <w:rPr>
          <w:sz w:val="20"/>
          <w:szCs w:val="20"/>
          <w:color w:val="auto"/>
        </w:rPr>
      </w:pPr>
      <w:r>
        <w:rPr>
          <w:rFonts w:ascii="Arial" w:cs="Arial" w:eastAsia="Arial" w:hAnsi="Arial"/>
          <w:sz w:val="18"/>
          <w:szCs w:val="18"/>
          <w:color w:val="auto"/>
        </w:rPr>
        <w:t>The net assets of Dragoneer are stated at historical cost, with no goodwill or other intangible assets recorded. Reported shares and earnings per share available to holders of CCCIS’s capital stock and equity awards prior to the Business Combination have been retroactively restated reflecting the exchange ratio of 1:340.5507 ("Exchange Ratio").</w:t>
      </w:r>
    </w:p>
    <w:p>
      <w:pPr>
        <w:spacing w:after="0" w:line="79" w:lineRule="exact"/>
        <w:rPr>
          <w:sz w:val="20"/>
          <w:szCs w:val="20"/>
          <w:color w:val="auto"/>
        </w:rPr>
      </w:pPr>
    </w:p>
    <w:p>
      <w:pPr>
        <w:ind w:left="513"/>
        <w:spacing w:after="0"/>
        <w:rPr>
          <w:sz w:val="20"/>
          <w:szCs w:val="20"/>
          <w:color w:val="auto"/>
        </w:rPr>
      </w:pPr>
      <w:r>
        <w:rPr>
          <w:rFonts w:ascii="Arial" w:cs="Arial" w:eastAsia="Arial" w:hAnsi="Arial"/>
          <w:sz w:val="18"/>
          <w:szCs w:val="18"/>
          <w:color w:val="auto"/>
        </w:rPr>
        <w:t>Pursuant to the Merger, at the Effective Time of the Merger (the “Effective Time”):</w:t>
      </w:r>
    </w:p>
    <w:p>
      <w:pPr>
        <w:spacing w:after="0" w:line="100" w:lineRule="exact"/>
        <w:rPr>
          <w:sz w:val="20"/>
          <w:szCs w:val="20"/>
          <w:color w:val="auto"/>
        </w:rPr>
      </w:pPr>
    </w:p>
    <w:p>
      <w:pPr>
        <w:jc w:val="both"/>
        <w:ind w:left="1253" w:right="160" w:hanging="370"/>
        <w:spacing w:after="0" w:line="243" w:lineRule="auto"/>
        <w:tabs>
          <w:tab w:leader="none" w:pos="1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 of CCCIS common stock that was issued and outstanding immediately prior to the Effective Time was automatically canceled and converted into the right to receive shares of the Company’s common stock based on the Exchange Ratio, rounded down to the nearest whole number of shares;</w:t>
      </w:r>
    </w:p>
    <w:p>
      <w:pPr>
        <w:spacing w:after="0" w:line="79" w:lineRule="exact"/>
        <w:rPr>
          <w:rFonts w:ascii="Arial" w:cs="Arial" w:eastAsia="Arial" w:hAnsi="Arial"/>
          <w:sz w:val="18"/>
          <w:szCs w:val="18"/>
          <w:color w:val="auto"/>
        </w:rPr>
      </w:pPr>
    </w:p>
    <w:p>
      <w:pPr>
        <w:ind w:left="1253" w:hanging="370"/>
        <w:spacing w:after="0" w:line="237" w:lineRule="auto"/>
        <w:tabs>
          <w:tab w:leader="none" w:pos="1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option to purchase shares of CCCIS common stock, whether vested or unvested, that was outstanding and unexercised as of immediately prior to the Effective Time was assumed by the Company and became an option (vested or unvested, as applicable) to purchase a number of shares of the Company’s common stock equal to the number of shares of CCCIS common stock subject to such option immediately prior to the Effective Time multiplied by the Exchange Ratio, rounded down to the nearest whole number of shares, at an exercise price equal to the exercise price per share of such option immediately prior to the Effective Time divided by the Exchange Ratio and rounded up to the nearest whole cent;</w:t>
      </w:r>
    </w:p>
    <w:p>
      <w:pPr>
        <w:spacing w:after="0" w:line="82" w:lineRule="exact"/>
        <w:rPr>
          <w:rFonts w:ascii="Arial" w:cs="Arial" w:eastAsia="Arial" w:hAnsi="Arial"/>
          <w:sz w:val="18"/>
          <w:szCs w:val="18"/>
          <w:color w:val="auto"/>
        </w:rPr>
      </w:pPr>
    </w:p>
    <w:p>
      <w:pPr>
        <w:ind w:left="1253" w:right="220" w:hanging="370"/>
        <w:spacing w:after="0" w:line="255" w:lineRule="auto"/>
        <w:tabs>
          <w:tab w:leader="none" w:pos="1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of Dragoneer’s redeemable Class A ordinary share and Class B ordinary share that was issued and outstanding immediately prior to the Effective Time was exchanged for an equal number of shares of the Company’s common stock.</w:t>
      </w:r>
    </w:p>
    <w:p>
      <w:pPr>
        <w:spacing w:after="0" w:line="68" w:lineRule="exact"/>
        <w:rPr>
          <w:sz w:val="20"/>
          <w:szCs w:val="20"/>
          <w:color w:val="auto"/>
        </w:rPr>
      </w:pPr>
    </w:p>
    <w:p>
      <w:pPr>
        <w:ind w:left="513" w:right="480"/>
        <w:spacing w:after="0" w:line="243"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with certain institutional investors (the “PIPE Investors”), pursuant to which the PIPE Investors purchased, immediately prior to the closing, an aggregate of 15,000,000 shares of the Company’s common stock at a purchase price of $10.00 per share.</w:t>
      </w:r>
    </w:p>
    <w:p>
      <w:pPr>
        <w:spacing w:after="0" w:line="79" w:lineRule="exact"/>
        <w:rPr>
          <w:sz w:val="20"/>
          <w:szCs w:val="20"/>
          <w:color w:val="auto"/>
        </w:rPr>
      </w:pPr>
    </w:p>
    <w:p>
      <w:pPr>
        <w:jc w:val="both"/>
        <w:ind w:left="513" w:right="320"/>
        <w:spacing w:after="0" w:line="265" w:lineRule="auto"/>
        <w:rPr>
          <w:sz w:val="20"/>
          <w:szCs w:val="20"/>
          <w:color w:val="auto"/>
        </w:rPr>
      </w:pPr>
      <w:r>
        <w:rPr>
          <w:rFonts w:ascii="Arial" w:cs="Arial" w:eastAsia="Arial" w:hAnsi="Arial"/>
          <w:sz w:val="17"/>
          <w:szCs w:val="17"/>
          <w:color w:val="auto"/>
        </w:rPr>
        <w:t>Prior to the closing, the Company entered into forward purchase agreements with Dragoneer Funding LLC and Willett Advisors LLC, pursuant to which the Company issued an aggregate of 17,500,000 forward purchase units, each consisting of one common share and one-fifth of one Public Warrant to purchase one common share for $11.50 per share, for a purchase price of $10.00 per unit.</w:t>
      </w:r>
    </w:p>
    <w:p>
      <w:pPr>
        <w:spacing w:after="0" w:line="60" w:lineRule="exact"/>
        <w:rPr>
          <w:sz w:val="20"/>
          <w:szCs w:val="20"/>
          <w:color w:val="auto"/>
        </w:rPr>
      </w:pPr>
    </w:p>
    <w:p>
      <w:pPr>
        <w:ind w:left="513" w:right="40"/>
        <w:spacing w:after="0" w:line="255" w:lineRule="auto"/>
        <w:rPr>
          <w:sz w:val="20"/>
          <w:szCs w:val="20"/>
          <w:color w:val="auto"/>
        </w:rPr>
      </w:pPr>
      <w:r>
        <w:rPr>
          <w:rFonts w:ascii="Arial" w:cs="Arial" w:eastAsia="Arial" w:hAnsi="Arial"/>
          <w:sz w:val="17"/>
          <w:szCs w:val="17"/>
          <w:color w:val="auto"/>
        </w:rPr>
        <w:t>Effective upon Closing, 8,625,000 shares held by Dragoneer Growth Opportunities Holdings (the “Sponsor Vesting Shares”) became non-transferable and subject to forfeiture on the tenth anniversary of Closing if neither of the following triggering events has occurred: (a) the share price of the Company’s common stock has been greater than or equal to $13.00 per share for any twenty trading days within any thirty consecutive trading day period beginning after Closing, or (b) a change in control as defined in the Business Combination Agreement. The Sponsor Vesting Shares do not meet the criteria to be classified as a liability and are presented within stockholders’ equity.</w:t>
      </w:r>
    </w:p>
    <w:p>
      <w:pPr>
        <w:spacing w:after="0" w:line="70" w:lineRule="exact"/>
        <w:rPr>
          <w:sz w:val="20"/>
          <w:szCs w:val="20"/>
          <w:color w:val="auto"/>
        </w:rPr>
      </w:pPr>
    </w:p>
    <w:p>
      <w:pPr>
        <w:ind w:left="513" w:right="20"/>
        <w:spacing w:after="0" w:line="236" w:lineRule="auto"/>
        <w:rPr>
          <w:sz w:val="20"/>
          <w:szCs w:val="20"/>
          <w:color w:val="auto"/>
        </w:rPr>
      </w:pPr>
      <w:r>
        <w:rPr>
          <w:rFonts w:ascii="Arial" w:cs="Arial" w:eastAsia="Arial" w:hAnsi="Arial"/>
          <w:sz w:val="18"/>
          <w:szCs w:val="18"/>
          <w:color w:val="auto"/>
        </w:rPr>
        <w:t>As part of the Business Combination, 15.0 million shares of the Company’s common stock (the “Company Earnout Shares”) shall be issued to CCCIS shareholders existing as of immediately prior to Closing and holders of vested and unvested equity awards of CCCIS as of the date of the Business Combination Agreement (subject to continued employment), following a triggering event (“CCC Triggering Event”). A CCC Triggering Event is defined as the earlier of (a) the first date on which the shares of the Company’s common stock have traded for greater than or equal to $15.00 per share for any twenty trading days within any thirty consecutive trading day period commencing after the closing or (b) a change in control as defined in the Business Combination Agreement. If a CCC Triggering Event does not occur within ten years after Closing, the CCC Earnout Shares are forfeited.</w:t>
      </w:r>
    </w:p>
    <w:p>
      <w:pPr>
        <w:spacing w:after="0" w:line="85" w:lineRule="exact"/>
        <w:rPr>
          <w:sz w:val="20"/>
          <w:szCs w:val="20"/>
          <w:color w:val="auto"/>
        </w:rPr>
      </w:pPr>
    </w:p>
    <w:p>
      <w:pPr>
        <w:ind w:left="513" w:right="660"/>
        <w:spacing w:after="0" w:line="255" w:lineRule="auto"/>
        <w:rPr>
          <w:sz w:val="20"/>
          <w:szCs w:val="20"/>
          <w:color w:val="auto"/>
        </w:rPr>
      </w:pPr>
      <w:r>
        <w:rPr>
          <w:rFonts w:ascii="Arial" w:cs="Arial" w:eastAsia="Arial" w:hAnsi="Arial"/>
          <w:sz w:val="18"/>
          <w:szCs w:val="18"/>
          <w:color w:val="auto"/>
        </w:rPr>
        <w:t>The Company Earnout Shares are not issued shares and are excluded from the Company's issued and outstanding shares within its condensed consolidated statements of mezzanine equity and stockholders' equity.</w:t>
      </w:r>
    </w:p>
    <w:p>
      <w:pPr>
        <w:spacing w:after="0" w:line="68" w:lineRule="exact"/>
        <w:rPr>
          <w:sz w:val="20"/>
          <w:szCs w:val="20"/>
          <w:color w:val="auto"/>
        </w:rPr>
      </w:pPr>
    </w:p>
    <w:p>
      <w:pPr>
        <w:ind w:left="513"/>
        <w:spacing w:after="0"/>
        <w:rPr>
          <w:sz w:val="20"/>
          <w:szCs w:val="20"/>
          <w:color w:val="auto"/>
        </w:rPr>
      </w:pPr>
      <w:r>
        <w:rPr>
          <w:rFonts w:ascii="Arial" w:cs="Arial" w:eastAsia="Arial" w:hAnsi="Arial"/>
          <w:sz w:val="17"/>
          <w:szCs w:val="17"/>
          <w:color w:val="auto"/>
        </w:rPr>
        <w:t>Upon Closing, the Company received net cash contributions of $763.3 million and had 603,170,380 shares of common stock outstanding.</w:t>
      </w:r>
    </w:p>
    <w:p>
      <w:pPr>
        <w:spacing w:after="0" w:line="321" w:lineRule="exact"/>
        <w:rPr>
          <w:sz w:val="20"/>
          <w:szCs w:val="20"/>
          <w:color w:val="auto"/>
        </w:rPr>
      </w:pPr>
    </w:p>
    <w:p>
      <w:pPr>
        <w:ind w:left="513" w:hanging="513"/>
        <w:spacing w:after="0"/>
        <w:tabs>
          <w:tab w:leader="none" w:pos="51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04" w:lineRule="exact"/>
        <w:rPr>
          <w:rFonts w:ascii="Arial" w:cs="Arial" w:eastAsia="Arial" w:hAnsi="Arial"/>
          <w:sz w:val="18"/>
          <w:szCs w:val="18"/>
          <w:b w:val="1"/>
          <w:bCs w:val="1"/>
          <w:color w:val="auto"/>
        </w:rPr>
      </w:pPr>
    </w:p>
    <w:p>
      <w:pPr>
        <w:jc w:val="both"/>
        <w:ind w:left="513"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February 8, 2022, the Company completed its acquisition of Safekeep, Inc. (“Safekeep”), a privately held company that leverages AI to streamline and improve subrogation management across auto, property, workers’ compensation and other insurance lines of business. Leveraging Safekeep’s AI-enabled subrogation solutions, the acquisition will broaden the Company’s portfolio of cloud-based solutions available to its insurance customers.</w:t>
      </w:r>
    </w:p>
    <w:p>
      <w:pPr>
        <w:spacing w:after="0" w:line="15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432" w:right="339" w:bottom="1440" w:gutter="0" w:footer="0" w:header="0"/>
        </w:sectPr>
      </w:pPr>
    </w:p>
    <w:bookmarkStart w:id="15" w:name="page16"/>
    <w:bookmarkEnd w:id="15"/>
    <w:p>
      <w:pPr>
        <w:jc w:val="both"/>
        <w:ind w:right="120"/>
        <w:spacing w:after="0" w:line="281" w:lineRule="auto"/>
        <w:rPr>
          <w:sz w:val="20"/>
          <w:szCs w:val="20"/>
          <w:color w:val="auto"/>
        </w:rPr>
      </w:pPr>
      <w:r>
        <w:rPr>
          <w:rFonts w:ascii="Arial" w:cs="Arial" w:eastAsia="Arial" w:hAnsi="Arial"/>
          <w:sz w:val="17"/>
          <w:szCs w:val="17"/>
          <w:color w:val="auto"/>
        </w:rPr>
        <w:t>In exchange for all the outstanding shares of Safekeep, the Company paid total cash consideration of $32.3 million upon closing. In accordance with the acquisition agreement, the Company placed $6.0 million in escrow for a general indemnity holdback to be paid to the sellers within 15 months of closing subject to reduction for certain indemnifications and other potential obligations of the selling shareholders.</w:t>
      </w:r>
    </w:p>
    <w:p>
      <w:pPr>
        <w:spacing w:after="0" w:line="61"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As additional consideration for the shares, the acquisition agreement includes a contingent earnout for additional cash consideration. The potential amount of the earnout is calculated as a multiple of revenue, above a defined floor, during the 12-month measurement period ending December 31, 2024 and is not to exceed $90.0 million. The preliminary fair value of the contingent consideration as of the acquisition date of $0.2 million was estimated using a Monte Carlo simulation model that relies on unobservable inputs, including management estimates and assumptions. Thus, the contingent earnout is a Level 3 measurement.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was $32.5 million, which consisted of the following (in thousands):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through closing</w:t>
            </w:r>
          </w:p>
        </w:tc>
        <w:tc>
          <w:tcPr>
            <w:tcW w:w="720" w:type="dxa"/>
            <w:vAlign w:val="bottom"/>
            <w:shd w:val="clear" w:color="auto" w:fill="CFF0FC"/>
          </w:tcPr>
          <w:p>
            <w:pPr>
              <w:jc w:val="right"/>
              <w:ind w:right="5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32,300</w:t>
            </w:r>
          </w:p>
        </w:tc>
        <w:tc>
          <w:tcPr>
            <w:tcW w:w="60" w:type="dxa"/>
            <w:vAlign w:val="bottom"/>
            <w:shd w:val="clear" w:color="auto" w:fill="CFF0FC"/>
          </w:tcPr>
          <w:p>
            <w:pPr>
              <w:spacing w:after="0"/>
              <w:rPr>
                <w:sz w:val="17"/>
                <w:szCs w:val="17"/>
                <w:color w:val="auto"/>
              </w:rPr>
            </w:pPr>
          </w:p>
        </w:tc>
      </w:tr>
      <w:tr>
        <w:trPr>
          <w:trHeight w:val="200"/>
        </w:trPr>
        <w:tc>
          <w:tcPr>
            <w:tcW w:w="8740" w:type="dxa"/>
            <w:vAlign w:val="bottom"/>
          </w:tcPr>
          <w:p>
            <w:pPr>
              <w:ind w:left="20"/>
              <w:spacing w:after="0" w:line="201" w:lineRule="exact"/>
              <w:rPr>
                <w:sz w:val="20"/>
                <w:szCs w:val="20"/>
                <w:color w:val="auto"/>
              </w:rPr>
            </w:pPr>
            <w:r>
              <w:rPr>
                <w:rFonts w:ascii="Arial" w:cs="Arial" w:eastAsia="Arial" w:hAnsi="Arial"/>
                <w:sz w:val="18"/>
                <w:szCs w:val="18"/>
                <w:color w:val="auto"/>
              </w:rPr>
              <w:t>Fair value of contingent earnout consideration</w:t>
            </w:r>
          </w:p>
        </w:tc>
        <w:tc>
          <w:tcPr>
            <w:tcW w:w="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200</w:t>
            </w:r>
          </w:p>
        </w:tc>
        <w:tc>
          <w:tcPr>
            <w:tcW w:w="60" w:type="dxa"/>
            <w:vAlign w:val="bottom"/>
          </w:tcPr>
          <w:p>
            <w:pPr>
              <w:spacing w:after="0"/>
              <w:rPr>
                <w:sz w:val="17"/>
                <w:szCs w:val="17"/>
                <w:color w:val="auto"/>
              </w:rPr>
            </w:pPr>
          </w:p>
        </w:tc>
      </w:tr>
      <w:tr>
        <w:trPr>
          <w:trHeight w:val="234"/>
        </w:trPr>
        <w:tc>
          <w:tcPr>
            <w:tcW w:w="874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8"/>
                <w:szCs w:val="18"/>
                <w:color w:val="auto"/>
              </w:rPr>
              <w:t>Total acquisition date fair value of the consideration transferred</w:t>
            </w:r>
          </w:p>
        </w:tc>
        <w:tc>
          <w:tcPr>
            <w:tcW w:w="720" w:type="dxa"/>
            <w:vAlign w:val="bottom"/>
            <w:tcBorders>
              <w:bottom w:val="single" w:sz="8" w:color="auto"/>
            </w:tcBorders>
            <w:shd w:val="clear" w:color="auto" w:fill="CFF0FC"/>
          </w:tcPr>
          <w:p>
            <w:pPr>
              <w:jc w:val="right"/>
              <w:ind w:right="531"/>
              <w:spacing w:after="0" w:line="181"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32,500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6765290</wp:posOffset>
            </wp:positionH>
            <wp:positionV relativeFrom="paragraph">
              <wp:posOffset>-24765</wp:posOffset>
            </wp:positionV>
            <wp:extent cx="425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-7620</wp:posOffset>
            </wp:positionV>
            <wp:extent cx="425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acquisition was accounted for as a business combination and reflects the application of acquisition accounting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total purchase consideration was allocated to the assets acquired and liabilities assumed based on their fair values as of the acquisition date with the excess purchase price assigned to goodwill. The goodwill was primarily attributable to the expected synergies from the combined service offerings and the value of the acquired workforce. The goodwill is not deductible for tax purposes.</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preliminary estimates of the fair values of the assets acquired, liabilities assumed and contingent consideration are based on information that was available at the date of the acquisition and the Company is continuing to evaluate the underlying inputs and assumptions used in its valuations. Accordingly, these preliminary estimates are subject to change during the measurement period, which is up to one year from the date of acquisition.</w:t>
      </w:r>
    </w:p>
    <w:p>
      <w:pPr>
        <w:spacing w:after="0" w:line="82"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The following table summarizes the preliminary allocation of the consideration to the fair values of the assets acquired and liabilities assumed at the acquisition date (in thousands):</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8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acquired:</w:t>
            </w:r>
          </w:p>
        </w:tc>
        <w:tc>
          <w:tcPr>
            <w:tcW w:w="7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0"/>
        </w:trPr>
        <w:tc>
          <w:tcPr>
            <w:tcW w:w="8720" w:type="dxa"/>
            <w:vAlign w:val="bottom"/>
          </w:tcPr>
          <w:p>
            <w:pPr>
              <w:ind w:left="200"/>
              <w:spacing w:after="0" w:line="201" w:lineRule="exact"/>
              <w:rPr>
                <w:sz w:val="20"/>
                <w:szCs w:val="20"/>
                <w:color w:val="auto"/>
              </w:rPr>
            </w:pPr>
            <w:r>
              <w:rPr>
                <w:rFonts w:ascii="Arial" w:cs="Arial" w:eastAsia="Arial" w:hAnsi="Arial"/>
                <w:sz w:val="18"/>
                <w:szCs w:val="18"/>
                <w:color w:val="auto"/>
              </w:rPr>
              <w:t>Current assets</w:t>
            </w:r>
          </w:p>
        </w:tc>
        <w:tc>
          <w:tcPr>
            <w:tcW w:w="740" w:type="dxa"/>
            <w:vAlign w:val="bottom"/>
          </w:tcPr>
          <w:p>
            <w:pPr>
              <w:jc w:val="right"/>
              <w:ind w:right="551"/>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150</w:t>
            </w:r>
          </w:p>
        </w:tc>
        <w:tc>
          <w:tcPr>
            <w:tcW w:w="60" w:type="dxa"/>
            <w:vAlign w:val="bottom"/>
          </w:tcPr>
          <w:p>
            <w:pPr>
              <w:spacing w:after="0"/>
              <w:rPr>
                <w:sz w:val="17"/>
                <w:szCs w:val="17"/>
                <w:color w:val="auto"/>
              </w:rPr>
            </w:pPr>
          </w:p>
        </w:tc>
      </w:tr>
      <w:tr>
        <w:trPr>
          <w:trHeight w:val="200"/>
        </w:trPr>
        <w:tc>
          <w:tcPr>
            <w:tcW w:w="872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Intangible asset - acquired technology</w:t>
            </w:r>
          </w:p>
        </w:tc>
        <w:tc>
          <w:tcPr>
            <w:tcW w:w="7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4,800</w:t>
            </w:r>
          </w:p>
        </w:tc>
        <w:tc>
          <w:tcPr>
            <w:tcW w:w="60" w:type="dxa"/>
            <w:vAlign w:val="bottom"/>
            <w:shd w:val="clear" w:color="auto" w:fill="CFF0FC"/>
          </w:tcPr>
          <w:p>
            <w:pPr>
              <w:spacing w:after="0"/>
              <w:rPr>
                <w:sz w:val="17"/>
                <w:szCs w:val="17"/>
                <w:color w:val="auto"/>
              </w:rPr>
            </w:pPr>
          </w:p>
        </w:tc>
      </w:tr>
      <w:tr>
        <w:trPr>
          <w:trHeight w:val="200"/>
        </w:trPr>
        <w:tc>
          <w:tcPr>
            <w:tcW w:w="8720" w:type="dxa"/>
            <w:vAlign w:val="bottom"/>
          </w:tcPr>
          <w:p>
            <w:pPr>
              <w:ind w:left="200"/>
              <w:spacing w:after="0" w:line="201" w:lineRule="exact"/>
              <w:rPr>
                <w:sz w:val="20"/>
                <w:szCs w:val="20"/>
                <w:color w:val="auto"/>
              </w:rPr>
            </w:pPr>
            <w:r>
              <w:rPr>
                <w:rFonts w:ascii="Arial" w:cs="Arial" w:eastAsia="Arial" w:hAnsi="Arial"/>
                <w:sz w:val="18"/>
                <w:szCs w:val="18"/>
                <w:color w:val="auto"/>
              </w:rPr>
              <w:t>Deferred tax assets</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314</w:t>
            </w:r>
          </w:p>
        </w:tc>
        <w:tc>
          <w:tcPr>
            <w:tcW w:w="60" w:type="dxa"/>
            <w:vAlign w:val="bottom"/>
          </w:tcPr>
          <w:p>
            <w:pPr>
              <w:spacing w:after="0"/>
              <w:rPr>
                <w:sz w:val="17"/>
                <w:szCs w:val="17"/>
                <w:color w:val="auto"/>
              </w:rPr>
            </w:pPr>
          </w:p>
        </w:tc>
      </w:tr>
      <w:tr>
        <w:trPr>
          <w:trHeight w:val="194"/>
        </w:trPr>
        <w:tc>
          <w:tcPr>
            <w:tcW w:w="872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Total assets acquired</w:t>
            </w:r>
          </w:p>
        </w:tc>
        <w:tc>
          <w:tcPr>
            <w:tcW w:w="7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5,264</w:t>
            </w:r>
          </w:p>
        </w:tc>
        <w:tc>
          <w:tcPr>
            <w:tcW w:w="60" w:type="dxa"/>
            <w:vAlign w:val="bottom"/>
            <w:shd w:val="clear" w:color="auto" w:fill="CFF0FC"/>
          </w:tcPr>
          <w:p>
            <w:pPr>
              <w:spacing w:after="0"/>
              <w:rPr>
                <w:sz w:val="16"/>
                <w:szCs w:val="16"/>
                <w:color w:val="auto"/>
              </w:rPr>
            </w:pPr>
          </w:p>
        </w:tc>
      </w:tr>
      <w:tr>
        <w:trPr>
          <w:trHeight w:val="200"/>
        </w:trPr>
        <w:tc>
          <w:tcPr>
            <w:tcW w:w="8720" w:type="dxa"/>
            <w:vAlign w:val="bottom"/>
          </w:tcPr>
          <w:p>
            <w:pPr>
              <w:ind w:left="20"/>
              <w:spacing w:after="0" w:line="201" w:lineRule="exact"/>
              <w:rPr>
                <w:sz w:val="20"/>
                <w:szCs w:val="20"/>
                <w:color w:val="auto"/>
              </w:rPr>
            </w:pPr>
            <w:r>
              <w:rPr>
                <w:rFonts w:ascii="Arial" w:cs="Arial" w:eastAsia="Arial" w:hAnsi="Arial"/>
                <w:sz w:val="18"/>
                <w:szCs w:val="18"/>
                <w:color w:val="auto"/>
              </w:rPr>
              <w:t>Liabilities assumed:</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872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Current liabilities</w:t>
            </w:r>
          </w:p>
        </w:tc>
        <w:tc>
          <w:tcPr>
            <w:tcW w:w="7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132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4"/>
        </w:trPr>
        <w:tc>
          <w:tcPr>
            <w:tcW w:w="8720" w:type="dxa"/>
            <w:vAlign w:val="bottom"/>
          </w:tcPr>
          <w:p>
            <w:pPr>
              <w:ind w:left="380"/>
              <w:spacing w:after="0" w:line="194" w:lineRule="exact"/>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132</w:t>
            </w:r>
          </w:p>
        </w:tc>
        <w:tc>
          <w:tcPr>
            <w:tcW w:w="60" w:type="dxa"/>
            <w:vAlign w:val="bottom"/>
          </w:tcPr>
          <w:p>
            <w:pPr>
              <w:spacing w:after="0"/>
              <w:rPr>
                <w:sz w:val="16"/>
                <w:szCs w:val="16"/>
                <w:color w:val="auto"/>
              </w:rPr>
            </w:pPr>
          </w:p>
        </w:tc>
      </w:tr>
      <w:tr>
        <w:trPr>
          <w:trHeight w:val="194"/>
        </w:trPr>
        <w:tc>
          <w:tcPr>
            <w:tcW w:w="87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Net assets acquired</w:t>
            </w:r>
          </w:p>
        </w:tc>
        <w:tc>
          <w:tcPr>
            <w:tcW w:w="7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5,132</w:t>
            </w:r>
          </w:p>
        </w:tc>
        <w:tc>
          <w:tcPr>
            <w:tcW w:w="60" w:type="dxa"/>
            <w:vAlign w:val="bottom"/>
            <w:shd w:val="clear" w:color="auto" w:fill="CFF0FC"/>
          </w:tcPr>
          <w:p>
            <w:pPr>
              <w:spacing w:after="0"/>
              <w:rPr>
                <w:sz w:val="16"/>
                <w:szCs w:val="16"/>
                <w:color w:val="auto"/>
              </w:rPr>
            </w:pPr>
          </w:p>
        </w:tc>
      </w:tr>
      <w:tr>
        <w:trPr>
          <w:trHeight w:val="200"/>
        </w:trPr>
        <w:tc>
          <w:tcPr>
            <w:tcW w:w="8720" w:type="dxa"/>
            <w:vAlign w:val="bottom"/>
          </w:tcPr>
          <w:p>
            <w:pPr>
              <w:ind w:left="20"/>
              <w:spacing w:after="0" w:line="201" w:lineRule="exact"/>
              <w:rPr>
                <w:sz w:val="20"/>
                <w:szCs w:val="20"/>
                <w:color w:val="auto"/>
              </w:rPr>
            </w:pPr>
            <w:r>
              <w:rPr>
                <w:rFonts w:ascii="Arial" w:cs="Arial" w:eastAsia="Arial" w:hAnsi="Arial"/>
                <w:sz w:val="18"/>
                <w:szCs w:val="18"/>
                <w:color w:val="auto"/>
              </w:rPr>
              <w:t>Goodwill</w:t>
            </w:r>
          </w:p>
        </w:tc>
        <w:tc>
          <w:tcPr>
            <w:tcW w:w="7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27,368</w:t>
            </w:r>
          </w:p>
        </w:tc>
        <w:tc>
          <w:tcPr>
            <w:tcW w:w="60" w:type="dxa"/>
            <w:vAlign w:val="bottom"/>
          </w:tcPr>
          <w:p>
            <w:pPr>
              <w:spacing w:after="0"/>
              <w:rPr>
                <w:sz w:val="17"/>
                <w:szCs w:val="17"/>
                <w:color w:val="auto"/>
              </w:rPr>
            </w:pPr>
          </w:p>
        </w:tc>
      </w:tr>
      <w:tr>
        <w:trPr>
          <w:trHeight w:val="234"/>
        </w:trPr>
        <w:tc>
          <w:tcPr>
            <w:tcW w:w="872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8"/>
                <w:szCs w:val="18"/>
                <w:color w:val="auto"/>
              </w:rPr>
              <w:t>Total purchase price</w:t>
            </w:r>
          </w:p>
        </w:tc>
        <w:tc>
          <w:tcPr>
            <w:tcW w:w="740" w:type="dxa"/>
            <w:vAlign w:val="bottom"/>
            <w:tcBorders>
              <w:bottom w:val="single" w:sz="8" w:color="auto"/>
            </w:tcBorders>
            <w:shd w:val="clear" w:color="auto" w:fill="CFF0FC"/>
          </w:tcPr>
          <w:p>
            <w:pPr>
              <w:jc w:val="right"/>
              <w:ind w:right="551"/>
              <w:spacing w:after="0" w:line="181"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32,500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6765290</wp:posOffset>
            </wp:positionH>
            <wp:positionV relativeFrom="paragraph">
              <wp:posOffset>-556260</wp:posOffset>
            </wp:positionV>
            <wp:extent cx="4254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-24765</wp:posOffset>
            </wp:positionV>
            <wp:extent cx="42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6765290</wp:posOffset>
            </wp:positionH>
            <wp:positionV relativeFrom="paragraph">
              <wp:posOffset>-7620</wp:posOffset>
            </wp:positionV>
            <wp:extent cx="42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73"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The developed technology intangible asset acquired has an estimated useful life of seven years. The acquired technology intangible asset is being amortized on a straight-line basis.</w:t>
      </w:r>
    </w:p>
    <w:p>
      <w:pPr>
        <w:spacing w:after="0" w:line="6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fair value of the acquired technology intangible asset was determined by valuation models based on estimates of future operating projections as well as judgments on the discount rates and other variables. This fair value measurement is based on significant unobservable inputs, including management estimates and assumptions and thus represents a Level 3 measurement.</w:t>
      </w:r>
    </w:p>
    <w:p>
      <w:pPr>
        <w:spacing w:after="0" w:line="78" w:lineRule="exact"/>
        <w:rPr>
          <w:sz w:val="20"/>
          <w:szCs w:val="20"/>
          <w:color w:val="auto"/>
        </w:rPr>
      </w:pPr>
    </w:p>
    <w:p>
      <w:pPr>
        <w:ind w:right="380"/>
        <w:spacing w:after="0" w:line="334" w:lineRule="auto"/>
        <w:rPr>
          <w:sz w:val="20"/>
          <w:szCs w:val="20"/>
          <w:color w:val="auto"/>
        </w:rPr>
      </w:pPr>
      <w:r>
        <w:rPr>
          <w:rFonts w:ascii="Arial" w:cs="Arial" w:eastAsia="Arial" w:hAnsi="Arial"/>
          <w:sz w:val="16"/>
          <w:szCs w:val="16"/>
          <w:color w:val="auto"/>
        </w:rPr>
        <w:t>The transaction costs associated with the acquisition were approximately $1.1 million, which are included in general and administrative expenses within the condensed consolidated statement of operations and comprehensive income (loss) for the three months ended March 31, 2022.</w:t>
      </w:r>
    </w:p>
    <w:p>
      <w:pPr>
        <w:spacing w:after="0" w:line="129"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60325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840" w:top="432" w:right="339" w:bottom="1440" w:gutter="0" w:footer="0" w:header="0"/>
        </w:sectPr>
      </w:pPr>
    </w:p>
    <w:bookmarkStart w:id="16" w:name="page17"/>
    <w:bookmarkEnd w:id="16"/>
    <w:p>
      <w:pPr>
        <w:ind w:left="520" w:hanging="513"/>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4" w:lineRule="exact"/>
        <w:rPr>
          <w:rFonts w:ascii="Arial" w:cs="Arial" w:eastAsia="Arial" w:hAnsi="Arial"/>
          <w:sz w:val="18"/>
          <w:szCs w:val="18"/>
          <w:b w:val="1"/>
          <w:bCs w:val="1"/>
          <w:color w:val="auto"/>
        </w:rPr>
      </w:pPr>
    </w:p>
    <w:p>
      <w:pPr>
        <w:ind w:left="52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opening and closing balances of the Company’s receivables, contract assets and contract liabilities from contracts with customers are as follows (in thousands):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Pr>
          <w:p>
            <w:pPr>
              <w:spacing w:after="0"/>
              <w:rPr>
                <w:sz w:val="17"/>
                <w:szCs w:val="17"/>
                <w:color w:val="auto"/>
              </w:rPr>
            </w:pPr>
          </w:p>
        </w:tc>
      </w:tr>
      <w:tr>
        <w:trPr>
          <w:trHeight w:val="219"/>
        </w:trPr>
        <w:tc>
          <w:tcPr>
            <w:tcW w:w="7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4"/>
        </w:trPr>
        <w:tc>
          <w:tcPr>
            <w:tcW w:w="720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Accounts receivables-net of allowances</w:t>
            </w:r>
          </w:p>
        </w:tc>
        <w:tc>
          <w:tcPr>
            <w:tcW w:w="260" w:type="dxa"/>
            <w:vAlign w:val="bottom"/>
            <w:shd w:val="clear" w:color="auto" w:fill="CFF0FC"/>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76,746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78,793</w:t>
            </w:r>
          </w:p>
        </w:tc>
        <w:tc>
          <w:tcPr>
            <w:tcW w:w="60" w:type="dxa"/>
            <w:vAlign w:val="bottom"/>
            <w:shd w:val="clear" w:color="auto" w:fill="CFF0FC"/>
          </w:tcPr>
          <w:p>
            <w:pPr>
              <w:spacing w:after="0"/>
              <w:rPr>
                <w:sz w:val="16"/>
                <w:szCs w:val="16"/>
                <w:color w:val="auto"/>
              </w:rPr>
            </w:pPr>
          </w:p>
        </w:tc>
      </w:tr>
      <w:tr>
        <w:trPr>
          <w:trHeight w:val="200"/>
        </w:trPr>
        <w:tc>
          <w:tcPr>
            <w:tcW w:w="7200" w:type="dxa"/>
            <w:vAlign w:val="bottom"/>
          </w:tcPr>
          <w:p>
            <w:pPr>
              <w:ind w:left="20"/>
              <w:spacing w:after="0" w:line="201" w:lineRule="exact"/>
              <w:rPr>
                <w:sz w:val="20"/>
                <w:szCs w:val="20"/>
                <w:color w:val="auto"/>
              </w:rPr>
            </w:pPr>
            <w:r>
              <w:rPr>
                <w:rFonts w:ascii="Arial" w:cs="Arial" w:eastAsia="Arial" w:hAnsi="Arial"/>
                <w:sz w:val="18"/>
                <w:szCs w:val="18"/>
                <w:color w:val="auto"/>
              </w:rPr>
              <w:t>Deferred contract costs</w:t>
            </w:r>
          </w:p>
        </w:tc>
        <w:tc>
          <w:tcPr>
            <w:tcW w:w="26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15,645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15,069</w:t>
            </w:r>
          </w:p>
        </w:tc>
        <w:tc>
          <w:tcPr>
            <w:tcW w:w="60" w:type="dxa"/>
            <w:vAlign w:val="bottom"/>
          </w:tcPr>
          <w:p>
            <w:pPr>
              <w:spacing w:after="0"/>
              <w:rPr>
                <w:sz w:val="17"/>
                <w:szCs w:val="17"/>
                <w:color w:val="auto"/>
              </w:rPr>
            </w:pPr>
          </w:p>
        </w:tc>
      </w:tr>
      <w:tr>
        <w:trPr>
          <w:trHeight w:val="200"/>
        </w:trPr>
        <w:tc>
          <w:tcPr>
            <w:tcW w:w="72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Long-term deferred contract costs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21,303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22,117</w:t>
            </w:r>
          </w:p>
        </w:tc>
        <w:tc>
          <w:tcPr>
            <w:tcW w:w="60" w:type="dxa"/>
            <w:vAlign w:val="bottom"/>
            <w:shd w:val="clear" w:color="auto" w:fill="CFF0FC"/>
          </w:tcPr>
          <w:p>
            <w:pPr>
              <w:spacing w:after="0"/>
              <w:rPr>
                <w:sz w:val="17"/>
                <w:szCs w:val="17"/>
                <w:color w:val="auto"/>
              </w:rPr>
            </w:pPr>
          </w:p>
        </w:tc>
      </w:tr>
      <w:tr>
        <w:trPr>
          <w:trHeight w:val="200"/>
        </w:trPr>
        <w:tc>
          <w:tcPr>
            <w:tcW w:w="7200" w:type="dxa"/>
            <w:vAlign w:val="bottom"/>
          </w:tcPr>
          <w:p>
            <w:pPr>
              <w:ind w:left="20"/>
              <w:spacing w:after="0" w:line="201" w:lineRule="exact"/>
              <w:rPr>
                <w:sz w:val="20"/>
                <w:szCs w:val="20"/>
                <w:color w:val="auto"/>
              </w:rPr>
            </w:pPr>
            <w:r>
              <w:rPr>
                <w:rFonts w:ascii="Arial" w:cs="Arial" w:eastAsia="Arial" w:hAnsi="Arial"/>
                <w:sz w:val="18"/>
                <w:szCs w:val="18"/>
                <w:color w:val="auto"/>
              </w:rPr>
              <w:t>Other assets (accounts receivable, non-current)</w:t>
            </w:r>
          </w:p>
        </w:tc>
        <w:tc>
          <w:tcPr>
            <w:tcW w:w="26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12,186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8,622</w:t>
            </w:r>
          </w:p>
        </w:tc>
        <w:tc>
          <w:tcPr>
            <w:tcW w:w="60" w:type="dxa"/>
            <w:vAlign w:val="bottom"/>
          </w:tcPr>
          <w:p>
            <w:pPr>
              <w:spacing w:after="0"/>
              <w:rPr>
                <w:sz w:val="17"/>
                <w:szCs w:val="17"/>
                <w:color w:val="auto"/>
              </w:rPr>
            </w:pPr>
          </w:p>
        </w:tc>
      </w:tr>
      <w:tr>
        <w:trPr>
          <w:trHeight w:val="200"/>
        </w:trPr>
        <w:tc>
          <w:tcPr>
            <w:tcW w:w="72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Deferred revenues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33,395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31,042</w:t>
            </w:r>
          </w:p>
        </w:tc>
        <w:tc>
          <w:tcPr>
            <w:tcW w:w="60" w:type="dxa"/>
            <w:vAlign w:val="bottom"/>
            <w:shd w:val="clear" w:color="auto" w:fill="CFF0FC"/>
          </w:tcPr>
          <w:p>
            <w:pPr>
              <w:spacing w:after="0"/>
              <w:rPr>
                <w:sz w:val="17"/>
                <w:szCs w:val="17"/>
                <w:color w:val="auto"/>
              </w:rPr>
            </w:pPr>
          </w:p>
        </w:tc>
      </w:tr>
      <w:tr>
        <w:trPr>
          <w:trHeight w:val="227"/>
        </w:trPr>
        <w:tc>
          <w:tcPr>
            <w:tcW w:w="7200" w:type="dxa"/>
            <w:vAlign w:val="bottom"/>
          </w:tcPr>
          <w:p>
            <w:pPr>
              <w:ind w:left="20"/>
              <w:spacing w:after="0"/>
              <w:rPr>
                <w:sz w:val="20"/>
                <w:szCs w:val="20"/>
                <w:color w:val="auto"/>
              </w:rPr>
            </w:pPr>
            <w:r>
              <w:rPr>
                <w:rFonts w:ascii="Arial" w:cs="Arial" w:eastAsia="Arial" w:hAnsi="Arial"/>
                <w:sz w:val="18"/>
                <w:szCs w:val="18"/>
                <w:color w:val="auto"/>
              </w:rPr>
              <w:t>Other liabilities (deferred revenues, non-current)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1,574</w:t>
            </w:r>
          </w:p>
        </w:tc>
        <w:tc>
          <w:tcPr>
            <w:tcW w:w="60" w:type="dxa"/>
            <w:vAlign w:val="bottom"/>
          </w:tcPr>
          <w:p>
            <w:pPr>
              <w:spacing w:after="0"/>
              <w:rPr>
                <w:sz w:val="19"/>
                <w:szCs w:val="19"/>
                <w:color w:val="auto"/>
              </w:rPr>
            </w:pPr>
          </w:p>
        </w:tc>
      </w:tr>
    </w:tbl>
    <w:p>
      <w:pPr>
        <w:spacing w:after="0" w:line="160" w:lineRule="exact"/>
        <w:rPr>
          <w:sz w:val="20"/>
          <w:szCs w:val="20"/>
          <w:color w:val="auto"/>
        </w:rPr>
      </w:pPr>
    </w:p>
    <w:p>
      <w:pPr>
        <w:ind w:left="520" w:right="460"/>
        <w:spacing w:after="0" w:line="286" w:lineRule="auto"/>
        <w:rPr>
          <w:sz w:val="20"/>
          <w:szCs w:val="20"/>
          <w:color w:val="auto"/>
        </w:rPr>
      </w:pPr>
      <w:r>
        <w:rPr>
          <w:rFonts w:ascii="Arial" w:cs="Arial" w:eastAsia="Arial" w:hAnsi="Arial"/>
          <w:sz w:val="18"/>
          <w:szCs w:val="18"/>
          <w:color w:val="auto"/>
        </w:rPr>
        <w:t>A summary of the activity impacting deferred revenue balances during the three months ended March 31, 2022 and 2021, is presented below (in thousands):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8"/>
                <w:szCs w:val="18"/>
                <w:b w:val="1"/>
                <w:bCs w:val="1"/>
                <w:color w:val="auto"/>
              </w:rPr>
              <w:t>March 31,</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7200" w:type="dxa"/>
            <w:vAlign w:val="bottom"/>
            <w:vMerge w:val="restart"/>
          </w:tcPr>
          <w:p>
            <w:pPr>
              <w:ind w:left="2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7200" w:type="dxa"/>
            <w:vAlign w:val="bottom"/>
            <w:vMerge w:val="continue"/>
          </w:tcPr>
          <w:p>
            <w:pPr>
              <w:spacing w:after="0"/>
              <w:rPr>
                <w:sz w:val="13"/>
                <w:szCs w:val="13"/>
                <w:color w:val="auto"/>
              </w:rPr>
            </w:pPr>
          </w:p>
        </w:tc>
        <w:tc>
          <w:tcPr>
            <w:tcW w:w="980" w:type="dxa"/>
            <w:vAlign w:val="bottom"/>
          </w:tcPr>
          <w:p>
            <w:pPr>
              <w:jc w:val="right"/>
              <w:ind w:right="792"/>
              <w:spacing w:after="0" w:line="154" w:lineRule="exact"/>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line="154" w:lineRule="exact"/>
              <w:rPr>
                <w:sz w:val="20"/>
                <w:szCs w:val="20"/>
                <w:color w:val="auto"/>
              </w:rPr>
            </w:pPr>
            <w:r>
              <w:rPr>
                <w:rFonts w:ascii="Arial" w:cs="Arial" w:eastAsia="Arial" w:hAnsi="Arial"/>
                <w:sz w:val="17"/>
                <w:szCs w:val="17"/>
                <w:color w:val="auto"/>
              </w:rPr>
              <w:t>32,615</w:t>
            </w:r>
          </w:p>
        </w:tc>
        <w:tc>
          <w:tcPr>
            <w:tcW w:w="280" w:type="dxa"/>
            <w:vAlign w:val="bottom"/>
          </w:tcPr>
          <w:p>
            <w:pPr>
              <w:spacing w:after="0"/>
              <w:rPr>
                <w:sz w:val="13"/>
                <w:szCs w:val="13"/>
                <w:color w:val="auto"/>
              </w:rPr>
            </w:pPr>
          </w:p>
        </w:tc>
        <w:tc>
          <w:tcPr>
            <w:tcW w:w="980" w:type="dxa"/>
            <w:vAlign w:val="bottom"/>
          </w:tcPr>
          <w:p>
            <w:pPr>
              <w:jc w:val="right"/>
              <w:ind w:right="792"/>
              <w:spacing w:after="0" w:line="154" w:lineRule="exact"/>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line="154" w:lineRule="exact"/>
              <w:rPr>
                <w:sz w:val="20"/>
                <w:szCs w:val="20"/>
                <w:color w:val="auto"/>
              </w:rPr>
            </w:pPr>
            <w:r>
              <w:rPr>
                <w:rFonts w:ascii="Arial" w:cs="Arial" w:eastAsia="Arial" w:hAnsi="Arial"/>
                <w:sz w:val="17"/>
                <w:szCs w:val="17"/>
                <w:color w:val="auto"/>
                <w:w w:val="99"/>
              </w:rPr>
              <w:t>28,515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200" w:type="dxa"/>
            <w:vAlign w:val="bottom"/>
          </w:tcPr>
          <w:p>
            <w:pPr>
              <w:ind w:left="200"/>
              <w:spacing w:after="0" w:line="200" w:lineRule="exact"/>
              <w:rPr>
                <w:sz w:val="20"/>
                <w:szCs w:val="20"/>
                <w:color w:val="auto"/>
              </w:rPr>
            </w:pPr>
            <w:r>
              <w:rPr>
                <w:rFonts w:ascii="Arial" w:cs="Arial" w:eastAsia="Arial" w:hAnsi="Arial"/>
                <w:sz w:val="18"/>
                <w:szCs w:val="18"/>
                <w:color w:val="auto"/>
              </w:rPr>
              <w:t>Revenue recognized</w:t>
            </w:r>
            <w:r>
              <w:rPr>
                <w:rFonts w:ascii="Arial" w:cs="Arial" w:eastAsia="Arial" w:hAnsi="Arial"/>
                <w:sz w:val="23"/>
                <w:szCs w:val="23"/>
                <w:color w:val="auto"/>
                <w:vertAlign w:val="superscript"/>
              </w:rPr>
              <w:t>1</w:t>
            </w:r>
          </w:p>
        </w:tc>
        <w:tc>
          <w:tcPr>
            <w:tcW w:w="980" w:type="dxa"/>
            <w:vAlign w:val="bottom"/>
          </w:tcPr>
          <w:p>
            <w:pPr>
              <w:spacing w:after="0"/>
              <w:rPr>
                <w:sz w:val="17"/>
                <w:szCs w:val="17"/>
                <w:color w:val="auto"/>
              </w:rPr>
            </w:pPr>
          </w:p>
        </w:tc>
        <w:tc>
          <w:tcPr>
            <w:tcW w:w="8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w w:val="88"/>
              </w:rPr>
              <w:t>(89,432 )</w:t>
            </w:r>
          </w:p>
        </w:tc>
        <w:tc>
          <w:tcPr>
            <w:tcW w:w="980" w:type="dxa"/>
            <w:vAlign w:val="bottom"/>
          </w:tcPr>
          <w:p>
            <w:pPr>
              <w:spacing w:after="0"/>
              <w:rPr>
                <w:sz w:val="17"/>
                <w:szCs w:val="17"/>
                <w:color w:val="auto"/>
              </w:rPr>
            </w:pPr>
          </w:p>
        </w:tc>
        <w:tc>
          <w:tcPr>
            <w:tcW w:w="6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85"/>
              </w:rPr>
              <w:t>(80,963 )</w:t>
            </w:r>
          </w:p>
        </w:tc>
        <w:tc>
          <w:tcPr>
            <w:tcW w:w="0" w:type="dxa"/>
            <w:vAlign w:val="bottom"/>
          </w:tcPr>
          <w:p>
            <w:pPr>
              <w:spacing w:after="0"/>
              <w:rPr>
                <w:sz w:val="1"/>
                <w:szCs w:val="1"/>
                <w:color w:val="auto"/>
              </w:rPr>
            </w:pPr>
          </w:p>
        </w:tc>
      </w:tr>
      <w:tr>
        <w:trPr>
          <w:trHeight w:val="240"/>
        </w:trPr>
        <w:tc>
          <w:tcPr>
            <w:tcW w:w="7200" w:type="dxa"/>
            <w:vAlign w:val="bottom"/>
          </w:tcPr>
          <w:p>
            <w:pPr>
              <w:ind w:left="200"/>
              <w:spacing w:after="0" w:line="241" w:lineRule="exact"/>
              <w:rPr>
                <w:sz w:val="20"/>
                <w:szCs w:val="20"/>
                <w:color w:val="auto"/>
              </w:rPr>
            </w:pPr>
            <w:r>
              <w:rPr>
                <w:rFonts w:ascii="Arial" w:cs="Arial" w:eastAsia="Arial" w:hAnsi="Arial"/>
                <w:sz w:val="18"/>
                <w:szCs w:val="18"/>
                <w:color w:val="auto"/>
              </w:rPr>
              <w:t>Additional amounts deferred</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91,717</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82,557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200" w:type="dxa"/>
            <w:vAlign w:val="bottom"/>
          </w:tcPr>
          <w:p>
            <w:pPr>
              <w:ind w:left="20"/>
              <w:spacing w:after="0" w:line="194" w:lineRule="exact"/>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auto"/>
            </w:tcBorders>
          </w:tcPr>
          <w:p>
            <w:pPr>
              <w:jc w:val="right"/>
              <w:ind w:right="792"/>
              <w:spacing w:after="0" w:line="194"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34,900</w:t>
            </w:r>
          </w:p>
        </w:tc>
        <w:tc>
          <w:tcPr>
            <w:tcW w:w="280" w:type="dxa"/>
            <w:vAlign w:val="bottom"/>
          </w:tcPr>
          <w:p>
            <w:pPr>
              <w:spacing w:after="0"/>
              <w:rPr>
                <w:sz w:val="16"/>
                <w:szCs w:val="16"/>
                <w:color w:val="auto"/>
              </w:rPr>
            </w:pPr>
          </w:p>
        </w:tc>
        <w:tc>
          <w:tcPr>
            <w:tcW w:w="980" w:type="dxa"/>
            <w:vAlign w:val="bottom"/>
            <w:tcBorders>
              <w:bottom w:val="single" w:sz="8" w:color="auto"/>
            </w:tcBorders>
          </w:tcPr>
          <w:p>
            <w:pPr>
              <w:jc w:val="right"/>
              <w:ind w:right="792"/>
              <w:spacing w:after="0" w:line="194"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94"/>
              </w:rPr>
              <w:t>30,109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2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Classified as:</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0" w:type="dxa"/>
            <w:vAlign w:val="bottom"/>
          </w:tcPr>
          <w:p>
            <w:pPr>
              <w:ind w:left="200"/>
              <w:spacing w:after="0" w:line="201" w:lineRule="exact"/>
              <w:rPr>
                <w:sz w:val="20"/>
                <w:szCs w:val="20"/>
                <w:color w:val="auto"/>
              </w:rPr>
            </w:pPr>
            <w:r>
              <w:rPr>
                <w:rFonts w:ascii="Arial" w:cs="Arial" w:eastAsia="Arial" w:hAnsi="Arial"/>
                <w:sz w:val="18"/>
                <w:szCs w:val="18"/>
                <w:color w:val="auto"/>
              </w:rPr>
              <w:t>Current</w:t>
            </w:r>
          </w:p>
        </w:tc>
        <w:tc>
          <w:tcPr>
            <w:tcW w:w="980" w:type="dxa"/>
            <w:vAlign w:val="bottom"/>
          </w:tcPr>
          <w:p>
            <w:pPr>
              <w:jc w:val="right"/>
              <w:ind w:right="792"/>
              <w:spacing w:after="0" w:line="201"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33,395</w:t>
            </w:r>
          </w:p>
        </w:tc>
        <w:tc>
          <w:tcPr>
            <w:tcW w:w="280" w:type="dxa"/>
            <w:vAlign w:val="bottom"/>
          </w:tcPr>
          <w:p>
            <w:pPr>
              <w:spacing w:after="0"/>
              <w:rPr>
                <w:sz w:val="17"/>
                <w:szCs w:val="17"/>
                <w:color w:val="auto"/>
              </w:rPr>
            </w:pPr>
          </w:p>
        </w:tc>
        <w:tc>
          <w:tcPr>
            <w:tcW w:w="980" w:type="dxa"/>
            <w:vAlign w:val="bottom"/>
          </w:tcPr>
          <w:p>
            <w:pPr>
              <w:jc w:val="right"/>
              <w:ind w:right="792"/>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4"/>
              </w:rPr>
              <w:t>28,100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0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Non-current</w:t>
            </w: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1,505</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2,009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00" w:type="dxa"/>
            <w:vAlign w:val="bottom"/>
          </w:tcPr>
          <w:p>
            <w:pPr>
              <w:ind w:left="20"/>
              <w:spacing w:after="0" w:line="194" w:lineRule="exact"/>
              <w:rPr>
                <w:sz w:val="20"/>
                <w:szCs w:val="20"/>
                <w:color w:val="auto"/>
              </w:rPr>
            </w:pPr>
            <w:r>
              <w:rPr>
                <w:rFonts w:ascii="Arial" w:cs="Arial" w:eastAsia="Arial" w:hAnsi="Arial"/>
                <w:sz w:val="18"/>
                <w:szCs w:val="18"/>
                <w:color w:val="auto"/>
              </w:rPr>
              <w:t>Total deferred revenue</w:t>
            </w:r>
          </w:p>
        </w:tc>
        <w:tc>
          <w:tcPr>
            <w:tcW w:w="980" w:type="dxa"/>
            <w:vAlign w:val="bottom"/>
            <w:tcBorders>
              <w:bottom w:val="single" w:sz="8" w:color="auto"/>
            </w:tcBorders>
          </w:tcPr>
          <w:p>
            <w:pPr>
              <w:jc w:val="right"/>
              <w:ind w:right="792"/>
              <w:spacing w:after="0" w:line="194"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34,900</w:t>
            </w:r>
          </w:p>
        </w:tc>
        <w:tc>
          <w:tcPr>
            <w:tcW w:w="280" w:type="dxa"/>
            <w:vAlign w:val="bottom"/>
          </w:tcPr>
          <w:p>
            <w:pPr>
              <w:spacing w:after="0"/>
              <w:rPr>
                <w:sz w:val="16"/>
                <w:szCs w:val="16"/>
                <w:color w:val="auto"/>
              </w:rPr>
            </w:pPr>
          </w:p>
        </w:tc>
        <w:tc>
          <w:tcPr>
            <w:tcW w:w="980" w:type="dxa"/>
            <w:vAlign w:val="bottom"/>
            <w:tcBorders>
              <w:bottom w:val="single" w:sz="8" w:color="auto"/>
            </w:tcBorders>
          </w:tcPr>
          <w:p>
            <w:pPr>
              <w:jc w:val="right"/>
              <w:ind w:right="792"/>
              <w:spacing w:after="0" w:line="194"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w w:val="94"/>
              </w:rPr>
              <w:t>30,109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-1212215</wp:posOffset>
            </wp:positionV>
            <wp:extent cx="6769100" cy="1270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69100" cy="127000"/>
                    </a:xfrm>
                    <a:prstGeom prst="rect">
                      <a:avLst/>
                    </a:prstGeom>
                    <a:noFill/>
                  </pic:spPr>
                </pic:pic>
              </a:graphicData>
            </a:graphic>
          </wp:anchor>
        </w:drawing>
        <w:drawing>
          <wp:anchor simplePos="0" relativeHeight="251657728" behindDoc="1" locked="0" layoutInCell="0" allowOverlap="1">
            <wp:simplePos x="0" y="0"/>
            <wp:positionH relativeFrom="column">
              <wp:posOffset>368935</wp:posOffset>
            </wp:positionH>
            <wp:positionV relativeFrom="paragraph">
              <wp:posOffset>-957580</wp:posOffset>
            </wp:positionV>
            <wp:extent cx="6769100" cy="13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69100" cy="13589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-157480</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-157480</wp:posOffset>
            </wp:positionV>
            <wp:extent cx="508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Amounts include total revenue deferred and recognized during each respective period.</w:t>
      </w:r>
    </w:p>
    <w:p>
      <w:pPr>
        <w:spacing w:after="0" w:line="100" w:lineRule="exact"/>
        <w:rPr>
          <w:sz w:val="20"/>
          <w:szCs w:val="20"/>
          <w:color w:val="auto"/>
        </w:rPr>
      </w:pPr>
    </w:p>
    <w:p>
      <w:pPr>
        <w:ind w:left="520" w:right="40"/>
        <w:spacing w:after="0" w:line="258" w:lineRule="auto"/>
        <w:rPr>
          <w:sz w:val="20"/>
          <w:szCs w:val="20"/>
          <w:color w:val="auto"/>
        </w:rPr>
      </w:pPr>
      <w:r>
        <w:rPr>
          <w:rFonts w:ascii="Arial" w:cs="Arial" w:eastAsia="Arial" w:hAnsi="Arial"/>
          <w:sz w:val="17"/>
          <w:szCs w:val="17"/>
          <w:color w:val="auto"/>
        </w:rPr>
        <w:t>The Company may occasionally recognize an adjustment in revenue in the current period for performance obligations partially or fully satisfied in the previous periods resulting from changes in estimates for the transaction price, including any changes to the Company’s assessment of whether an estimate of variable consideration is constrained. For the three months ended March 31, 2022 and 2021, the impact on revenue recognized in the current period, from performance obligations partially or fully satisfied in the previous period, was not significant.</w:t>
      </w:r>
    </w:p>
    <w:p>
      <w:pPr>
        <w:spacing w:after="0" w:line="68" w:lineRule="exact"/>
        <w:rPr>
          <w:sz w:val="20"/>
          <w:szCs w:val="20"/>
          <w:color w:val="auto"/>
        </w:rPr>
      </w:pPr>
    </w:p>
    <w:p>
      <w:pPr>
        <w:ind w:left="520" w:right="480"/>
        <w:spacing w:after="0" w:line="255" w:lineRule="auto"/>
        <w:rPr>
          <w:sz w:val="20"/>
          <w:szCs w:val="20"/>
          <w:color w:val="auto"/>
        </w:rPr>
      </w:pPr>
      <w:r>
        <w:rPr>
          <w:rFonts w:ascii="Arial" w:cs="Arial" w:eastAsia="Arial" w:hAnsi="Arial"/>
          <w:sz w:val="18"/>
          <w:szCs w:val="18"/>
          <w:color w:val="auto"/>
        </w:rPr>
        <w:t>A summary of the activity impacting the deferred contract costs during the three months ended March 31, 2022 and 2021 is presented below (in thousands):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7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72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2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Balance at beginning of period</w:t>
            </w:r>
          </w:p>
        </w:tc>
        <w:tc>
          <w:tcPr>
            <w:tcW w:w="1000" w:type="dxa"/>
            <w:vAlign w:val="bottom"/>
            <w:shd w:val="clear" w:color="auto" w:fill="CFF0FC"/>
          </w:tcPr>
          <w:p>
            <w:pPr>
              <w:jc w:val="right"/>
              <w:ind w:right="811"/>
              <w:spacing w:after="0" w:line="194"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94"/>
              </w:rPr>
              <w:t>37,186</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811"/>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90"/>
              </w:rPr>
              <w:t>26,306</w:t>
            </w:r>
          </w:p>
        </w:tc>
        <w:tc>
          <w:tcPr>
            <w:tcW w:w="80" w:type="dxa"/>
            <w:vAlign w:val="bottom"/>
            <w:shd w:val="clear" w:color="auto" w:fill="CFF0FC"/>
          </w:tcPr>
          <w:p>
            <w:pPr>
              <w:spacing w:after="0"/>
              <w:rPr>
                <w:sz w:val="16"/>
                <w:szCs w:val="16"/>
                <w:color w:val="auto"/>
              </w:rPr>
            </w:pPr>
          </w:p>
        </w:tc>
      </w:tr>
      <w:tr>
        <w:trPr>
          <w:trHeight w:val="200"/>
        </w:trPr>
        <w:tc>
          <w:tcPr>
            <w:tcW w:w="7220" w:type="dxa"/>
            <w:vAlign w:val="bottom"/>
          </w:tcPr>
          <w:p>
            <w:pPr>
              <w:ind w:left="200"/>
              <w:spacing w:after="0" w:line="201" w:lineRule="exact"/>
              <w:rPr>
                <w:sz w:val="20"/>
                <w:szCs w:val="20"/>
                <w:color w:val="auto"/>
              </w:rPr>
            </w:pPr>
            <w:r>
              <w:rPr>
                <w:rFonts w:ascii="Arial" w:cs="Arial" w:eastAsia="Arial" w:hAnsi="Arial"/>
                <w:sz w:val="18"/>
                <w:szCs w:val="18"/>
                <w:color w:val="auto"/>
              </w:rPr>
              <w:t>Costs amortized</w:t>
            </w:r>
          </w:p>
        </w:tc>
        <w:tc>
          <w:tcPr>
            <w:tcW w:w="1000" w:type="dxa"/>
            <w:vAlign w:val="bottom"/>
          </w:tcPr>
          <w:p>
            <w:pPr>
              <w:spacing w:after="0"/>
              <w:rPr>
                <w:sz w:val="17"/>
                <w:szCs w:val="17"/>
                <w:color w:val="auto"/>
              </w:rPr>
            </w:pP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9"/>
              </w:rPr>
              <w:t>(4,221 )</w:t>
            </w:r>
          </w:p>
        </w:tc>
        <w:tc>
          <w:tcPr>
            <w:tcW w:w="1000" w:type="dxa"/>
            <w:vAlign w:val="bottom"/>
          </w:tcPr>
          <w:p>
            <w:pPr>
              <w:spacing w:after="0"/>
              <w:rPr>
                <w:sz w:val="17"/>
                <w:szCs w:val="17"/>
                <w:color w:val="auto"/>
              </w:rPr>
            </w:pPr>
          </w:p>
        </w:tc>
        <w:tc>
          <w:tcPr>
            <w:tcW w:w="6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6"/>
              </w:rPr>
              <w:t>(3,705 )</w:t>
            </w:r>
          </w:p>
        </w:tc>
      </w:tr>
      <w:tr>
        <w:trPr>
          <w:trHeight w:val="200"/>
        </w:trPr>
        <w:tc>
          <w:tcPr>
            <w:tcW w:w="722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Additional amounts deferred</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3,983</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3,953</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4"/>
        </w:trPr>
        <w:tc>
          <w:tcPr>
            <w:tcW w:w="7220" w:type="dxa"/>
            <w:vAlign w:val="bottom"/>
          </w:tcPr>
          <w:p>
            <w:pPr>
              <w:ind w:left="20"/>
              <w:spacing w:after="0" w:line="181" w:lineRule="exact"/>
              <w:rPr>
                <w:sz w:val="20"/>
                <w:szCs w:val="20"/>
                <w:color w:val="auto"/>
              </w:rPr>
            </w:pPr>
            <w:r>
              <w:rPr>
                <w:rFonts w:ascii="Arial" w:cs="Arial" w:eastAsia="Arial" w:hAnsi="Arial"/>
                <w:sz w:val="18"/>
                <w:szCs w:val="18"/>
                <w:color w:val="auto"/>
              </w:rPr>
              <w:t>Balance at end of period</w:t>
            </w:r>
          </w:p>
        </w:tc>
        <w:tc>
          <w:tcPr>
            <w:tcW w:w="1000" w:type="dxa"/>
            <w:vAlign w:val="bottom"/>
            <w:tcBorders>
              <w:bottom w:val="single" w:sz="8" w:color="auto"/>
            </w:tcBorders>
          </w:tcPr>
          <w:p>
            <w:pPr>
              <w:jc w:val="right"/>
              <w:ind w:right="811"/>
              <w:spacing w:after="0" w:line="181"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4"/>
              </w:rPr>
              <w:t>36,948</w:t>
            </w: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right"/>
              <w:ind w:right="811"/>
              <w:spacing w:after="0" w:line="181"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0"/>
              </w:rPr>
              <w:t>26,554</w:t>
            </w:r>
          </w:p>
        </w:tc>
        <w:tc>
          <w:tcPr>
            <w:tcW w:w="80" w:type="dxa"/>
            <w:vAlign w:val="bottom"/>
          </w:tcPr>
          <w:p>
            <w:pPr>
              <w:spacing w:after="0"/>
              <w:rPr>
                <w:sz w:val="16"/>
                <w:szCs w:val="16"/>
                <w:color w:val="auto"/>
              </w:rPr>
            </w:pPr>
          </w:p>
        </w:tc>
      </w:tr>
      <w:tr>
        <w:trPr>
          <w:trHeight w:val="20"/>
        </w:trPr>
        <w:tc>
          <w:tcPr>
            <w:tcW w:w="7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7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0"/>
        </w:trPr>
        <w:tc>
          <w:tcPr>
            <w:tcW w:w="72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Classified as: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7220" w:type="dxa"/>
            <w:vAlign w:val="bottom"/>
          </w:tcPr>
          <w:p>
            <w:pPr>
              <w:ind w:left="200"/>
              <w:spacing w:after="0" w:line="201" w:lineRule="exact"/>
              <w:rPr>
                <w:sz w:val="20"/>
                <w:szCs w:val="20"/>
                <w:color w:val="auto"/>
              </w:rPr>
            </w:pPr>
            <w:r>
              <w:rPr>
                <w:rFonts w:ascii="Arial" w:cs="Arial" w:eastAsia="Arial" w:hAnsi="Arial"/>
                <w:sz w:val="18"/>
                <w:szCs w:val="18"/>
                <w:color w:val="auto"/>
              </w:rPr>
              <w:t>Current</w:t>
            </w:r>
          </w:p>
        </w:tc>
        <w:tc>
          <w:tcPr>
            <w:tcW w:w="1000" w:type="dxa"/>
            <w:vAlign w:val="bottom"/>
          </w:tcPr>
          <w:p>
            <w:pPr>
              <w:jc w:val="right"/>
              <w:ind w:right="811"/>
              <w:spacing w:after="0" w:line="201"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4"/>
              </w:rPr>
              <w:t>15,645</w:t>
            </w:r>
          </w:p>
        </w:tc>
        <w:tc>
          <w:tcPr>
            <w:tcW w:w="260" w:type="dxa"/>
            <w:vAlign w:val="bottom"/>
          </w:tcPr>
          <w:p>
            <w:pPr>
              <w:spacing w:after="0"/>
              <w:rPr>
                <w:sz w:val="17"/>
                <w:szCs w:val="17"/>
                <w:color w:val="auto"/>
              </w:rPr>
            </w:pPr>
          </w:p>
        </w:tc>
        <w:tc>
          <w:tcPr>
            <w:tcW w:w="1000" w:type="dxa"/>
            <w:vAlign w:val="bottom"/>
          </w:tcPr>
          <w:p>
            <w:pPr>
              <w:jc w:val="right"/>
              <w:ind w:right="811"/>
              <w:spacing w:after="0" w:line="201"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w w:val="90"/>
              </w:rPr>
              <w:t>11,876</w:t>
            </w:r>
          </w:p>
        </w:tc>
        <w:tc>
          <w:tcPr>
            <w:tcW w:w="80" w:type="dxa"/>
            <w:vAlign w:val="bottom"/>
          </w:tcPr>
          <w:p>
            <w:pPr>
              <w:spacing w:after="0"/>
              <w:rPr>
                <w:sz w:val="17"/>
                <w:szCs w:val="17"/>
                <w:color w:val="auto"/>
              </w:rPr>
            </w:pPr>
          </w:p>
        </w:tc>
      </w:tr>
      <w:tr>
        <w:trPr>
          <w:trHeight w:val="200"/>
        </w:trPr>
        <w:tc>
          <w:tcPr>
            <w:tcW w:w="722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Non-current</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w w:val="94"/>
              </w:rPr>
              <w:t>21,303</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w w:val="90"/>
              </w:rPr>
              <w:t>14,678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4"/>
        </w:trPr>
        <w:tc>
          <w:tcPr>
            <w:tcW w:w="7220" w:type="dxa"/>
            <w:vAlign w:val="bottom"/>
          </w:tcPr>
          <w:p>
            <w:pPr>
              <w:ind w:left="20"/>
              <w:spacing w:after="0" w:line="181" w:lineRule="exact"/>
              <w:rPr>
                <w:sz w:val="20"/>
                <w:szCs w:val="20"/>
                <w:color w:val="auto"/>
              </w:rPr>
            </w:pPr>
            <w:r>
              <w:rPr>
                <w:rFonts w:ascii="Arial" w:cs="Arial" w:eastAsia="Arial" w:hAnsi="Arial"/>
                <w:sz w:val="18"/>
                <w:szCs w:val="18"/>
                <w:color w:val="auto"/>
              </w:rPr>
              <w:t>Total deferred contract costs</w:t>
            </w:r>
          </w:p>
        </w:tc>
        <w:tc>
          <w:tcPr>
            <w:tcW w:w="1000" w:type="dxa"/>
            <w:vAlign w:val="bottom"/>
            <w:tcBorders>
              <w:bottom w:val="single" w:sz="8" w:color="auto"/>
            </w:tcBorders>
          </w:tcPr>
          <w:p>
            <w:pPr>
              <w:jc w:val="right"/>
              <w:ind w:right="811"/>
              <w:spacing w:after="0" w:line="181"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4"/>
              </w:rPr>
              <w:t>36,948</w:t>
            </w:r>
          </w:p>
        </w:tc>
        <w:tc>
          <w:tcPr>
            <w:tcW w:w="260" w:type="dxa"/>
            <w:vAlign w:val="bottom"/>
          </w:tcPr>
          <w:p>
            <w:pPr>
              <w:spacing w:after="0"/>
              <w:rPr>
                <w:sz w:val="16"/>
                <w:szCs w:val="16"/>
                <w:color w:val="auto"/>
              </w:rPr>
            </w:pPr>
          </w:p>
        </w:tc>
        <w:tc>
          <w:tcPr>
            <w:tcW w:w="1000" w:type="dxa"/>
            <w:vAlign w:val="bottom"/>
            <w:tcBorders>
              <w:bottom w:val="single" w:sz="8" w:color="auto"/>
            </w:tcBorders>
          </w:tcPr>
          <w:p>
            <w:pPr>
              <w:jc w:val="right"/>
              <w:ind w:right="811"/>
              <w:spacing w:after="0" w:line="181"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w w:val="90"/>
              </w:rPr>
              <w:t>26,554</w:t>
            </w:r>
          </w:p>
        </w:tc>
        <w:tc>
          <w:tcPr>
            <w:tcW w:w="80" w:type="dxa"/>
            <w:vAlign w:val="bottom"/>
          </w:tcPr>
          <w:p>
            <w:pPr>
              <w:spacing w:after="0"/>
              <w:rPr>
                <w:sz w:val="16"/>
                <w:szCs w:val="16"/>
                <w:color w:val="auto"/>
              </w:rPr>
            </w:pPr>
          </w:p>
        </w:tc>
      </w:tr>
      <w:tr>
        <w:trPr>
          <w:trHeight w:val="20"/>
        </w:trPr>
        <w:tc>
          <w:tcPr>
            <w:tcW w:w="7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-828040</wp:posOffset>
            </wp:positionV>
            <wp:extent cx="596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-828040</wp:posOffset>
            </wp:positionV>
            <wp:extent cx="508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-157480</wp:posOffset>
            </wp:positionV>
            <wp:extent cx="596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-157480</wp:posOffset>
            </wp:positionV>
            <wp:extent cx="5080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269" w:lineRule="exact"/>
        <w:rPr>
          <w:sz w:val="20"/>
          <w:szCs w:val="20"/>
          <w:color w:val="auto"/>
        </w:rPr>
      </w:pPr>
    </w:p>
    <w:p>
      <w:pPr>
        <w:ind w:left="520" w:hanging="513"/>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0" w:lineRule="exact"/>
        <w:rPr>
          <w:rFonts w:ascii="Arial" w:cs="Arial" w:eastAsia="Arial" w:hAnsi="Arial"/>
          <w:sz w:val="18"/>
          <w:szCs w:val="18"/>
          <w:b w:val="1"/>
          <w:bCs w:val="1"/>
          <w:color w:val="auto"/>
        </w:rPr>
      </w:pPr>
    </w:p>
    <w:p>
      <w:pPr>
        <w:ind w:left="520" w:right="42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on a Recurring Basis</w:t>
      </w:r>
      <w:r>
        <w:rPr>
          <w:rFonts w:ascii="Arial" w:cs="Arial" w:eastAsia="Arial" w:hAnsi="Arial"/>
          <w:sz w:val="18"/>
          <w:szCs w:val="18"/>
          <w:color w:val="auto"/>
        </w:rPr>
        <w:t>—As of March 31, 2022, the Company's Private Warrants and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liability related to a business acquisition are measured at fair value on a recurring basis.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ind w:right="80"/>
        <w:spacing w:after="0" w:line="289" w:lineRule="auto"/>
        <w:rPr>
          <w:sz w:val="20"/>
          <w:szCs w:val="20"/>
          <w:color w:val="auto"/>
        </w:rPr>
      </w:pPr>
      <w:r>
        <w:rPr>
          <w:rFonts w:ascii="Arial" w:cs="Arial" w:eastAsia="Arial" w:hAnsi="Arial"/>
          <w:sz w:val="16"/>
          <w:szCs w:val="16"/>
          <w:color w:val="auto"/>
        </w:rPr>
        <w:t>The Private Warrants are valued using Level 1 and Level 2 inputs within the Black-Scholes option-pricing model. The assumptions utilized under the Black-Scholes option pricing model require judgments and estimates. Changes in these inputs and assumptions could affect the measurement of the estimated fair value of the Private Warrants. Accordingly, the Private Warrants are classified within Level 2 of the fair value hierarchy.</w:t>
      </w:r>
    </w:p>
    <w:p>
      <w:pPr>
        <w:spacing w:after="0" w:line="43" w:lineRule="exact"/>
        <w:rPr>
          <w:sz w:val="20"/>
          <w:szCs w:val="20"/>
          <w:color w:val="auto"/>
        </w:rPr>
      </w:pPr>
    </w:p>
    <w:p>
      <w:pPr>
        <w:ind w:right="600"/>
        <w:spacing w:after="0" w:line="255" w:lineRule="auto"/>
        <w:rPr>
          <w:sz w:val="20"/>
          <w:szCs w:val="20"/>
          <w:color w:val="auto"/>
        </w:rPr>
      </w:pPr>
      <w:r>
        <w:rPr>
          <w:rFonts w:ascii="Arial" w:cs="Arial" w:eastAsia="Arial" w:hAnsi="Arial"/>
          <w:sz w:val="18"/>
          <w:szCs w:val="18"/>
          <w:color w:val="auto"/>
        </w:rPr>
        <w:t>The valuation of the Private Warrants as of March 31, 2022 was determined using the Black-Scholes option pricing model using the following assumptions: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476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4.3</w:t>
            </w:r>
          </w:p>
        </w:tc>
      </w:tr>
      <w:tr>
        <w:trPr>
          <w:trHeight w:val="200"/>
        </w:trPr>
        <w:tc>
          <w:tcPr>
            <w:tcW w:w="5900" w:type="dxa"/>
            <w:vAlign w:val="bottom"/>
          </w:tcPr>
          <w:p>
            <w:pPr>
              <w:ind w:left="20"/>
              <w:spacing w:after="0" w:line="201" w:lineRule="exact"/>
              <w:rPr>
                <w:sz w:val="20"/>
                <w:szCs w:val="20"/>
                <w:color w:val="auto"/>
              </w:rPr>
            </w:pPr>
            <w:r>
              <w:rPr>
                <w:rFonts w:ascii="Arial" w:cs="Arial" w:eastAsia="Arial" w:hAnsi="Arial"/>
                <w:sz w:val="18"/>
                <w:szCs w:val="18"/>
                <w:color w:val="auto"/>
              </w:rPr>
              <w:t>Expected volatility</w:t>
            </w:r>
          </w:p>
        </w:tc>
        <w:tc>
          <w:tcPr>
            <w:tcW w:w="4760" w:type="dxa"/>
            <w:vAlign w:val="bottom"/>
          </w:tcPr>
          <w:p>
            <w:pPr>
              <w:jc w:val="right"/>
              <w:spacing w:after="0" w:line="201" w:lineRule="exact"/>
              <w:rPr>
                <w:sz w:val="20"/>
                <w:szCs w:val="20"/>
                <w:color w:val="auto"/>
              </w:rPr>
            </w:pPr>
            <w:r>
              <w:rPr>
                <w:rFonts w:ascii="Arial" w:cs="Arial" w:eastAsia="Arial" w:hAnsi="Arial"/>
                <w:sz w:val="18"/>
                <w:szCs w:val="18"/>
                <w:color w:val="auto"/>
              </w:rPr>
              <w:t>35 %</w:t>
            </w:r>
          </w:p>
        </w:tc>
      </w:tr>
      <w:tr>
        <w:trPr>
          <w:trHeight w:val="200"/>
        </w:trPr>
        <w:tc>
          <w:tcPr>
            <w:tcW w:w="59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Expected dividend yield</w:t>
            </w:r>
          </w:p>
        </w:tc>
        <w:tc>
          <w:tcPr>
            <w:tcW w:w="47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0 %</w:t>
            </w:r>
          </w:p>
        </w:tc>
      </w:tr>
      <w:tr>
        <w:trPr>
          <w:trHeight w:val="200"/>
        </w:trPr>
        <w:tc>
          <w:tcPr>
            <w:tcW w:w="5900" w:type="dxa"/>
            <w:vAlign w:val="bottom"/>
          </w:tcPr>
          <w:p>
            <w:pPr>
              <w:ind w:left="20"/>
              <w:spacing w:after="0" w:line="201" w:lineRule="exact"/>
              <w:rPr>
                <w:sz w:val="20"/>
                <w:szCs w:val="20"/>
                <w:color w:val="auto"/>
              </w:rPr>
            </w:pPr>
            <w:r>
              <w:rPr>
                <w:rFonts w:ascii="Arial" w:cs="Arial" w:eastAsia="Arial" w:hAnsi="Arial"/>
                <w:sz w:val="18"/>
                <w:szCs w:val="18"/>
                <w:color w:val="auto"/>
              </w:rPr>
              <w:t>Risk-free interest rate</w:t>
            </w:r>
          </w:p>
        </w:tc>
        <w:tc>
          <w:tcPr>
            <w:tcW w:w="4760" w:type="dxa"/>
            <w:vAlign w:val="bottom"/>
          </w:tcPr>
          <w:p>
            <w:pPr>
              <w:jc w:val="right"/>
              <w:spacing w:after="0" w:line="201" w:lineRule="exact"/>
              <w:rPr>
                <w:sz w:val="20"/>
                <w:szCs w:val="20"/>
                <w:color w:val="auto"/>
              </w:rPr>
            </w:pPr>
            <w:r>
              <w:rPr>
                <w:rFonts w:ascii="Arial" w:cs="Arial" w:eastAsia="Arial" w:hAnsi="Arial"/>
                <w:sz w:val="18"/>
                <w:szCs w:val="18"/>
                <w:color w:val="auto"/>
              </w:rPr>
              <w:t>2.43 %</w:t>
            </w:r>
          </w:p>
        </w:tc>
      </w:tr>
      <w:tr>
        <w:trPr>
          <w:trHeight w:val="200"/>
        </w:trPr>
        <w:tc>
          <w:tcPr>
            <w:tcW w:w="59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Fair value at valuation date</w:t>
            </w:r>
          </w:p>
        </w:tc>
        <w:tc>
          <w:tcPr>
            <w:tcW w:w="4760" w:type="dxa"/>
            <w:vAlign w:val="bottom"/>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rPr>
              <w:t>$  3.39</w:t>
            </w:r>
          </w:p>
        </w:tc>
      </w:tr>
    </w:tbl>
    <w:p>
      <w:pPr>
        <w:spacing w:after="0" w:line="9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contingent consideration liability related to the acquisition of Safekeep (see Note 4) is recorded at our preliminary estimate of fair value on the acquisition date and is adjusted each reporting period for changes in fair value, which can result from changes in anticipated payments and changes in assumed discount rates. These inputs are unobservable in the market and therefore categorized as Level 3 inputs.</w:t>
      </w:r>
    </w:p>
    <w:p>
      <w:pPr>
        <w:spacing w:after="0" w:line="6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The preliminary estimated fair value of the contingent consideration at March 31, 2022 was determined using probability-weighted discounted cash flows and a Monte Carlo simulation model. The discount rate, based on the Company's estimated cost of debt, was 9.0%.</w:t>
      </w:r>
    </w:p>
    <w:p>
      <w:pPr>
        <w:spacing w:after="0" w:line="4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There were no changes in the estimated fair value of the Company's contingent consideration liability from the date of the business acquisition to March 31, 2022.</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of the assets and liabilities measured at fair value on a recurring basis at March 31, 2022 (in thousands):</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r>
      <w:tr>
        <w:trPr>
          <w:trHeight w:val="194"/>
        </w:trPr>
        <w:tc>
          <w:tcPr>
            <w:tcW w:w="5360" w:type="dxa"/>
            <w:vAlign w:val="bottom"/>
            <w:shd w:val="clear" w:color="auto" w:fill="CFF0FC"/>
          </w:tcPr>
          <w:p>
            <w:pPr>
              <w:ind w:left="100"/>
              <w:spacing w:after="0" w:line="194" w:lineRule="exact"/>
              <w:rPr>
                <w:sz w:val="20"/>
                <w:szCs w:val="20"/>
                <w:color w:val="auto"/>
              </w:rPr>
            </w:pPr>
            <w:r>
              <w:rPr>
                <w:rFonts w:ascii="Arial" w:cs="Arial" w:eastAsia="Arial" w:hAnsi="Arial"/>
                <w:sz w:val="18"/>
                <w:szCs w:val="18"/>
                <w:color w:val="auto"/>
              </w:rPr>
              <w:t>Contingent consideration related to business acquisition</w:t>
            </w:r>
          </w:p>
        </w:tc>
        <w:tc>
          <w:tcPr>
            <w:tcW w:w="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200</w:t>
            </w: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731"/>
              <w:spacing w:after="0" w:line="194"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ind w:left="60"/>
              <w:spacing w:after="0" w:line="194" w:lineRule="exact"/>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11"/>
              <w:spacing w:after="0" w:line="194"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200</w:t>
            </w:r>
          </w:p>
        </w:tc>
        <w:tc>
          <w:tcPr>
            <w:tcW w:w="60" w:type="dxa"/>
            <w:vAlign w:val="bottom"/>
            <w:shd w:val="clear" w:color="auto" w:fill="CFF0FC"/>
          </w:tcPr>
          <w:p>
            <w:pPr>
              <w:spacing w:after="0"/>
              <w:rPr>
                <w:sz w:val="16"/>
                <w:szCs w:val="16"/>
                <w:color w:val="auto"/>
              </w:rPr>
            </w:pPr>
          </w:p>
        </w:tc>
      </w:tr>
      <w:tr>
        <w:trPr>
          <w:trHeight w:val="200"/>
        </w:trPr>
        <w:tc>
          <w:tcPr>
            <w:tcW w:w="5360" w:type="dxa"/>
            <w:vAlign w:val="bottom"/>
          </w:tcPr>
          <w:p>
            <w:pPr>
              <w:ind w:left="100"/>
              <w:spacing w:after="0" w:line="201" w:lineRule="exact"/>
              <w:rPr>
                <w:sz w:val="20"/>
                <w:szCs w:val="20"/>
                <w:color w:val="auto"/>
              </w:rPr>
            </w:pPr>
            <w:r>
              <w:rPr>
                <w:rFonts w:ascii="Arial" w:cs="Arial" w:eastAsia="Arial" w:hAnsi="Arial"/>
                <w:sz w:val="18"/>
                <w:szCs w:val="18"/>
                <w:color w:val="auto"/>
              </w:rPr>
              <w:t>Private warrants</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60,342</w:t>
            </w:r>
          </w:p>
        </w:tc>
        <w:tc>
          <w:tcPr>
            <w:tcW w:w="2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60"/>
              <w:spacing w:after="0" w:line="201"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60,342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4"/>
        </w:trPr>
        <w:tc>
          <w:tcPr>
            <w:tcW w:w="536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60,542</w:t>
            </w:r>
          </w:p>
        </w:tc>
        <w:tc>
          <w:tcPr>
            <w:tcW w:w="2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1"/>
              <w:spacing w:after="0" w:line="181"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60"/>
              <w:spacing w:after="0" w:line="181"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1"/>
              <w:spacing w:after="0" w:line="181"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60,342</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200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-24765</wp:posOffset>
            </wp:positionV>
            <wp:extent cx="42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-7620</wp:posOffset>
            </wp:positionV>
            <wp:extent cx="425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-24765</wp:posOffset>
            </wp:positionV>
            <wp:extent cx="425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-7620</wp:posOffset>
            </wp:positionV>
            <wp:extent cx="425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-24765</wp:posOffset>
            </wp:positionV>
            <wp:extent cx="336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5942965</wp:posOffset>
            </wp:positionH>
            <wp:positionV relativeFrom="paragraph">
              <wp:posOffset>-7620</wp:posOffset>
            </wp:positionV>
            <wp:extent cx="336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6774180</wp:posOffset>
            </wp:positionH>
            <wp:positionV relativeFrom="paragraph">
              <wp:posOffset>-24765</wp:posOffset>
            </wp:positionV>
            <wp:extent cx="336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6774180</wp:posOffset>
            </wp:positionH>
            <wp:positionV relativeFrom="paragraph">
              <wp:posOffset>-7620</wp:posOffset>
            </wp:positionV>
            <wp:extent cx="336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73" w:lineRule="exact"/>
        <w:rPr>
          <w:sz w:val="20"/>
          <w:szCs w:val="20"/>
          <w:color w:val="auto"/>
        </w:rPr>
      </w:pPr>
    </w:p>
    <w:p>
      <w:pPr>
        <w:ind w:right="860"/>
        <w:spacing w:after="0" w:line="255" w:lineRule="auto"/>
        <w:rPr>
          <w:sz w:val="20"/>
          <w:szCs w:val="20"/>
          <w:color w:val="auto"/>
        </w:rPr>
      </w:pPr>
      <w:r>
        <w:rPr>
          <w:rFonts w:ascii="Arial" w:cs="Arial" w:eastAsia="Arial" w:hAnsi="Arial"/>
          <w:sz w:val="18"/>
          <w:szCs w:val="18"/>
          <w:color w:val="auto"/>
        </w:rPr>
        <w:t>The following table presents the fair value of the assets and liabilities measured at fair value on a recurring basis at December 31, 2021 (in thousands):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r>
      <w:tr>
        <w:trPr>
          <w:trHeight w:val="194"/>
        </w:trPr>
        <w:tc>
          <w:tcPr>
            <w:tcW w:w="5360" w:type="dxa"/>
            <w:vAlign w:val="bottom"/>
            <w:tcBorders>
              <w:bottom w:val="single" w:sz="8" w:color="CFF0FC"/>
            </w:tcBorders>
            <w:shd w:val="clear" w:color="auto" w:fill="CFF0FC"/>
          </w:tcPr>
          <w:p>
            <w:pPr>
              <w:ind w:left="100"/>
              <w:spacing w:after="0" w:line="194" w:lineRule="exact"/>
              <w:rPr>
                <w:sz w:val="20"/>
                <w:szCs w:val="20"/>
                <w:color w:val="auto"/>
              </w:rPr>
            </w:pPr>
            <w:r>
              <w:rPr>
                <w:rFonts w:ascii="Arial" w:cs="Arial" w:eastAsia="Arial" w:hAnsi="Arial"/>
                <w:sz w:val="18"/>
                <w:szCs w:val="18"/>
                <w:color w:val="auto"/>
              </w:rPr>
              <w:t>Private warrants</w:t>
            </w:r>
          </w:p>
        </w:tc>
        <w:tc>
          <w:tcPr>
            <w:tcW w:w="1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62,478</w:t>
            </w:r>
          </w:p>
        </w:tc>
        <w:tc>
          <w:tcPr>
            <w:tcW w:w="2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731"/>
              <w:spacing w:after="0" w:line="194"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60"/>
              <w:spacing w:after="0" w:line="194" w:lineRule="exact"/>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11"/>
              <w:spacing w:after="0" w:line="194"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62,478</w:t>
            </w:r>
          </w:p>
        </w:tc>
        <w:tc>
          <w:tcPr>
            <w:tcW w:w="18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60"/>
              <w:spacing w:after="0" w:line="194"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94"/>
        </w:trPr>
        <w:tc>
          <w:tcPr>
            <w:tcW w:w="5360" w:type="dxa"/>
            <w:vAlign w:val="bottom"/>
          </w:tcPr>
          <w:p>
            <w:pPr>
              <w:ind w:left="20"/>
              <w:spacing w:after="0" w:line="181"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62,478</w:t>
            </w:r>
          </w:p>
        </w:tc>
        <w:tc>
          <w:tcPr>
            <w:tcW w:w="1140" w:type="dxa"/>
            <w:vAlign w:val="bottom"/>
            <w:gridSpan w:val="2"/>
          </w:tcPr>
          <w:p>
            <w:pPr>
              <w:jc w:val="right"/>
              <w:ind w:right="731"/>
              <w:spacing w:after="0" w:line="181" w:lineRule="exact"/>
              <w:rPr>
                <w:sz w:val="20"/>
                <w:szCs w:val="20"/>
                <w:color w:val="auto"/>
              </w:rPr>
            </w:pPr>
            <w:r>
              <w:rPr>
                <w:rFonts w:ascii="Arial" w:cs="Arial" w:eastAsia="Arial" w:hAnsi="Arial"/>
                <w:sz w:val="18"/>
                <w:szCs w:val="18"/>
                <w:color w:val="auto"/>
              </w:rPr>
              <w:t>$</w:t>
            </w:r>
          </w:p>
        </w:tc>
        <w:tc>
          <w:tcPr>
            <w:tcW w:w="240" w:type="dxa"/>
            <w:vAlign w:val="bottom"/>
          </w:tcPr>
          <w:p>
            <w:pPr>
              <w:ind w:left="60"/>
              <w:spacing w:after="0" w:line="181" w:lineRule="exact"/>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1"/>
              <w:spacing w:after="0" w:line="18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1" w:lineRule="exact"/>
              <w:rPr>
                <w:sz w:val="20"/>
                <w:szCs w:val="20"/>
                <w:color w:val="auto"/>
              </w:rPr>
            </w:pPr>
            <w:r>
              <w:rPr>
                <w:rFonts w:ascii="Arial" w:cs="Arial" w:eastAsia="Arial" w:hAnsi="Arial"/>
                <w:sz w:val="18"/>
                <w:szCs w:val="18"/>
                <w:color w:val="auto"/>
              </w:rPr>
              <w:t>62,478</w:t>
            </w:r>
          </w:p>
        </w:tc>
        <w:tc>
          <w:tcPr>
            <w:tcW w:w="380" w:type="dxa"/>
            <w:vAlign w:val="bottom"/>
            <w:gridSpan w:val="2"/>
          </w:tcPr>
          <w:p>
            <w:pPr>
              <w:jc w:val="right"/>
              <w:ind w:right="11"/>
              <w:spacing w:after="0" w:line="181" w:lineRule="exact"/>
              <w:rPr>
                <w:sz w:val="20"/>
                <w:szCs w:val="20"/>
                <w:color w:val="auto"/>
              </w:rPr>
            </w:pPr>
            <w:r>
              <w:rPr>
                <w:rFonts w:ascii="Arial" w:cs="Arial" w:eastAsia="Arial" w:hAnsi="Arial"/>
                <w:sz w:val="18"/>
                <w:szCs w:val="18"/>
                <w:color w:val="auto"/>
              </w:rPr>
              <w:t>$</w:t>
            </w:r>
          </w:p>
        </w:tc>
        <w:tc>
          <w:tcPr>
            <w:tcW w:w="940" w:type="dxa"/>
            <w:vAlign w:val="bottom"/>
          </w:tcPr>
          <w:p>
            <w:pPr>
              <w:ind w:left="760"/>
              <w:spacing w:after="0" w:line="181"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6"/>
                <w:szCs w:val="16"/>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4195445</wp:posOffset>
            </wp:positionH>
            <wp:positionV relativeFrom="paragraph">
              <wp:posOffset>-157480</wp:posOffset>
            </wp:positionV>
            <wp:extent cx="4254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5069205</wp:posOffset>
            </wp:positionH>
            <wp:positionV relativeFrom="paragraph">
              <wp:posOffset>-157480</wp:posOffset>
            </wp:positionV>
            <wp:extent cx="3365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5925820</wp:posOffset>
            </wp:positionH>
            <wp:positionV relativeFrom="paragraph">
              <wp:posOffset>-157480</wp:posOffset>
            </wp:positionV>
            <wp:extent cx="3365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6774180</wp:posOffset>
            </wp:positionH>
            <wp:positionV relativeFrom="paragraph">
              <wp:posOffset>-157480</wp:posOffset>
            </wp:positionV>
            <wp:extent cx="3365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5715"/>
                    </a:xfrm>
                    <a:prstGeom prst="rect">
                      <a:avLst/>
                    </a:prstGeom>
                    <a:noFill/>
                  </pic:spPr>
                </pic:pic>
              </a:graphicData>
            </a:graphic>
          </wp:anchor>
        </w:drawing>
      </w:r>
    </w:p>
    <w:p>
      <w:pPr>
        <w:spacing w:after="0" w:line="269" w:lineRule="exact"/>
        <w:rPr>
          <w:sz w:val="20"/>
          <w:szCs w:val="20"/>
          <w:color w:val="auto"/>
        </w:rPr>
      </w:pPr>
    </w:p>
    <w:p>
      <w:pPr>
        <w:ind w:right="100"/>
        <w:spacing w:after="0" w:line="333" w:lineRule="auto"/>
        <w:rPr>
          <w:sz w:val="20"/>
          <w:szCs w:val="20"/>
          <w:color w:val="auto"/>
        </w:rPr>
      </w:pPr>
      <w:r>
        <w:rPr>
          <w:rFonts w:ascii="Arial" w:cs="Arial" w:eastAsia="Arial" w:hAnsi="Arial"/>
          <w:sz w:val="14"/>
          <w:szCs w:val="14"/>
          <w:b w:val="1"/>
          <w:bCs w:val="1"/>
          <w:color w:val="auto"/>
        </w:rPr>
        <w:t>Assets and Liabilities Measured at Fair Value on a Nonrecurring Basis</w:t>
      </w:r>
      <w:r>
        <w:rPr>
          <w:rFonts w:ascii="Arial" w:cs="Arial" w:eastAsia="Arial" w:hAnsi="Arial"/>
          <w:sz w:val="14"/>
          <w:szCs w:val="14"/>
          <w:color w:val="auto"/>
        </w:rPr>
        <w:t>—The Company has assets that under certain conditions are subject to</w:t>
      </w:r>
      <w:r>
        <w:rPr>
          <w:rFonts w:ascii="Arial" w:cs="Arial" w:eastAsia="Arial" w:hAnsi="Arial"/>
          <w:sz w:val="14"/>
          <w:szCs w:val="14"/>
          <w:b w:val="1"/>
          <w:bCs w:val="1"/>
          <w:color w:val="auto"/>
        </w:rPr>
        <w:t xml:space="preserve"> </w:t>
      </w:r>
      <w:r>
        <w:rPr>
          <w:rFonts w:ascii="Arial" w:cs="Arial" w:eastAsia="Arial" w:hAnsi="Arial"/>
          <w:sz w:val="14"/>
          <w:szCs w:val="14"/>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 During the three months ended March 31, 2022 and 2021, the Company recognized no impairment related to these assets.</w:t>
      </w:r>
    </w:p>
    <w:p>
      <w:pPr>
        <w:spacing w:after="0" w:line="108"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b w:val="1"/>
          <w:bCs w:val="1"/>
          <w:color w:val="auto"/>
        </w:rPr>
        <w:t>Fair Value of Other Financial Instruments</w:t>
      </w:r>
      <w:r>
        <w:rPr>
          <w:rFonts w:ascii="Arial" w:cs="Arial" w:eastAsia="Arial" w:hAnsi="Arial"/>
          <w:sz w:val="16"/>
          <w:szCs w:val="16"/>
          <w:color w:val="auto"/>
        </w:rPr>
        <w:t>—The following table presents the carrying amounts, net of debt discount, and estimated fair values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financial instruments that are not recorded at fair value on the condensed consolidated balance sheets (in thousands):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5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8"/>
                <w:szCs w:val="18"/>
                <w:b w:val="1"/>
                <w:bCs w:val="1"/>
                <w:color w:val="auto"/>
              </w:rPr>
              <w:t>December 31, 2021</w:t>
            </w:r>
          </w:p>
        </w:tc>
        <w:tc>
          <w:tcPr>
            <w:tcW w:w="60" w:type="dxa"/>
            <w:vAlign w:val="bottom"/>
          </w:tcPr>
          <w:p>
            <w:pPr>
              <w:spacing w:after="0"/>
              <w:rPr>
                <w:sz w:val="19"/>
                <w:szCs w:val="19"/>
                <w:color w:val="auto"/>
              </w:rPr>
            </w:pPr>
          </w:p>
        </w:tc>
      </w:tr>
      <w:tr>
        <w:trPr>
          <w:trHeight w:val="175"/>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60"/>
              <w:spacing w:after="0" w:line="176" w:lineRule="exact"/>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91"/>
              <w:spacing w:after="0" w:line="176" w:lineRule="exact"/>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ind w:left="60"/>
              <w:spacing w:after="0" w:line="176" w:lineRule="exact"/>
              <w:rPr>
                <w:sz w:val="20"/>
                <w:szCs w:val="20"/>
                <w:color w:val="auto"/>
              </w:rPr>
            </w:pPr>
            <w:r>
              <w:rPr>
                <w:rFonts w:ascii="Arial" w:cs="Arial" w:eastAsia="Arial" w:hAnsi="Arial"/>
                <w:sz w:val="18"/>
                <w:szCs w:val="18"/>
                <w:b w:val="1"/>
                <w:bCs w:val="1"/>
                <w:color w:val="auto"/>
              </w:rPr>
              <w:t>Estimated</w:t>
            </w:r>
          </w:p>
        </w:tc>
        <w:tc>
          <w:tcPr>
            <w:tcW w:w="60" w:type="dxa"/>
            <w:vAlign w:val="bottom"/>
          </w:tcPr>
          <w:p>
            <w:pPr>
              <w:spacing w:after="0"/>
              <w:rPr>
                <w:sz w:val="15"/>
                <w:szCs w:val="15"/>
                <w:color w:val="auto"/>
              </w:rPr>
            </w:pPr>
          </w:p>
        </w:tc>
      </w:tr>
      <w:tr>
        <w:trPr>
          <w:trHeight w:val="219"/>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9"/>
                <w:szCs w:val="19"/>
                <w:color w:val="auto"/>
              </w:rPr>
            </w:pPr>
          </w:p>
        </w:tc>
      </w:tr>
      <w:tr>
        <w:trPr>
          <w:trHeight w:val="194"/>
        </w:trPr>
        <w:tc>
          <w:tcPr>
            <w:tcW w:w="526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Term B Loan, including current portion</w:t>
            </w: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796,139</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791,018</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798,073</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799,000</w:t>
            </w:r>
          </w:p>
        </w:tc>
        <w:tc>
          <w:tcPr>
            <w:tcW w:w="60" w:type="dxa"/>
            <w:vAlign w:val="bottom"/>
            <w:shd w:val="clear" w:color="auto" w:fill="CFF0FC"/>
          </w:tcPr>
          <w:p>
            <w:pPr>
              <w:spacing w:after="0"/>
              <w:rPr>
                <w:sz w:val="16"/>
                <w:szCs w:val="16"/>
                <w:color w:val="auto"/>
              </w:rPr>
            </w:pPr>
          </w:p>
        </w:tc>
      </w:tr>
    </w:tbl>
    <w:p>
      <w:pPr>
        <w:spacing w:after="0" w:line="22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6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60325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840" w:top="432" w:right="339" w:bottom="1440" w:gutter="0" w:footer="0" w:header="0"/>
        </w:sectPr>
      </w:pPr>
    </w:p>
    <w:bookmarkStart w:id="18" w:name="page19"/>
    <w:bookmarkEnd w:id="18"/>
    <w:p>
      <w:pPr>
        <w:ind w:left="520" w:hanging="513"/>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4" w:lineRule="exact"/>
        <w:rPr>
          <w:rFonts w:ascii="Arial" w:cs="Arial" w:eastAsia="Arial" w:hAnsi="Arial"/>
          <w:sz w:val="18"/>
          <w:szCs w:val="18"/>
          <w:b w:val="1"/>
          <w:bCs w:val="1"/>
          <w:color w:val="auto"/>
        </w:rPr>
      </w:pPr>
    </w:p>
    <w:p>
      <w:pPr>
        <w:ind w:left="520" w:right="4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benefit rate for the three months ended March 31, 2022 was (7.8)% compared to the effective tax rate for the three months ended March 31, 2021 of 37.7%.</w:t>
      </w:r>
    </w:p>
    <w:p>
      <w:pPr>
        <w:spacing w:after="0" w:line="67" w:lineRule="exact"/>
        <w:rPr>
          <w:rFonts w:ascii="Arial" w:cs="Arial" w:eastAsia="Arial" w:hAnsi="Arial"/>
          <w:sz w:val="18"/>
          <w:szCs w:val="18"/>
          <w:b w:val="1"/>
          <w:bCs w:val="1"/>
          <w:color w:val="auto"/>
        </w:rPr>
      </w:pPr>
    </w:p>
    <w:p>
      <w:pPr>
        <w:ind w:left="520" w:right="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effective tax rate for the three months ended March 31, 2022 was lower than the March 31, 2021 effective tax rate primarily due to the tax benefit received related to share-based compensation expense as well as the tax benefit associated with the re-measurement of the company’s deferred tax liability for changes in state tax rates.</w:t>
      </w:r>
    </w:p>
    <w:p>
      <w:pPr>
        <w:spacing w:after="0" w:line="79" w:lineRule="exact"/>
        <w:rPr>
          <w:rFonts w:ascii="Arial" w:cs="Arial" w:eastAsia="Arial" w:hAnsi="Arial"/>
          <w:sz w:val="18"/>
          <w:szCs w:val="18"/>
          <w:b w:val="1"/>
          <w:bCs w:val="1"/>
          <w:color w:val="auto"/>
        </w:rPr>
      </w:pPr>
    </w:p>
    <w:p>
      <w:pPr>
        <w:ind w:left="520" w:right="26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made income tax payments of $5 thousand and $3.9 million for the three months ended March 31, 2022 and 2021, respectively. The Company received refunds from various states totaling $50 thousand and $16 thousand for the three months ended March 31, 2022 and 2021, respectively.</w:t>
      </w:r>
    </w:p>
    <w:p>
      <w:pPr>
        <w:spacing w:after="0" w:line="79" w:lineRule="exact"/>
        <w:rPr>
          <w:rFonts w:ascii="Arial" w:cs="Arial" w:eastAsia="Arial" w:hAnsi="Arial"/>
          <w:sz w:val="18"/>
          <w:szCs w:val="18"/>
          <w:b w:val="1"/>
          <w:bCs w:val="1"/>
          <w:color w:val="auto"/>
        </w:rPr>
      </w:pPr>
    </w:p>
    <w:p>
      <w:pPr>
        <w:ind w:left="520" w:right="24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As of March 31, 2022, unrecognized tax benefits were materially consistent with the amount at December 31, 2021. We anticipate this amount will decrease to $3.4 million over the following twelve months, as the increase related to fiscal year 2022 is offset by decreases related to statute expirations.</w:t>
      </w:r>
    </w:p>
    <w:p>
      <w:pPr>
        <w:spacing w:after="0" w:line="289" w:lineRule="exact"/>
        <w:rPr>
          <w:rFonts w:ascii="Arial" w:cs="Arial" w:eastAsia="Arial" w:hAnsi="Arial"/>
          <w:sz w:val="18"/>
          <w:szCs w:val="18"/>
          <w:b w:val="1"/>
          <w:bCs w:val="1"/>
          <w:color w:val="auto"/>
        </w:rPr>
      </w:pPr>
    </w:p>
    <w:p>
      <w:pPr>
        <w:ind w:left="520" w:hanging="513"/>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receivable–net as of March 31, 2022 and December 31, 2021, consists of the following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19"/>
        </w:trPr>
        <w:tc>
          <w:tcPr>
            <w:tcW w:w="7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4"/>
        </w:trPr>
        <w:tc>
          <w:tcPr>
            <w:tcW w:w="720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80,907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82,584</w:t>
            </w:r>
          </w:p>
        </w:tc>
        <w:tc>
          <w:tcPr>
            <w:tcW w:w="80" w:type="dxa"/>
            <w:vAlign w:val="bottom"/>
            <w:shd w:val="clear" w:color="auto" w:fill="CFF0FC"/>
          </w:tcPr>
          <w:p>
            <w:pPr>
              <w:spacing w:after="0"/>
              <w:rPr>
                <w:sz w:val="16"/>
                <w:szCs w:val="16"/>
                <w:color w:val="auto"/>
              </w:rPr>
            </w:pPr>
          </w:p>
        </w:tc>
      </w:tr>
      <w:tr>
        <w:trPr>
          <w:trHeight w:val="200"/>
        </w:trPr>
        <w:tc>
          <w:tcPr>
            <w:tcW w:w="7200" w:type="dxa"/>
            <w:vAlign w:val="bottom"/>
          </w:tcPr>
          <w:p>
            <w:pPr>
              <w:ind w:left="20"/>
              <w:spacing w:after="0" w:line="201" w:lineRule="exact"/>
              <w:rPr>
                <w:sz w:val="20"/>
                <w:szCs w:val="20"/>
                <w:color w:val="auto"/>
              </w:rPr>
            </w:pPr>
            <w:r>
              <w:rPr>
                <w:rFonts w:ascii="Arial" w:cs="Arial" w:eastAsia="Arial" w:hAnsi="Arial"/>
                <w:sz w:val="18"/>
                <w:szCs w:val="18"/>
                <w:color w:val="auto"/>
              </w:rPr>
              <w:t>Allowance for doubtful accounts and sales reserves</w:t>
            </w:r>
          </w:p>
        </w:tc>
        <w:tc>
          <w:tcPr>
            <w:tcW w:w="240" w:type="dxa"/>
            <w:vAlign w:val="bottom"/>
          </w:tcPr>
          <w:p>
            <w:pPr>
              <w:spacing w:after="0"/>
              <w:rPr>
                <w:sz w:val="17"/>
                <w:szCs w:val="17"/>
                <w:color w:val="auto"/>
              </w:rPr>
            </w:pPr>
          </w:p>
        </w:tc>
        <w:tc>
          <w:tcPr>
            <w:tcW w:w="16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(4,161 )</w:t>
            </w:r>
          </w:p>
        </w:tc>
        <w:tc>
          <w:tcPr>
            <w:tcW w:w="180" w:type="dxa"/>
            <w:vAlign w:val="bottom"/>
          </w:tcPr>
          <w:p>
            <w:pPr>
              <w:spacing w:after="0"/>
              <w:rPr>
                <w:sz w:val="17"/>
                <w:szCs w:val="17"/>
                <w:color w:val="auto"/>
              </w:rPr>
            </w:pPr>
          </w:p>
        </w:tc>
        <w:tc>
          <w:tcPr>
            <w:tcW w:w="14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(3,791 )</w:t>
            </w:r>
          </w:p>
        </w:tc>
      </w:tr>
      <w:tr>
        <w:trPr>
          <w:trHeight w:val="234"/>
        </w:trPr>
        <w:tc>
          <w:tcPr>
            <w:tcW w:w="720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8"/>
                <w:szCs w:val="18"/>
                <w:color w:val="auto"/>
              </w:rPr>
              <w:t>Accounts receivable–net</w:t>
            </w:r>
          </w:p>
        </w:tc>
        <w:tc>
          <w:tcPr>
            <w:tcW w:w="240" w:type="dxa"/>
            <w:vAlign w:val="bottom"/>
            <w:tcBorders>
              <w:top w:val="single" w:sz="8" w:color="auto"/>
              <w:bottom w:val="single" w:sz="8" w:color="auto"/>
            </w:tcBorders>
            <w:shd w:val="clear" w:color="auto" w:fill="CFF0FC"/>
          </w:tcPr>
          <w:p>
            <w:pPr>
              <w:jc w:val="right"/>
              <w:ind w:right="51"/>
              <w:spacing w:after="0" w:line="181"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76,746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78,793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5933440</wp:posOffset>
            </wp:positionH>
            <wp:positionV relativeFrom="paragraph">
              <wp:posOffset>-24765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-7620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-24765</wp:posOffset>
            </wp:positionV>
            <wp:extent cx="508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-7620</wp:posOffset>
            </wp:positionV>
            <wp:extent cx="508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6"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Changes to the allowance for doubtful accounts and sales reserves during the three months ended March 31, 2022 and 2021, consists of the following (in thousands):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9"/>
        </w:trPr>
        <w:tc>
          <w:tcPr>
            <w:tcW w:w="7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91"/>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722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2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Balance at beginning of period</w:t>
            </w:r>
          </w:p>
        </w:tc>
        <w:tc>
          <w:tcPr>
            <w:tcW w:w="1040" w:type="dxa"/>
            <w:vAlign w:val="bottom"/>
            <w:shd w:val="clear" w:color="auto" w:fill="CFF0FC"/>
          </w:tcPr>
          <w:p>
            <w:pPr>
              <w:jc w:val="right"/>
              <w:ind w:right="851"/>
              <w:spacing w:after="0" w:line="19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3,791</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831"/>
              <w:spacing w:after="0" w:line="194"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4,224</w:t>
            </w:r>
          </w:p>
        </w:tc>
        <w:tc>
          <w:tcPr>
            <w:tcW w:w="80" w:type="dxa"/>
            <w:vAlign w:val="bottom"/>
            <w:shd w:val="clear" w:color="auto" w:fill="CFF0FC"/>
          </w:tcPr>
          <w:p>
            <w:pPr>
              <w:spacing w:after="0"/>
              <w:rPr>
                <w:sz w:val="16"/>
                <w:szCs w:val="16"/>
                <w:color w:val="auto"/>
              </w:rPr>
            </w:pPr>
          </w:p>
        </w:tc>
      </w:tr>
      <w:tr>
        <w:trPr>
          <w:trHeight w:val="200"/>
        </w:trPr>
        <w:tc>
          <w:tcPr>
            <w:tcW w:w="7220" w:type="dxa"/>
            <w:vAlign w:val="bottom"/>
          </w:tcPr>
          <w:p>
            <w:pPr>
              <w:ind w:left="100"/>
              <w:spacing w:after="0" w:line="201" w:lineRule="exact"/>
              <w:rPr>
                <w:sz w:val="20"/>
                <w:szCs w:val="20"/>
                <w:color w:val="auto"/>
              </w:rPr>
            </w:pPr>
            <w:r>
              <w:rPr>
                <w:rFonts w:ascii="Arial" w:cs="Arial" w:eastAsia="Arial" w:hAnsi="Arial"/>
                <w:sz w:val="18"/>
                <w:szCs w:val="18"/>
                <w:color w:val="auto"/>
              </w:rPr>
              <w:t>Charges to bad debt and sales reserves</w:t>
            </w:r>
          </w:p>
        </w:tc>
        <w:tc>
          <w:tcPr>
            <w:tcW w:w="104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1,232</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1,066</w:t>
            </w:r>
          </w:p>
        </w:tc>
        <w:tc>
          <w:tcPr>
            <w:tcW w:w="80" w:type="dxa"/>
            <w:vAlign w:val="bottom"/>
          </w:tcPr>
          <w:p>
            <w:pPr>
              <w:spacing w:after="0"/>
              <w:rPr>
                <w:sz w:val="17"/>
                <w:szCs w:val="17"/>
                <w:color w:val="auto"/>
              </w:rPr>
            </w:pPr>
          </w:p>
        </w:tc>
      </w:tr>
      <w:tr>
        <w:trPr>
          <w:trHeight w:val="200"/>
        </w:trPr>
        <w:tc>
          <w:tcPr>
            <w:tcW w:w="7220" w:type="dxa"/>
            <w:vAlign w:val="bottom"/>
            <w:shd w:val="clear" w:color="auto" w:fill="CFF0FC"/>
          </w:tcPr>
          <w:p>
            <w:pPr>
              <w:ind w:left="100"/>
              <w:spacing w:after="0" w:line="201" w:lineRule="exact"/>
              <w:rPr>
                <w:sz w:val="20"/>
                <w:szCs w:val="20"/>
                <w:color w:val="auto"/>
              </w:rPr>
            </w:pPr>
            <w:r>
              <w:rPr>
                <w:rFonts w:ascii="Arial" w:cs="Arial" w:eastAsia="Arial" w:hAnsi="Arial"/>
                <w:sz w:val="18"/>
                <w:szCs w:val="18"/>
                <w:color w:val="auto"/>
              </w:rPr>
              <w:t>Write-offs, net</w:t>
            </w:r>
          </w:p>
        </w:tc>
        <w:tc>
          <w:tcPr>
            <w:tcW w:w="10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line="201" w:lineRule="exact"/>
              <w:rPr>
                <w:sz w:val="20"/>
                <w:szCs w:val="20"/>
                <w:color w:val="auto"/>
              </w:rPr>
            </w:pPr>
            <w:r>
              <w:rPr>
                <w:rFonts w:ascii="Arial" w:cs="Arial" w:eastAsia="Arial" w:hAnsi="Arial"/>
                <w:sz w:val="18"/>
                <w:szCs w:val="18"/>
                <w:color w:val="auto"/>
              </w:rPr>
              <w:t>(862 )</w:t>
            </w:r>
          </w:p>
        </w:tc>
        <w:tc>
          <w:tcPr>
            <w:tcW w:w="10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w w:val="93"/>
              </w:rPr>
              <w:t>(1,359 )</w:t>
            </w:r>
          </w:p>
        </w:tc>
      </w:tr>
      <w:tr>
        <w:trPr>
          <w:trHeight w:val="194"/>
        </w:trPr>
        <w:tc>
          <w:tcPr>
            <w:tcW w:w="7220" w:type="dxa"/>
            <w:vAlign w:val="bottom"/>
            <w:tcBorders>
              <w:top w:val="single" w:sz="8" w:color="CFF0FC"/>
            </w:tcBorders>
          </w:tcPr>
          <w:p>
            <w:pPr>
              <w:ind w:left="20"/>
              <w:spacing w:after="0" w:line="181" w:lineRule="exact"/>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bottom w:val="single" w:sz="8" w:color="auto"/>
            </w:tcBorders>
          </w:tcPr>
          <w:p>
            <w:pPr>
              <w:jc w:val="right"/>
              <w:ind w:right="851"/>
              <w:spacing w:after="0" w:line="18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4,161</w:t>
            </w:r>
          </w:p>
        </w:tc>
        <w:tc>
          <w:tcPr>
            <w:tcW w:w="260" w:type="dxa"/>
            <w:vAlign w:val="bottom"/>
            <w:tcBorders>
              <w:top w:val="single" w:sz="8" w:color="CFF0FC"/>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831"/>
              <w:spacing w:after="0" w:line="181"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3,931</w:t>
            </w:r>
          </w:p>
        </w:tc>
        <w:tc>
          <w:tcPr>
            <w:tcW w:w="80" w:type="dxa"/>
            <w:vAlign w:val="bottom"/>
            <w:tcBorders>
              <w:top w:val="single" w:sz="8" w:color="CFF0FC"/>
            </w:tcBorders>
          </w:tcPr>
          <w:p>
            <w:pPr>
              <w:spacing w:after="0"/>
              <w:rPr>
                <w:sz w:val="16"/>
                <w:szCs w:val="16"/>
                <w:color w:val="auto"/>
              </w:rPr>
            </w:pPr>
          </w:p>
        </w:tc>
      </w:tr>
      <w:tr>
        <w:trPr>
          <w:trHeight w:val="20"/>
        </w:trPr>
        <w:tc>
          <w:tcPr>
            <w:tcW w:w="7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-157480</wp:posOffset>
            </wp:positionV>
            <wp:extent cx="5969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-157480</wp:posOffset>
            </wp:positionV>
            <wp:extent cx="5080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296"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as of March 31, 2022 and December 31, 2021, consist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4"/>
        </w:trPr>
        <w:tc>
          <w:tcPr>
            <w:tcW w:w="580" w:type="dxa"/>
            <w:vAlign w:val="bottom"/>
          </w:tcPr>
          <w:p>
            <w:pPr>
              <w:spacing w:after="0"/>
              <w:rPr>
                <w:sz w:val="16"/>
                <w:szCs w:val="16"/>
                <w:color w:val="auto"/>
              </w:rPr>
            </w:pPr>
          </w:p>
        </w:tc>
        <w:tc>
          <w:tcPr>
            <w:tcW w:w="410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Non-trade receivables</w:t>
            </w:r>
          </w:p>
        </w:tc>
        <w:tc>
          <w:tcPr>
            <w:tcW w:w="31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9,409</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8,321</w:t>
            </w:r>
          </w:p>
        </w:tc>
        <w:tc>
          <w:tcPr>
            <w:tcW w:w="60" w:type="dxa"/>
            <w:vAlign w:val="bottom"/>
            <w:shd w:val="clear" w:color="auto" w:fill="CFF0FC"/>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4100" w:type="dxa"/>
            <w:vAlign w:val="bottom"/>
          </w:tcPr>
          <w:p>
            <w:pPr>
              <w:ind w:left="20"/>
              <w:spacing w:after="0" w:line="201" w:lineRule="exact"/>
              <w:rPr>
                <w:sz w:val="20"/>
                <w:szCs w:val="20"/>
                <w:color w:val="auto"/>
              </w:rPr>
            </w:pPr>
            <w:r>
              <w:rPr>
                <w:rFonts w:ascii="Arial" w:cs="Arial" w:eastAsia="Arial" w:hAnsi="Arial"/>
                <w:sz w:val="18"/>
                <w:szCs w:val="18"/>
                <w:color w:val="auto"/>
              </w:rPr>
              <w:t>Prepaid service fees</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8,457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8,623</w:t>
            </w:r>
          </w:p>
        </w:tc>
        <w:tc>
          <w:tcPr>
            <w:tcW w:w="60" w:type="dxa"/>
            <w:vAlign w:val="bottom"/>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41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Prepaid software and equipment maintenance</w:t>
            </w:r>
          </w:p>
        </w:tc>
        <w:tc>
          <w:tcPr>
            <w:tcW w:w="3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6,241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7,593</w:t>
            </w:r>
          </w:p>
        </w:tc>
        <w:tc>
          <w:tcPr>
            <w:tcW w:w="60" w:type="dxa"/>
            <w:vAlign w:val="bottom"/>
            <w:shd w:val="clear" w:color="auto" w:fill="CFF0FC"/>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4100" w:type="dxa"/>
            <w:vAlign w:val="bottom"/>
          </w:tcPr>
          <w:p>
            <w:pPr>
              <w:ind w:left="20"/>
              <w:spacing w:after="0" w:line="201" w:lineRule="exact"/>
              <w:rPr>
                <w:sz w:val="20"/>
                <w:szCs w:val="20"/>
                <w:color w:val="auto"/>
              </w:rPr>
            </w:pPr>
            <w:r>
              <w:rPr>
                <w:rFonts w:ascii="Arial" w:cs="Arial" w:eastAsia="Arial" w:hAnsi="Arial"/>
                <w:sz w:val="18"/>
                <w:szCs w:val="18"/>
                <w:color w:val="auto"/>
              </w:rPr>
              <w:t>Prepaid SaaS costs</w:t>
            </w:r>
          </w:p>
        </w:tc>
        <w:tc>
          <w:tcPr>
            <w:tcW w:w="3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5,344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5,909</w:t>
            </w:r>
          </w:p>
        </w:tc>
        <w:tc>
          <w:tcPr>
            <w:tcW w:w="60" w:type="dxa"/>
            <w:vAlign w:val="bottom"/>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41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Prepaid insurance</w:t>
            </w:r>
          </w:p>
        </w:tc>
        <w:tc>
          <w:tcPr>
            <w:tcW w:w="3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2,513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4,416</w:t>
            </w:r>
          </w:p>
        </w:tc>
        <w:tc>
          <w:tcPr>
            <w:tcW w:w="60" w:type="dxa"/>
            <w:vAlign w:val="bottom"/>
            <w:shd w:val="clear" w:color="auto" w:fill="CFF0FC"/>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4100" w:type="dxa"/>
            <w:vAlign w:val="bottom"/>
          </w:tcPr>
          <w:p>
            <w:pPr>
              <w:ind w:left="20"/>
              <w:spacing w:after="0" w:line="201" w:lineRule="exact"/>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12,049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11,319</w:t>
            </w:r>
          </w:p>
        </w:tc>
        <w:tc>
          <w:tcPr>
            <w:tcW w:w="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100" w:type="dxa"/>
            <w:vAlign w:val="bottom"/>
            <w:tcBorders>
              <w:bottom w:val="single" w:sz="8" w:color="CFF0FC"/>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Total</w:t>
            </w:r>
          </w:p>
        </w:tc>
        <w:tc>
          <w:tcPr>
            <w:tcW w:w="3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44,013</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46,181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06"/>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120" w:type="dxa"/>
            <w:vAlign w:val="bottom"/>
          </w:tcPr>
          <w:p>
            <w:pPr>
              <w:jc w:val="right"/>
              <w:ind w:right="199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-491490</wp:posOffset>
            </wp:positionV>
            <wp:extent cx="425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-474345</wp:posOffset>
            </wp:positionV>
            <wp:extent cx="425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-491490</wp:posOffset>
            </wp:positionV>
            <wp:extent cx="42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-474345</wp:posOffset>
            </wp:positionV>
            <wp:extent cx="42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9" w:name="page20"/>
    <w:bookmarkEnd w:id="19"/>
    <w:p>
      <w:pPr>
        <w:ind w:left="520" w:hanging="513"/>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SOFTWARE, EQUIPMENT, AND PROPERTY</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Software, equipment, and property as of March 31, 2022 and December 31, 2021, consist of the following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19"/>
        </w:trPr>
        <w:tc>
          <w:tcPr>
            <w:tcW w:w="7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4"/>
        </w:trPr>
        <w:tc>
          <w:tcPr>
            <w:tcW w:w="70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Software, licenses and database</w:t>
            </w:r>
          </w:p>
        </w:tc>
        <w:tc>
          <w:tcPr>
            <w:tcW w:w="280" w:type="dxa"/>
            <w:vAlign w:val="bottom"/>
            <w:shd w:val="clear" w:color="auto" w:fill="CFF0FC"/>
          </w:tcPr>
          <w:p>
            <w:pPr>
              <w:jc w:val="right"/>
              <w:ind w:right="71"/>
              <w:spacing w:after="0" w:line="194"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148,097</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140,692</w:t>
            </w:r>
          </w:p>
        </w:tc>
        <w:tc>
          <w:tcPr>
            <w:tcW w:w="80" w:type="dxa"/>
            <w:vAlign w:val="bottom"/>
            <w:shd w:val="clear" w:color="auto" w:fill="CFF0FC"/>
          </w:tcPr>
          <w:p>
            <w:pPr>
              <w:spacing w:after="0"/>
              <w:rPr>
                <w:sz w:val="16"/>
                <w:szCs w:val="16"/>
                <w:color w:val="auto"/>
              </w:rPr>
            </w:pPr>
          </w:p>
        </w:tc>
      </w:tr>
      <w:tr>
        <w:trPr>
          <w:trHeight w:val="200"/>
        </w:trPr>
        <w:tc>
          <w:tcPr>
            <w:tcW w:w="7020" w:type="dxa"/>
            <w:vAlign w:val="bottom"/>
          </w:tcPr>
          <w:p>
            <w:pPr>
              <w:ind w:left="20"/>
              <w:spacing w:after="0" w:line="201" w:lineRule="exact"/>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32,558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34,880</w:t>
            </w:r>
          </w:p>
        </w:tc>
        <w:tc>
          <w:tcPr>
            <w:tcW w:w="80" w:type="dxa"/>
            <w:vAlign w:val="bottom"/>
          </w:tcPr>
          <w:p>
            <w:pPr>
              <w:spacing w:after="0"/>
              <w:rPr>
                <w:sz w:val="17"/>
                <w:szCs w:val="17"/>
                <w:color w:val="auto"/>
              </w:rPr>
            </w:pPr>
          </w:p>
        </w:tc>
      </w:tr>
      <w:tr>
        <w:trPr>
          <w:trHeight w:val="200"/>
        </w:trPr>
        <w:tc>
          <w:tcPr>
            <w:tcW w:w="70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32,248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31,635</w:t>
            </w:r>
          </w:p>
        </w:tc>
        <w:tc>
          <w:tcPr>
            <w:tcW w:w="80" w:type="dxa"/>
            <w:vAlign w:val="bottom"/>
            <w:shd w:val="clear" w:color="auto" w:fill="CFF0FC"/>
          </w:tcPr>
          <w:p>
            <w:pPr>
              <w:spacing w:after="0"/>
              <w:rPr>
                <w:sz w:val="17"/>
                <w:szCs w:val="17"/>
                <w:color w:val="auto"/>
              </w:rPr>
            </w:pPr>
          </w:p>
        </w:tc>
      </w:tr>
      <w:tr>
        <w:trPr>
          <w:trHeight w:val="200"/>
        </w:trPr>
        <w:tc>
          <w:tcPr>
            <w:tcW w:w="7020" w:type="dxa"/>
            <w:vAlign w:val="bottom"/>
          </w:tcPr>
          <w:p>
            <w:pPr>
              <w:ind w:left="20"/>
              <w:spacing w:after="0" w:line="201" w:lineRule="exact"/>
              <w:rPr>
                <w:sz w:val="20"/>
                <w:szCs w:val="20"/>
                <w:color w:val="auto"/>
              </w:rPr>
            </w:pPr>
            <w:r>
              <w:rPr>
                <w:rFonts w:ascii="Arial" w:cs="Arial" w:eastAsia="Arial" w:hAnsi="Arial"/>
                <w:sz w:val="18"/>
                <w:szCs w:val="18"/>
                <w:color w:val="auto"/>
              </w:rPr>
              <w:t>Furniture and other equipment</w:t>
            </w:r>
          </w:p>
        </w:tc>
        <w:tc>
          <w:tcPr>
            <w:tcW w:w="28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3,340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Arial" w:cs="Arial" w:eastAsia="Arial" w:hAnsi="Arial"/>
                <w:sz w:val="18"/>
                <w:szCs w:val="18"/>
                <w:color w:val="auto"/>
              </w:rPr>
              <w:t>5,343</w:t>
            </w:r>
          </w:p>
        </w:tc>
        <w:tc>
          <w:tcPr>
            <w:tcW w:w="80" w:type="dxa"/>
            <w:vAlign w:val="bottom"/>
          </w:tcPr>
          <w:p>
            <w:pPr>
              <w:spacing w:after="0"/>
              <w:rPr>
                <w:sz w:val="17"/>
                <w:szCs w:val="17"/>
                <w:color w:val="auto"/>
              </w:rPr>
            </w:pPr>
          </w:p>
        </w:tc>
      </w:tr>
      <w:tr>
        <w:trPr>
          <w:trHeight w:val="200"/>
        </w:trPr>
        <w:tc>
          <w:tcPr>
            <w:tcW w:w="702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Building and land</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4,910</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4,910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4"/>
        </w:trPr>
        <w:tc>
          <w:tcPr>
            <w:tcW w:w="7020" w:type="dxa"/>
            <w:vAlign w:val="bottom"/>
          </w:tcPr>
          <w:p>
            <w:pPr>
              <w:ind w:left="200"/>
              <w:spacing w:after="0" w:line="194" w:lineRule="exact"/>
              <w:rPr>
                <w:sz w:val="20"/>
                <w:szCs w:val="20"/>
                <w:color w:val="auto"/>
              </w:rPr>
            </w:pPr>
            <w:r>
              <w:rPr>
                <w:rFonts w:ascii="Arial" w:cs="Arial" w:eastAsia="Arial" w:hAnsi="Arial"/>
                <w:sz w:val="18"/>
                <w:szCs w:val="18"/>
                <w:color w:val="auto"/>
              </w:rPr>
              <w:t>Total software, equipment, and property</w:t>
            </w:r>
          </w:p>
        </w:tc>
        <w:tc>
          <w:tcPr>
            <w:tcW w:w="28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Arial" w:cs="Arial" w:eastAsia="Arial" w:hAnsi="Arial"/>
                <w:sz w:val="18"/>
                <w:szCs w:val="18"/>
                <w:color w:val="auto"/>
              </w:rPr>
              <w:t>221,153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Arial" w:cs="Arial" w:eastAsia="Arial" w:hAnsi="Arial"/>
                <w:sz w:val="18"/>
                <w:szCs w:val="18"/>
                <w:color w:val="auto"/>
              </w:rPr>
              <w:t>217,460</w:t>
            </w:r>
          </w:p>
        </w:tc>
        <w:tc>
          <w:tcPr>
            <w:tcW w:w="80" w:type="dxa"/>
            <w:vAlign w:val="bottom"/>
          </w:tcPr>
          <w:p>
            <w:pPr>
              <w:spacing w:after="0"/>
              <w:rPr>
                <w:sz w:val="16"/>
                <w:szCs w:val="16"/>
                <w:color w:val="auto"/>
              </w:rPr>
            </w:pPr>
          </w:p>
        </w:tc>
      </w:tr>
      <w:tr>
        <w:trPr>
          <w:trHeight w:val="200"/>
        </w:trPr>
        <w:tc>
          <w:tcPr>
            <w:tcW w:w="70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Less accumulated depreciation and amortization</w:t>
            </w:r>
          </w:p>
        </w:tc>
        <w:tc>
          <w:tcPr>
            <w:tcW w:w="2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1" w:lineRule="exact"/>
              <w:rPr>
                <w:sz w:val="20"/>
                <w:szCs w:val="20"/>
                <w:color w:val="auto"/>
              </w:rPr>
            </w:pPr>
            <w:r>
              <w:rPr>
                <w:rFonts w:ascii="Arial" w:cs="Arial" w:eastAsia="Arial" w:hAnsi="Arial"/>
                <w:sz w:val="18"/>
                <w:szCs w:val="18"/>
                <w:color w:val="auto"/>
              </w:rPr>
              <w:t>(81,352 )</w:t>
            </w:r>
          </w:p>
        </w:tc>
        <w:tc>
          <w:tcPr>
            <w:tcW w:w="2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(81,615 )</w:t>
            </w:r>
          </w:p>
        </w:tc>
      </w:tr>
      <w:tr>
        <w:trPr>
          <w:trHeight w:val="194"/>
        </w:trPr>
        <w:tc>
          <w:tcPr>
            <w:tcW w:w="7020" w:type="dxa"/>
            <w:vAlign w:val="bottom"/>
            <w:tcBorders>
              <w:top w:val="single" w:sz="8" w:color="CFF0FC"/>
            </w:tcBorders>
          </w:tcPr>
          <w:p>
            <w:pPr>
              <w:ind w:left="20"/>
              <w:spacing w:after="0" w:line="181" w:lineRule="exact"/>
              <w:rPr>
                <w:sz w:val="20"/>
                <w:szCs w:val="20"/>
                <w:color w:val="auto"/>
              </w:rPr>
            </w:pPr>
            <w:r>
              <w:rPr>
                <w:rFonts w:ascii="Arial" w:cs="Arial" w:eastAsia="Arial" w:hAnsi="Arial"/>
                <w:sz w:val="18"/>
                <w:szCs w:val="18"/>
                <w:color w:val="auto"/>
              </w:rPr>
              <w:t>Net software, equipment, and property</w:t>
            </w:r>
          </w:p>
        </w:tc>
        <w:tc>
          <w:tcPr>
            <w:tcW w:w="280" w:type="dxa"/>
            <w:vAlign w:val="bottom"/>
            <w:tcBorders>
              <w:top w:val="single" w:sz="8" w:color="auto"/>
              <w:bottom w:val="single" w:sz="8" w:color="auto"/>
            </w:tcBorders>
          </w:tcPr>
          <w:p>
            <w:pPr>
              <w:jc w:val="right"/>
              <w:ind w:right="71"/>
              <w:spacing w:after="0" w:line="181"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139,801</w:t>
            </w:r>
          </w:p>
        </w:tc>
        <w:tc>
          <w:tcPr>
            <w:tcW w:w="260" w:type="dxa"/>
            <w:vAlign w:val="bottom"/>
            <w:tcBorders>
              <w:top w:val="single" w:sz="8" w:color="CFF0FC"/>
            </w:tcBorders>
          </w:tcPr>
          <w:p>
            <w:pPr>
              <w:spacing w:after="0"/>
              <w:rPr>
                <w:sz w:val="16"/>
                <w:szCs w:val="16"/>
                <w:color w:val="auto"/>
              </w:rPr>
            </w:pPr>
          </w:p>
        </w:tc>
        <w:tc>
          <w:tcPr>
            <w:tcW w:w="200" w:type="dxa"/>
            <w:vAlign w:val="bottom"/>
            <w:tcBorders>
              <w:top w:val="single" w:sz="8" w:color="auto"/>
              <w:bottom w:val="single" w:sz="8" w:color="auto"/>
            </w:tcBorders>
          </w:tcPr>
          <w:p>
            <w:pPr>
              <w:jc w:val="right"/>
              <w:ind w:right="11"/>
              <w:spacing w:after="0" w:line="181"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135,845</w:t>
            </w:r>
          </w:p>
        </w:tc>
        <w:tc>
          <w:tcPr>
            <w:tcW w:w="80" w:type="dxa"/>
            <w:vAlign w:val="bottom"/>
            <w:tcBorders>
              <w:top w:val="single" w:sz="8" w:color="CFF0FC"/>
            </w:tcBorders>
          </w:tcPr>
          <w:p>
            <w:pPr>
              <w:spacing w:after="0"/>
              <w:rPr>
                <w:sz w:val="16"/>
                <w:szCs w:val="16"/>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-420370</wp:posOffset>
            </wp:positionV>
            <wp:extent cx="5080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-420370</wp:posOffset>
            </wp:positionV>
            <wp:extent cx="5080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-157480</wp:posOffset>
            </wp:positionV>
            <wp:extent cx="508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-157480</wp:posOffset>
            </wp:positionV>
            <wp:extent cx="508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206" w:lineRule="exact"/>
        <w:rPr>
          <w:sz w:val="20"/>
          <w:szCs w:val="20"/>
          <w:color w:val="auto"/>
        </w:rPr>
      </w:pPr>
    </w:p>
    <w:p>
      <w:pPr>
        <w:ind w:left="520" w:right="380"/>
        <w:spacing w:after="0" w:line="255" w:lineRule="auto"/>
        <w:rPr>
          <w:sz w:val="20"/>
          <w:szCs w:val="20"/>
          <w:color w:val="auto"/>
        </w:rPr>
      </w:pPr>
      <w:r>
        <w:rPr>
          <w:rFonts w:ascii="Arial" w:cs="Arial" w:eastAsia="Arial" w:hAnsi="Arial"/>
          <w:sz w:val="18"/>
          <w:szCs w:val="18"/>
          <w:color w:val="auto"/>
        </w:rPr>
        <w:t>Depreciation and amortization expense related to software, equipment and property was $6.8 million and $5.2 million for the three months ended March 31, 2022 and 2021, respectively.</w:t>
      </w:r>
    </w:p>
    <w:p>
      <w:pPr>
        <w:spacing w:after="0" w:line="64" w:lineRule="exact"/>
        <w:rPr>
          <w:sz w:val="20"/>
          <w:szCs w:val="20"/>
          <w:color w:val="auto"/>
        </w:rPr>
      </w:pPr>
    </w:p>
    <w:p>
      <w:pPr>
        <w:ind w:left="1020" w:hanging="504"/>
        <w:spacing w:after="0"/>
        <w:tabs>
          <w:tab w:leader="none" w:pos="10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4" w:lineRule="exact"/>
        <w:rPr>
          <w:sz w:val="20"/>
          <w:szCs w:val="20"/>
          <w:color w:val="auto"/>
        </w:rPr>
      </w:pPr>
    </w:p>
    <w:p>
      <w:pPr>
        <w:ind w:left="520" w:right="140"/>
        <w:spacing w:after="0" w:line="243" w:lineRule="auto"/>
        <w:rPr>
          <w:sz w:val="20"/>
          <w:szCs w:val="20"/>
          <w:color w:val="auto"/>
        </w:rPr>
      </w:pPr>
      <w:r>
        <w:rPr>
          <w:rFonts w:ascii="Arial" w:cs="Arial" w:eastAsia="Arial" w:hAnsi="Arial"/>
          <w:sz w:val="18"/>
          <w:szCs w:val="18"/>
          <w:color w:val="auto"/>
        </w:rPr>
        <w:t>The Company leases real estate in the form of office space and data center facilities. Generally, the term for real estate leases ranges from 1 to 17 years at inception of the contract. Generally, the term for equipment leases is 1 to 3 years at inception of the contract. Some real estate leases include options to renew that can extend the original term by 3 to 5 years.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for the three months ended March 31, 2022 and 2021 were as follows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380" w:type="dxa"/>
            <w:vAlign w:val="bottom"/>
          </w:tcPr>
          <w:p>
            <w:pPr>
              <w:spacing w:after="0"/>
              <w:rPr>
                <w:sz w:val="17"/>
                <w:szCs w:val="17"/>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73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7380" w:type="dxa"/>
            <w:vAlign w:val="bottom"/>
          </w:tcPr>
          <w:p>
            <w:pPr>
              <w:spacing w:after="0"/>
              <w:rPr>
                <w:sz w:val="16"/>
                <w:szCs w:val="16"/>
                <w:color w:val="auto"/>
              </w:rPr>
            </w:pPr>
          </w:p>
        </w:tc>
        <w:tc>
          <w:tcPr>
            <w:tcW w:w="1080" w:type="dxa"/>
            <w:vAlign w:val="bottom"/>
          </w:tcPr>
          <w:p>
            <w:pPr>
              <w:jc w:val="right"/>
              <w:ind w:right="11"/>
              <w:spacing w:after="0" w:line="194" w:lineRule="exact"/>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6"/>
                <w:szCs w:val="16"/>
                <w:color w:val="auto"/>
              </w:rPr>
            </w:pPr>
          </w:p>
        </w:tc>
        <w:tc>
          <w:tcPr>
            <w:tcW w:w="11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38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Operating lease costs</w:t>
            </w:r>
          </w:p>
        </w:tc>
        <w:tc>
          <w:tcPr>
            <w:tcW w:w="1080" w:type="dxa"/>
            <w:vAlign w:val="bottom"/>
            <w:tcBorders>
              <w:top w:val="single" w:sz="8" w:color="auto"/>
            </w:tcBorders>
            <w:shd w:val="clear" w:color="auto" w:fill="CFF0FC"/>
          </w:tcPr>
          <w:p>
            <w:pPr>
              <w:jc w:val="right"/>
              <w:ind w:right="891"/>
              <w:spacing w:after="0" w:line="194"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3,566</w:t>
            </w:r>
          </w:p>
        </w:tc>
        <w:tc>
          <w:tcPr>
            <w:tcW w:w="26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right"/>
              <w:ind w:right="711"/>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3"/>
              </w:rPr>
              <w:t>4,594</w:t>
            </w:r>
          </w:p>
        </w:tc>
        <w:tc>
          <w:tcPr>
            <w:tcW w:w="60" w:type="dxa"/>
            <w:vAlign w:val="bottom"/>
            <w:shd w:val="clear" w:color="auto" w:fill="CFF0FC"/>
          </w:tcPr>
          <w:p>
            <w:pPr>
              <w:spacing w:after="0"/>
              <w:rPr>
                <w:sz w:val="16"/>
                <w:szCs w:val="16"/>
                <w:color w:val="auto"/>
              </w:rPr>
            </w:pPr>
          </w:p>
        </w:tc>
      </w:tr>
      <w:tr>
        <w:trPr>
          <w:trHeight w:val="200"/>
        </w:trPr>
        <w:tc>
          <w:tcPr>
            <w:tcW w:w="7380" w:type="dxa"/>
            <w:vAlign w:val="bottom"/>
          </w:tcPr>
          <w:p>
            <w:pPr>
              <w:ind w:left="20"/>
              <w:spacing w:after="0" w:line="201" w:lineRule="exact"/>
              <w:rPr>
                <w:sz w:val="20"/>
                <w:szCs w:val="20"/>
                <w:color w:val="auto"/>
              </w:rPr>
            </w:pPr>
            <w:r>
              <w:rPr>
                <w:rFonts w:ascii="Arial" w:cs="Arial" w:eastAsia="Arial" w:hAnsi="Arial"/>
                <w:sz w:val="18"/>
                <w:szCs w:val="18"/>
                <w:color w:val="auto"/>
              </w:rPr>
              <w:t>Variable lease costs</w:t>
            </w: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837</w:t>
            </w: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602</w:t>
            </w:r>
          </w:p>
        </w:tc>
        <w:tc>
          <w:tcPr>
            <w:tcW w:w="60" w:type="dxa"/>
            <w:vAlign w:val="bottom"/>
          </w:tcPr>
          <w:p>
            <w:pPr>
              <w:spacing w:after="0"/>
              <w:rPr>
                <w:sz w:val="17"/>
                <w:szCs w:val="17"/>
                <w:color w:val="auto"/>
              </w:rPr>
            </w:pPr>
          </w:p>
        </w:tc>
      </w:tr>
      <w:tr>
        <w:trPr>
          <w:trHeight w:val="234"/>
        </w:trPr>
        <w:tc>
          <w:tcPr>
            <w:tcW w:w="7380" w:type="dxa"/>
            <w:vAlign w:val="bottom"/>
            <w:tcBorders>
              <w:bottom w:val="single" w:sz="8" w:color="CFF0FC"/>
            </w:tcBorders>
            <w:shd w:val="clear" w:color="auto" w:fill="CFF0FC"/>
          </w:tcPr>
          <w:p>
            <w:pPr>
              <w:ind w:left="200"/>
              <w:spacing w:after="0" w:line="181" w:lineRule="exact"/>
              <w:rPr>
                <w:sz w:val="20"/>
                <w:szCs w:val="20"/>
                <w:color w:val="auto"/>
              </w:rPr>
            </w:pPr>
            <w:r>
              <w:rPr>
                <w:rFonts w:ascii="Arial" w:cs="Arial" w:eastAsia="Arial" w:hAnsi="Arial"/>
                <w:sz w:val="18"/>
                <w:szCs w:val="18"/>
                <w:color w:val="auto"/>
              </w:rPr>
              <w:t>Total lease costs</w:t>
            </w:r>
          </w:p>
        </w:tc>
        <w:tc>
          <w:tcPr>
            <w:tcW w:w="1080" w:type="dxa"/>
            <w:vAlign w:val="bottom"/>
            <w:tcBorders>
              <w:bottom w:val="single" w:sz="8" w:color="auto"/>
            </w:tcBorders>
            <w:shd w:val="clear" w:color="auto" w:fill="CFF0FC"/>
          </w:tcPr>
          <w:p>
            <w:pPr>
              <w:jc w:val="right"/>
              <w:ind w:right="891"/>
              <w:spacing w:after="0" w:line="181"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4,403</w:t>
            </w:r>
          </w:p>
        </w:tc>
        <w:tc>
          <w:tcPr>
            <w:tcW w:w="2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711"/>
              <w:spacing w:after="0" w:line="181"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93"/>
              </w:rPr>
              <w:t>5,196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6069330</wp:posOffset>
            </wp:positionH>
            <wp:positionV relativeFrom="paragraph">
              <wp:posOffset>-24765</wp:posOffset>
            </wp:positionV>
            <wp:extent cx="425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-7620</wp:posOffset>
            </wp:positionV>
            <wp:extent cx="42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-24765</wp:posOffset>
            </wp:positionV>
            <wp:extent cx="425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-7620</wp:posOffset>
            </wp:positionV>
            <wp:extent cx="425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Supplemental cash flow and other information related to leases for the three months ended March 31, 2022 and 2021 were as follows (in thousands):</w:t>
      </w:r>
    </w:p>
    <w:p>
      <w:pPr>
        <w:spacing w:after="0" w:line="31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73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4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7380" w:type="dxa"/>
            <w:vAlign w:val="bottom"/>
          </w:tcPr>
          <w:p>
            <w:pPr>
              <w:spacing w:after="0"/>
              <w:rPr>
                <w:sz w:val="16"/>
                <w:szCs w:val="16"/>
                <w:color w:val="auto"/>
              </w:rPr>
            </w:pPr>
          </w:p>
        </w:tc>
        <w:tc>
          <w:tcPr>
            <w:tcW w:w="1080" w:type="dxa"/>
            <w:vAlign w:val="bottom"/>
          </w:tcPr>
          <w:p>
            <w:pPr>
              <w:jc w:val="right"/>
              <w:ind w:right="11"/>
              <w:spacing w:after="0" w:line="194" w:lineRule="exact"/>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6"/>
                <w:szCs w:val="16"/>
                <w:color w:val="auto"/>
              </w:rPr>
            </w:pPr>
          </w:p>
        </w:tc>
        <w:tc>
          <w:tcPr>
            <w:tcW w:w="11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38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Cash payments for operating leases</w:t>
            </w:r>
          </w:p>
        </w:tc>
        <w:tc>
          <w:tcPr>
            <w:tcW w:w="1080" w:type="dxa"/>
            <w:vAlign w:val="bottom"/>
            <w:tcBorders>
              <w:top w:val="single" w:sz="8" w:color="auto"/>
            </w:tcBorders>
            <w:shd w:val="clear" w:color="auto" w:fill="CFF0FC"/>
          </w:tcPr>
          <w:p>
            <w:pPr>
              <w:jc w:val="right"/>
              <w:ind w:right="891"/>
              <w:spacing w:after="0" w:line="194"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2,516</w:t>
            </w:r>
          </w:p>
        </w:tc>
        <w:tc>
          <w:tcPr>
            <w:tcW w:w="26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right"/>
              <w:ind w:right="711"/>
              <w:spacing w:after="0" w:line="194"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3"/>
              </w:rPr>
              <w:t>2,968</w:t>
            </w:r>
          </w:p>
        </w:tc>
        <w:tc>
          <w:tcPr>
            <w:tcW w:w="60" w:type="dxa"/>
            <w:vAlign w:val="bottom"/>
            <w:shd w:val="clear" w:color="auto" w:fill="CFF0FC"/>
          </w:tcPr>
          <w:p>
            <w:pPr>
              <w:spacing w:after="0"/>
              <w:rPr>
                <w:sz w:val="16"/>
                <w:szCs w:val="16"/>
                <w:color w:val="auto"/>
              </w:rPr>
            </w:pPr>
          </w:p>
        </w:tc>
      </w:tr>
      <w:tr>
        <w:trPr>
          <w:trHeight w:val="227"/>
        </w:trPr>
        <w:tc>
          <w:tcPr>
            <w:tcW w:w="73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lease liabilities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2,365</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76"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—Goodwill was recorded in connection with business acquisitions.</w:t>
      </w:r>
    </w:p>
    <w:p>
      <w:pPr>
        <w:spacing w:after="0" w:line="10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No goodwill impairments were recorded during the three months ended March 31, 2022 and 2021.</w:t>
      </w:r>
    </w:p>
    <w:p>
      <w:pPr>
        <w:spacing w:after="0" w:line="100" w:lineRule="exact"/>
        <w:rPr>
          <w:rFonts w:ascii="Arial" w:cs="Arial" w:eastAsia="Arial" w:hAnsi="Arial"/>
          <w:sz w:val="18"/>
          <w:szCs w:val="18"/>
          <w:b w:val="1"/>
          <w:bCs w:val="1"/>
          <w:color w:val="auto"/>
        </w:rPr>
      </w:pPr>
    </w:p>
    <w:p>
      <w:pPr>
        <w:ind w:left="520" w:right="3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2021, the Company performed its annual impairment assessment as of September 30, 2021, which indicated no impairment and there was no change to the carrying amount of goodwill.</w:t>
      </w:r>
    </w:p>
    <w:p>
      <w:pPr>
        <w:spacing w:after="0" w:line="6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during the three months ended March 31, 2022 were as of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71589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0"/>
              </w:rPr>
              <w:t>Accumulated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Net</w:t>
            </w:r>
          </w:p>
        </w:tc>
        <w:tc>
          <w:tcPr>
            <w:tcW w:w="60" w:type="dxa"/>
            <w:vAlign w:val="bottom"/>
          </w:tcPr>
          <w:p>
            <w:pPr>
              <w:spacing w:after="0"/>
              <w:rPr>
                <w:sz w:val="17"/>
                <w:szCs w:val="17"/>
                <w:color w:val="auto"/>
              </w:rPr>
            </w:pPr>
          </w:p>
        </w:tc>
      </w:tr>
      <w:tr>
        <w:trPr>
          <w:trHeight w:val="200"/>
        </w:trPr>
        <w:tc>
          <w:tcPr>
            <w:tcW w:w="4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20" w:type="dxa"/>
            <w:vAlign w:val="bottom"/>
            <w:gridSpan w:val="2"/>
          </w:tcPr>
          <w:p>
            <w:pPr>
              <w:jc w:val="center"/>
              <w:ind w:right="222"/>
              <w:spacing w:after="0" w:line="201" w:lineRule="exact"/>
              <w:rPr>
                <w:sz w:val="20"/>
                <w:szCs w:val="20"/>
                <w:color w:val="auto"/>
              </w:rPr>
            </w:pPr>
            <w:r>
              <w:rPr>
                <w:rFonts w:ascii="Arial" w:cs="Arial" w:eastAsia="Arial" w:hAnsi="Arial"/>
                <w:sz w:val="18"/>
                <w:szCs w:val="18"/>
                <w:b w:val="1"/>
                <w:bCs w:val="1"/>
                <w:color w:val="auto"/>
                <w:w w:val="94"/>
              </w:rPr>
              <w:t>Impairment</w:t>
            </w:r>
          </w:p>
        </w:tc>
        <w:tc>
          <w:tcPr>
            <w:tcW w:w="19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7"/>
                <w:szCs w:val="17"/>
                <w:color w:val="auto"/>
              </w:rPr>
            </w:pPr>
          </w:p>
        </w:tc>
      </w:tr>
      <w:tr>
        <w:trPr>
          <w:trHeight w:val="219"/>
        </w:trPr>
        <w:tc>
          <w:tcPr>
            <w:tcW w:w="4300" w:type="dxa"/>
            <w:vAlign w:val="bottom"/>
          </w:tcPr>
          <w:p>
            <w:pPr>
              <w:spacing w:after="0"/>
              <w:rPr>
                <w:sz w:val="19"/>
                <w:szCs w:val="19"/>
                <w:color w:val="auto"/>
              </w:rPr>
            </w:pPr>
          </w:p>
        </w:tc>
        <w:tc>
          <w:tcPr>
            <w:tcW w:w="12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w w:val="94"/>
              </w:rPr>
              <w:t>Cost</w:t>
            </w:r>
          </w:p>
        </w:tc>
        <w:tc>
          <w:tcPr>
            <w:tcW w:w="7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Loss</w:t>
            </w:r>
          </w:p>
        </w:tc>
        <w:tc>
          <w:tcPr>
            <w:tcW w:w="2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19"/>
                <w:szCs w:val="19"/>
                <w:color w:val="auto"/>
              </w:rPr>
            </w:pPr>
          </w:p>
        </w:tc>
      </w:tr>
      <w:tr>
        <w:trPr>
          <w:trHeight w:val="194"/>
        </w:trPr>
        <w:tc>
          <w:tcPr>
            <w:tcW w:w="554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gridSpan w:val="3"/>
          </w:tcPr>
          <w:p>
            <w:pPr>
              <w:spacing w:after="0"/>
              <w:rPr>
                <w:sz w:val="16"/>
                <w:szCs w:val="16"/>
                <w:color w:val="auto"/>
              </w:rPr>
            </w:pPr>
          </w:p>
        </w:tc>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0"/>
        </w:trPr>
        <w:tc>
          <w:tcPr>
            <w:tcW w:w="554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Balance as of December 31, 2021</w:t>
            </w:r>
          </w:p>
        </w:tc>
        <w:tc>
          <w:tcPr>
            <w:tcW w:w="7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92"/>
              </w:rPr>
              <w:t>1,492,681</w:t>
            </w:r>
          </w:p>
        </w:tc>
        <w:tc>
          <w:tcPr>
            <w:tcW w:w="2300" w:type="dxa"/>
            <w:vAlign w:val="bottom"/>
            <w:gridSpan w:val="3"/>
            <w:shd w:val="clear" w:color="auto" w:fill="CFF0FC"/>
          </w:tcPr>
          <w:p>
            <w:pPr>
              <w:jc w:val="right"/>
              <w:ind w:right="142"/>
              <w:spacing w:after="0" w:line="201" w:lineRule="exact"/>
              <w:rPr>
                <w:sz w:val="20"/>
                <w:szCs w:val="20"/>
                <w:color w:val="auto"/>
              </w:rPr>
            </w:pPr>
            <w:r>
              <w:rPr>
                <w:rFonts w:ascii="Arial" w:cs="Arial" w:eastAsia="Arial" w:hAnsi="Arial"/>
                <w:sz w:val="18"/>
                <w:szCs w:val="18"/>
                <w:color w:val="auto"/>
              </w:rPr>
              <w:t>(25,797 )</w:t>
            </w:r>
          </w:p>
        </w:tc>
        <w:tc>
          <w:tcPr>
            <w:tcW w:w="19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1,466,884</w:t>
            </w:r>
          </w:p>
        </w:tc>
        <w:tc>
          <w:tcPr>
            <w:tcW w:w="60" w:type="dxa"/>
            <w:vAlign w:val="bottom"/>
            <w:shd w:val="clear" w:color="auto" w:fill="CFF0FC"/>
          </w:tcPr>
          <w:p>
            <w:pPr>
              <w:spacing w:after="0"/>
              <w:rPr>
                <w:sz w:val="17"/>
                <w:szCs w:val="17"/>
                <w:color w:val="auto"/>
              </w:rPr>
            </w:pPr>
          </w:p>
        </w:tc>
      </w:tr>
      <w:tr>
        <w:trPr>
          <w:trHeight w:val="200"/>
        </w:trPr>
        <w:tc>
          <w:tcPr>
            <w:tcW w:w="55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Acquisition of Safekeep, Inc.</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27,368</w:t>
            </w:r>
          </w:p>
        </w:tc>
        <w:tc>
          <w:tcPr>
            <w:tcW w:w="280" w:type="dxa"/>
            <w:vAlign w:val="bottom"/>
          </w:tcPr>
          <w:p>
            <w:pPr>
              <w:spacing w:after="0"/>
              <w:rPr>
                <w:sz w:val="17"/>
                <w:szCs w:val="17"/>
                <w:color w:val="auto"/>
              </w:rPr>
            </w:pPr>
          </w:p>
        </w:tc>
        <w:tc>
          <w:tcPr>
            <w:tcW w:w="2020" w:type="dxa"/>
            <w:vAlign w:val="bottom"/>
            <w:gridSpan w:val="2"/>
          </w:tcPr>
          <w:p>
            <w:pPr>
              <w:jc w:val="right"/>
              <w:ind w:right="222"/>
              <w:spacing w:after="0" w:line="201" w:lineRule="exact"/>
              <w:rPr>
                <w:sz w:val="20"/>
                <w:szCs w:val="20"/>
                <w:color w:val="auto"/>
              </w:rPr>
            </w:pPr>
            <w:r>
              <w:rPr>
                <w:rFonts w:ascii="Arial" w:cs="Arial" w:eastAsia="Arial" w:hAnsi="Arial"/>
                <w:sz w:val="18"/>
                <w:szCs w:val="18"/>
                <w:color w:val="auto"/>
              </w:rPr>
              <w:t>—</w:t>
            </w:r>
          </w:p>
        </w:tc>
        <w:tc>
          <w:tcPr>
            <w:tcW w:w="1980" w:type="dxa"/>
            <w:vAlign w:val="bottom"/>
          </w:tcPr>
          <w:p>
            <w:pPr>
              <w:jc w:val="right"/>
              <w:spacing w:after="0" w:line="201" w:lineRule="exact"/>
              <w:rPr>
                <w:sz w:val="20"/>
                <w:szCs w:val="20"/>
                <w:color w:val="auto"/>
              </w:rPr>
            </w:pPr>
            <w:r>
              <w:rPr>
                <w:rFonts w:ascii="Arial" w:cs="Arial" w:eastAsia="Arial" w:hAnsi="Arial"/>
                <w:sz w:val="18"/>
                <w:szCs w:val="18"/>
                <w:color w:val="auto"/>
              </w:rPr>
              <w:t>27,368</w:t>
            </w:r>
          </w:p>
        </w:tc>
        <w:tc>
          <w:tcPr>
            <w:tcW w:w="60" w:type="dxa"/>
            <w:vAlign w:val="bottom"/>
          </w:tcPr>
          <w:p>
            <w:pPr>
              <w:spacing w:after="0"/>
              <w:rPr>
                <w:sz w:val="17"/>
                <w:szCs w:val="17"/>
                <w:color w:val="auto"/>
              </w:rPr>
            </w:pPr>
          </w:p>
        </w:tc>
      </w:tr>
      <w:tr>
        <w:trPr>
          <w:trHeight w:val="194"/>
        </w:trPr>
        <w:tc>
          <w:tcPr>
            <w:tcW w:w="430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Balance as of March 31, 2022</w:t>
            </w:r>
          </w:p>
        </w:tc>
        <w:tc>
          <w:tcPr>
            <w:tcW w:w="124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2"/>
              </w:rPr>
              <w:t>1,520,049</w:t>
            </w:r>
          </w:p>
        </w:tc>
        <w:tc>
          <w:tcPr>
            <w:tcW w:w="280" w:type="dxa"/>
            <w:vAlign w:val="bottom"/>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(25,797</w:t>
            </w: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w w:val="74"/>
              </w:rPr>
              <w:t>)</w:t>
            </w:r>
          </w:p>
        </w:tc>
        <w:tc>
          <w:tcPr>
            <w:tcW w:w="19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1,494,252</w:t>
            </w:r>
          </w:p>
        </w:tc>
        <w:tc>
          <w:tcPr>
            <w:tcW w:w="60" w:type="dxa"/>
            <w:vAlign w:val="bottom"/>
            <w:shd w:val="clear" w:color="auto" w:fill="CFF0FC"/>
          </w:tcPr>
          <w:p>
            <w:pPr>
              <w:spacing w:after="0"/>
              <w:rPr>
                <w:sz w:val="16"/>
                <w:szCs w:val="16"/>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Company’s intangible assets are primarily the result of business acquisitions.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months ended March 31, 2022 and 2021, the Company did not record an impairment charge.</w:t>
      </w:r>
    </w:p>
    <w:p>
      <w:pPr>
        <w:spacing w:after="0" w:line="100" w:lineRule="exact"/>
        <w:rPr>
          <w:sz w:val="20"/>
          <w:szCs w:val="20"/>
          <w:color w:val="auto"/>
        </w:rPr>
      </w:pPr>
    </w:p>
    <w:p>
      <w:pPr>
        <w:ind w:left="520" w:right="600"/>
        <w:spacing w:after="0" w:line="255" w:lineRule="auto"/>
        <w:rPr>
          <w:sz w:val="20"/>
          <w:szCs w:val="20"/>
          <w:color w:val="auto"/>
        </w:rPr>
      </w:pPr>
      <w:r>
        <w:rPr>
          <w:rFonts w:ascii="Arial" w:cs="Arial" w:eastAsia="Arial" w:hAnsi="Arial"/>
          <w:sz w:val="18"/>
          <w:szCs w:val="18"/>
          <w:color w:val="auto"/>
        </w:rPr>
        <w:t>During the three months ended March 31, 2022, the Company recorded $4.8 million of acquired technology intangible assets as a result of the acquisition of Safekeep (see Note 4).</w:t>
      </w:r>
    </w:p>
    <w:p>
      <w:pPr>
        <w:spacing w:after="0" w:line="57"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340" w:type="dxa"/>
            <w:vAlign w:val="bottom"/>
            <w:gridSpan w:val="5"/>
          </w:tcPr>
          <w:p>
            <w:pPr>
              <w:jc w:val="right"/>
              <w:ind w:right="151"/>
              <w:spacing w:after="0"/>
              <w:rPr>
                <w:sz w:val="20"/>
                <w:szCs w:val="20"/>
                <w:color w:val="auto"/>
              </w:rPr>
            </w:pPr>
            <w:r>
              <w:rPr>
                <w:rFonts w:ascii="Arial" w:cs="Arial" w:eastAsia="Arial" w:hAnsi="Arial"/>
                <w:sz w:val="18"/>
                <w:szCs w:val="18"/>
                <w:color w:val="auto"/>
                <w:w w:val="88"/>
              </w:rPr>
              <w:t>The intangible assets balance as of March 31, 2022, is reflected below (in thousands):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Estimated</w:t>
            </w: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1"/>
              <w:spacing w:after="0" w:line="20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89"/>
              </w:rPr>
              <w:t>Net</w:t>
            </w:r>
          </w:p>
        </w:tc>
        <w:tc>
          <w:tcPr>
            <w:tcW w:w="60" w:type="dxa"/>
            <w:vAlign w:val="bottom"/>
          </w:tcPr>
          <w:p>
            <w:pPr>
              <w:spacing w:after="0"/>
              <w:rPr>
                <w:sz w:val="17"/>
                <w:szCs w:val="17"/>
                <w:color w:val="auto"/>
              </w:rPr>
            </w:pPr>
          </w:p>
        </w:tc>
      </w:tr>
      <w:tr>
        <w:trPr>
          <w:trHeight w:val="200"/>
        </w:trPr>
        <w:tc>
          <w:tcPr>
            <w:tcW w:w="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Useful Life</w:t>
            </w:r>
          </w:p>
        </w:tc>
        <w:tc>
          <w:tcPr>
            <w:tcW w:w="14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Useful 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351"/>
              <w:spacing w:after="0" w:line="201" w:lineRule="exact"/>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7"/>
                <w:szCs w:val="17"/>
                <w:color w:val="auto"/>
              </w:rPr>
            </w:pPr>
          </w:p>
        </w:tc>
        <w:tc>
          <w:tcPr>
            <w:tcW w:w="98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7"/>
                <w:szCs w:val="17"/>
                <w:color w:val="auto"/>
              </w:rPr>
            </w:pPr>
          </w:p>
        </w:tc>
      </w:tr>
      <w:tr>
        <w:trPr>
          <w:trHeight w:val="219"/>
        </w:trPr>
        <w:tc>
          <w:tcPr>
            <w:tcW w:w="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51"/>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19"/>
                <w:szCs w:val="19"/>
                <w:color w:val="auto"/>
              </w:rPr>
            </w:pPr>
          </w:p>
        </w:tc>
        <w:tc>
          <w:tcPr>
            <w:tcW w:w="98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19"/>
                <w:szCs w:val="19"/>
                <w:color w:val="auto"/>
              </w:rPr>
            </w:pPr>
          </w:p>
        </w:tc>
      </w:tr>
      <w:tr>
        <w:trPr>
          <w:trHeight w:val="194"/>
        </w:trPr>
        <w:tc>
          <w:tcPr>
            <w:tcW w:w="60" w:type="dxa"/>
            <w:vAlign w:val="bottom"/>
          </w:tcPr>
          <w:p>
            <w:pPr>
              <w:spacing w:after="0"/>
              <w:rPr>
                <w:sz w:val="16"/>
                <w:szCs w:val="16"/>
                <w:color w:val="auto"/>
              </w:rPr>
            </w:pPr>
          </w:p>
        </w:tc>
        <w:tc>
          <w:tcPr>
            <w:tcW w:w="3800" w:type="dxa"/>
            <w:vAlign w:val="bottom"/>
            <w:shd w:val="clear" w:color="auto" w:fill="CFF0FC"/>
          </w:tcPr>
          <w:p>
            <w:pPr>
              <w:ind w:left="200"/>
              <w:spacing w:after="0" w:line="194" w:lineRule="exact"/>
              <w:rPr>
                <w:sz w:val="20"/>
                <w:szCs w:val="20"/>
                <w:color w:val="auto"/>
              </w:rPr>
            </w:pPr>
            <w:r>
              <w:rPr>
                <w:rFonts w:ascii="Arial" w:cs="Arial" w:eastAsia="Arial" w:hAnsi="Arial"/>
                <w:sz w:val="18"/>
                <w:szCs w:val="18"/>
                <w:color w:val="auto"/>
              </w:rPr>
              <w:t>Customer relationships</w:t>
            </w:r>
          </w:p>
        </w:tc>
        <w:tc>
          <w:tcPr>
            <w:tcW w:w="1180" w:type="dxa"/>
            <w:vAlign w:val="bottom"/>
            <w:tcBorders>
              <w:top w:val="single" w:sz="8" w:color="auto"/>
            </w:tcBorders>
            <w:shd w:val="clear" w:color="auto" w:fill="CFF0FC"/>
          </w:tcPr>
          <w:p>
            <w:pPr>
              <w:jc w:val="center"/>
              <w:spacing w:after="0" w:line="194" w:lineRule="exact"/>
              <w:rPr>
                <w:sz w:val="20"/>
                <w:szCs w:val="20"/>
                <w:color w:val="auto"/>
              </w:rPr>
            </w:pPr>
            <w:r>
              <w:rPr>
                <w:rFonts w:ascii="Arial" w:cs="Arial" w:eastAsia="Arial" w:hAnsi="Arial"/>
                <w:sz w:val="18"/>
                <w:szCs w:val="18"/>
                <w:color w:val="auto"/>
                <w:w w:val="91"/>
              </w:rPr>
              <w:t>16–18</w:t>
            </w:r>
          </w:p>
        </w:tc>
        <w:tc>
          <w:tcPr>
            <w:tcW w:w="140" w:type="dxa"/>
            <w:vAlign w:val="bottom"/>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13.1</w:t>
            </w:r>
          </w:p>
        </w:tc>
        <w:tc>
          <w:tcPr>
            <w:tcW w:w="1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1,299,750</w:t>
            </w:r>
          </w:p>
        </w:tc>
        <w:tc>
          <w:tcPr>
            <w:tcW w:w="1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(355,897</w:t>
            </w:r>
          </w:p>
        </w:tc>
        <w:tc>
          <w:tcPr>
            <w:tcW w:w="200" w:type="dxa"/>
            <w:vAlign w:val="bottom"/>
            <w:shd w:val="clear" w:color="auto" w:fill="CFF0FC"/>
          </w:tcPr>
          <w:p>
            <w:pPr>
              <w:jc w:val="right"/>
              <w:ind w:right="31"/>
              <w:spacing w:after="0" w:line="194"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943,853</w:t>
            </w:r>
          </w:p>
        </w:tc>
        <w:tc>
          <w:tcPr>
            <w:tcW w:w="60" w:type="dxa"/>
            <w:vAlign w:val="bottom"/>
            <w:shd w:val="clear" w:color="auto" w:fill="CFF0FC"/>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Acquired technologies</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6"/>
              </w:rPr>
              <w:t>3–7</w:t>
            </w:r>
          </w:p>
        </w:tc>
        <w:tc>
          <w:tcPr>
            <w:tcW w:w="1300" w:type="dxa"/>
            <w:vAlign w:val="bottom"/>
            <w:gridSpan w:val="2"/>
          </w:tcPr>
          <w:p>
            <w:pPr>
              <w:jc w:val="center"/>
              <w:ind w:left="31"/>
              <w:spacing w:after="0" w:line="201" w:lineRule="exact"/>
              <w:rPr>
                <w:sz w:val="20"/>
                <w:szCs w:val="20"/>
                <w:color w:val="auto"/>
              </w:rPr>
            </w:pPr>
            <w:r>
              <w:rPr>
                <w:rFonts w:ascii="Arial" w:cs="Arial" w:eastAsia="Arial" w:hAnsi="Arial"/>
                <w:sz w:val="18"/>
                <w:szCs w:val="18"/>
                <w:color w:val="auto"/>
                <w:w w:val="87"/>
              </w:rPr>
              <w:t>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187,965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31"/>
              <w:spacing w:after="0" w:line="201" w:lineRule="exact"/>
              <w:rPr>
                <w:sz w:val="20"/>
                <w:szCs w:val="20"/>
                <w:color w:val="auto"/>
              </w:rPr>
            </w:pPr>
            <w:r>
              <w:rPr>
                <w:rFonts w:ascii="Arial" w:cs="Arial" w:eastAsia="Arial" w:hAnsi="Arial"/>
                <w:sz w:val="18"/>
                <w:szCs w:val="18"/>
                <w:color w:val="auto"/>
              </w:rPr>
              <w:t>(129,013 )</w:t>
            </w:r>
          </w:p>
        </w:tc>
        <w:tc>
          <w:tcPr>
            <w:tcW w:w="1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58,952</w:t>
            </w:r>
          </w:p>
        </w:tc>
        <w:tc>
          <w:tcPr>
            <w:tcW w:w="60" w:type="dxa"/>
            <w:vAlign w:val="bottom"/>
          </w:tcPr>
          <w:p>
            <w:pPr>
              <w:spacing w:after="0"/>
              <w:rPr>
                <w:sz w:val="17"/>
                <w:szCs w:val="17"/>
                <w:color w:val="auto"/>
              </w:rPr>
            </w:pPr>
          </w:p>
        </w:tc>
      </w:tr>
      <w:tr>
        <w:trPr>
          <w:trHeight w:val="194"/>
        </w:trPr>
        <w:tc>
          <w:tcPr>
            <w:tcW w:w="60" w:type="dxa"/>
            <w:vAlign w:val="bottom"/>
          </w:tcPr>
          <w:p>
            <w:pPr>
              <w:spacing w:after="0"/>
              <w:rPr>
                <w:sz w:val="16"/>
                <w:szCs w:val="16"/>
                <w:color w:val="auto"/>
              </w:rPr>
            </w:pPr>
          </w:p>
        </w:tc>
        <w:tc>
          <w:tcPr>
            <w:tcW w:w="38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Subtotal</w:t>
            </w:r>
          </w:p>
        </w:tc>
        <w:tc>
          <w:tcPr>
            <w:tcW w:w="1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1,487,995</w:t>
            </w:r>
          </w:p>
        </w:tc>
        <w:tc>
          <w:tcPr>
            <w:tcW w:w="1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(485,190</w:t>
            </w:r>
          </w:p>
        </w:tc>
        <w:tc>
          <w:tcPr>
            <w:tcW w:w="200" w:type="dxa"/>
            <w:vAlign w:val="bottom"/>
            <w:shd w:val="clear" w:color="auto" w:fill="CFF0FC"/>
          </w:tcPr>
          <w:p>
            <w:pPr>
              <w:jc w:val="right"/>
              <w:ind w:right="31"/>
              <w:spacing w:after="0" w:line="194"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1,002,805</w:t>
            </w:r>
          </w:p>
        </w:tc>
        <w:tc>
          <w:tcPr>
            <w:tcW w:w="60" w:type="dxa"/>
            <w:vAlign w:val="bottom"/>
            <w:shd w:val="clear" w:color="auto" w:fill="CFF0FC"/>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Trademarks—indefinite life</w:t>
            </w: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190,470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31"/>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190,470</w:t>
            </w:r>
          </w:p>
        </w:tc>
        <w:tc>
          <w:tcPr>
            <w:tcW w:w="60" w:type="dxa"/>
            <w:vAlign w:val="bottom"/>
          </w:tcPr>
          <w:p>
            <w:pPr>
              <w:spacing w:after="0"/>
              <w:rPr>
                <w:sz w:val="17"/>
                <w:szCs w:val="17"/>
                <w:color w:val="auto"/>
              </w:rPr>
            </w:pPr>
          </w:p>
        </w:tc>
      </w:tr>
      <w:tr>
        <w:trPr>
          <w:trHeight w:val="234"/>
        </w:trPr>
        <w:tc>
          <w:tcPr>
            <w:tcW w:w="60" w:type="dxa"/>
            <w:vAlign w:val="bottom"/>
          </w:tcPr>
          <w:p>
            <w:pPr>
              <w:spacing w:after="0"/>
              <w:rPr>
                <w:sz w:val="20"/>
                <w:szCs w:val="20"/>
                <w:color w:val="auto"/>
              </w:rPr>
            </w:pPr>
          </w:p>
        </w:tc>
        <w:tc>
          <w:tcPr>
            <w:tcW w:w="3800" w:type="dxa"/>
            <w:vAlign w:val="bottom"/>
            <w:tcBorders>
              <w:bottom w:val="single" w:sz="8" w:color="CFF0FC"/>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Total intangible assets</w:t>
            </w:r>
          </w:p>
        </w:tc>
        <w:tc>
          <w:tcPr>
            <w:tcW w:w="1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1,678,465</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(485,190</w:t>
            </w:r>
          </w:p>
        </w:tc>
        <w:tc>
          <w:tcPr>
            <w:tcW w:w="200" w:type="dxa"/>
            <w:vAlign w:val="bottom"/>
            <w:tcBorders>
              <w:bottom w:val="single" w:sz="8" w:color="CFF0FC"/>
            </w:tcBorders>
            <w:shd w:val="clear" w:color="auto" w:fill="CFF0FC"/>
          </w:tcPr>
          <w:p>
            <w:pPr>
              <w:jc w:val="right"/>
              <w:ind w:right="31"/>
              <w:spacing w:after="0" w:line="194"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1,193,275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-24765</wp:posOffset>
            </wp:positionV>
            <wp:extent cx="33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-7620</wp:posOffset>
            </wp:positionV>
            <wp:extent cx="33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6247765</wp:posOffset>
            </wp:positionH>
            <wp:positionV relativeFrom="paragraph">
              <wp:posOffset>-24765</wp:posOffset>
            </wp:positionV>
            <wp:extent cx="508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6247765</wp:posOffset>
            </wp:positionH>
            <wp:positionV relativeFrom="paragraph">
              <wp:posOffset>-7620</wp:posOffset>
            </wp:positionV>
            <wp:extent cx="508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-24765</wp:posOffset>
            </wp:positionV>
            <wp:extent cx="336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825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-7620</wp:posOffset>
            </wp:positionV>
            <wp:extent cx="33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825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intangible assets balance as of December 31, 2021, is reflected below (in thousands):</w:t>
      </w:r>
    </w:p>
    <w:p>
      <w:pPr>
        <w:spacing w:after="0" w:line="90"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376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8"/>
              </w:rPr>
              <w:t>Estimated</w:t>
            </w:r>
          </w:p>
        </w:tc>
        <w:tc>
          <w:tcPr>
            <w:tcW w:w="1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Remaining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31"/>
              <w:spacing w:after="0" w:line="201" w:lineRule="exact"/>
              <w:rPr>
                <w:sz w:val="20"/>
                <w:szCs w:val="20"/>
                <w:color w:val="auto"/>
              </w:rPr>
            </w:pPr>
            <w:r>
              <w:rPr>
                <w:rFonts w:ascii="Arial" w:cs="Arial" w:eastAsia="Arial" w:hAnsi="Arial"/>
                <w:sz w:val="18"/>
                <w:szCs w:val="18"/>
                <w:b w:val="1"/>
                <w:bCs w:val="1"/>
                <w:color w:val="auto"/>
                <w:w w:val="89"/>
              </w:rPr>
              <w:t>Net</w:t>
            </w:r>
          </w:p>
        </w:tc>
      </w:tr>
      <w:tr>
        <w:trPr>
          <w:trHeight w:val="200"/>
        </w:trPr>
        <w:tc>
          <w:tcPr>
            <w:tcW w:w="3760" w:type="dxa"/>
            <w:vAlign w:val="bottom"/>
          </w:tcPr>
          <w:p>
            <w:pPr>
              <w:spacing w:after="0"/>
              <w:rPr>
                <w:sz w:val="17"/>
                <w:szCs w:val="17"/>
                <w:color w:val="auto"/>
              </w:rPr>
            </w:pPr>
          </w:p>
        </w:tc>
        <w:tc>
          <w:tcPr>
            <w:tcW w:w="12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Useful Life</w:t>
            </w:r>
          </w:p>
        </w:tc>
        <w:tc>
          <w:tcPr>
            <w:tcW w:w="16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Useful Life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91"/>
              <w:spacing w:after="0" w:line="201" w:lineRule="exact"/>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342"/>
              <w:spacing w:after="0" w:line="201" w:lineRule="exact"/>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17"/>
                <w:szCs w:val="17"/>
                <w:color w:val="auto"/>
              </w:rPr>
            </w:pPr>
          </w:p>
        </w:tc>
        <w:tc>
          <w:tcPr>
            <w:tcW w:w="1040" w:type="dxa"/>
            <w:vAlign w:val="bottom"/>
          </w:tcPr>
          <w:p>
            <w:pPr>
              <w:jc w:val="center"/>
              <w:ind w:right="131"/>
              <w:spacing w:after="0" w:line="201" w:lineRule="exact"/>
              <w:rPr>
                <w:sz w:val="20"/>
                <w:szCs w:val="20"/>
                <w:color w:val="auto"/>
              </w:rPr>
            </w:pPr>
            <w:r>
              <w:rPr>
                <w:rFonts w:ascii="Arial" w:cs="Arial" w:eastAsia="Arial" w:hAnsi="Arial"/>
                <w:sz w:val="18"/>
                <w:szCs w:val="18"/>
                <w:b w:val="1"/>
                <w:bCs w:val="1"/>
                <w:color w:val="auto"/>
                <w:w w:val="94"/>
              </w:rPr>
              <w:t>Carrying</w:t>
            </w:r>
          </w:p>
        </w:tc>
      </w:tr>
      <w:tr>
        <w:trPr>
          <w:trHeight w:val="219"/>
        </w:trPr>
        <w:tc>
          <w:tcPr>
            <w:tcW w:w="37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342"/>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19"/>
                <w:szCs w:val="19"/>
                <w:color w:val="auto"/>
              </w:rPr>
            </w:pPr>
          </w:p>
        </w:tc>
        <w:tc>
          <w:tcPr>
            <w:tcW w:w="104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Amount</w:t>
            </w:r>
          </w:p>
        </w:tc>
      </w:tr>
      <w:tr>
        <w:trPr>
          <w:trHeight w:val="194"/>
        </w:trPr>
        <w:tc>
          <w:tcPr>
            <w:tcW w:w="3760" w:type="dxa"/>
            <w:vAlign w:val="bottom"/>
            <w:shd w:val="clear" w:color="auto" w:fill="CFF0FC"/>
          </w:tcPr>
          <w:p>
            <w:pPr>
              <w:ind w:left="200"/>
              <w:spacing w:after="0" w:line="194" w:lineRule="exact"/>
              <w:rPr>
                <w:sz w:val="20"/>
                <w:szCs w:val="20"/>
                <w:color w:val="auto"/>
              </w:rPr>
            </w:pPr>
            <w:r>
              <w:rPr>
                <w:rFonts w:ascii="Arial" w:cs="Arial" w:eastAsia="Arial" w:hAnsi="Arial"/>
                <w:sz w:val="18"/>
                <w:szCs w:val="18"/>
                <w:color w:val="auto"/>
              </w:rPr>
              <w:t>Customer relationships</w:t>
            </w:r>
          </w:p>
        </w:tc>
        <w:tc>
          <w:tcPr>
            <w:tcW w:w="1200" w:type="dxa"/>
            <w:vAlign w:val="bottom"/>
            <w:tcBorders>
              <w:top w:val="single" w:sz="8" w:color="auto"/>
            </w:tcBorders>
            <w:shd w:val="clear" w:color="auto" w:fill="CFF0FC"/>
          </w:tcPr>
          <w:p>
            <w:pPr>
              <w:jc w:val="center"/>
              <w:spacing w:after="0" w:line="194" w:lineRule="exact"/>
              <w:rPr>
                <w:sz w:val="20"/>
                <w:szCs w:val="20"/>
                <w:color w:val="auto"/>
              </w:rPr>
            </w:pPr>
            <w:r>
              <w:rPr>
                <w:rFonts w:ascii="Arial" w:cs="Arial" w:eastAsia="Arial" w:hAnsi="Arial"/>
                <w:sz w:val="18"/>
                <w:szCs w:val="18"/>
                <w:color w:val="auto"/>
                <w:w w:val="87"/>
              </w:rPr>
              <w:t>16–18</w:t>
            </w:r>
          </w:p>
        </w:tc>
        <w:tc>
          <w:tcPr>
            <w:tcW w:w="160" w:type="dxa"/>
            <w:vAlign w:val="bottom"/>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jc w:val="center"/>
              <w:spacing w:after="0" w:line="194" w:lineRule="exact"/>
              <w:rPr>
                <w:sz w:val="20"/>
                <w:szCs w:val="20"/>
                <w:color w:val="auto"/>
              </w:rPr>
            </w:pPr>
            <w:r>
              <w:rPr>
                <w:rFonts w:ascii="Arial" w:cs="Arial" w:eastAsia="Arial" w:hAnsi="Arial"/>
                <w:sz w:val="18"/>
                <w:szCs w:val="18"/>
                <w:color w:val="auto"/>
                <w:w w:val="85"/>
              </w:rPr>
              <w:t>13.3</w:t>
            </w: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1,299,750</w:t>
            </w:r>
          </w:p>
        </w:tc>
        <w:tc>
          <w:tcPr>
            <w:tcW w:w="1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(337,831</w:t>
            </w:r>
          </w:p>
        </w:tc>
        <w:tc>
          <w:tcPr>
            <w:tcW w:w="1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CFF0FC"/>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961,919</w:t>
            </w:r>
          </w:p>
        </w:tc>
      </w:tr>
      <w:tr>
        <w:trPr>
          <w:trHeight w:val="200"/>
        </w:trPr>
        <w:tc>
          <w:tcPr>
            <w:tcW w:w="3760" w:type="dxa"/>
            <w:vAlign w:val="bottom"/>
          </w:tcPr>
          <w:p>
            <w:pPr>
              <w:ind w:left="200"/>
              <w:spacing w:after="0" w:line="201" w:lineRule="exact"/>
              <w:rPr>
                <w:sz w:val="20"/>
                <w:szCs w:val="20"/>
                <w:color w:val="auto"/>
              </w:rPr>
            </w:pPr>
            <w:r>
              <w:rPr>
                <w:rFonts w:ascii="Arial" w:cs="Arial" w:eastAsia="Arial" w:hAnsi="Arial"/>
                <w:sz w:val="18"/>
                <w:szCs w:val="18"/>
                <w:color w:val="auto"/>
              </w:rPr>
              <w:t>Acquired technologies</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3"/>
              </w:rPr>
              <w:t>3–7</w:t>
            </w:r>
          </w:p>
        </w:tc>
        <w:tc>
          <w:tcPr>
            <w:tcW w:w="1340" w:type="dxa"/>
            <w:vAlign w:val="bottom"/>
            <w:gridSpan w:val="2"/>
          </w:tcPr>
          <w:p>
            <w:pPr>
              <w:jc w:val="center"/>
              <w:ind w:left="71"/>
              <w:spacing w:after="0" w:line="201" w:lineRule="exact"/>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183,164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42"/>
              <w:spacing w:after="0" w:line="201" w:lineRule="exact"/>
              <w:rPr>
                <w:sz w:val="20"/>
                <w:szCs w:val="20"/>
                <w:color w:val="auto"/>
              </w:rPr>
            </w:pPr>
            <w:r>
              <w:rPr>
                <w:rFonts w:ascii="Arial" w:cs="Arial" w:eastAsia="Arial" w:hAnsi="Arial"/>
                <w:sz w:val="18"/>
                <w:szCs w:val="18"/>
                <w:color w:val="auto"/>
              </w:rPr>
              <w:t>(122,318 )</w:t>
            </w:r>
          </w:p>
        </w:tc>
        <w:tc>
          <w:tcPr>
            <w:tcW w:w="16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60,846</w:t>
            </w:r>
          </w:p>
        </w:tc>
      </w:tr>
      <w:tr>
        <w:trPr>
          <w:trHeight w:val="200"/>
        </w:trPr>
        <w:tc>
          <w:tcPr>
            <w:tcW w:w="376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Favorable lease terms</w:t>
            </w:r>
          </w:p>
        </w:tc>
        <w:tc>
          <w:tcPr>
            <w:tcW w:w="1200" w:type="dxa"/>
            <w:vAlign w:val="bottom"/>
            <w:shd w:val="clear" w:color="auto" w:fill="CFF0FC"/>
          </w:tcPr>
          <w:p>
            <w:pPr>
              <w:jc w:val="center"/>
              <w:spacing w:after="0" w:line="201" w:lineRule="exact"/>
              <w:rPr>
                <w:sz w:val="20"/>
                <w:szCs w:val="20"/>
                <w:color w:val="auto"/>
              </w:rPr>
            </w:pPr>
            <w:r>
              <w:rPr>
                <w:rFonts w:ascii="Arial" w:cs="Arial" w:eastAsia="Arial" w:hAnsi="Arial"/>
                <w:sz w:val="18"/>
                <w:szCs w:val="18"/>
                <w:color w:val="auto"/>
                <w:w w:val="79"/>
              </w:rPr>
              <w:t>6</w:t>
            </w:r>
          </w:p>
        </w:tc>
        <w:tc>
          <w:tcPr>
            <w:tcW w:w="1340" w:type="dxa"/>
            <w:vAlign w:val="bottom"/>
            <w:gridSpan w:val="2"/>
            <w:shd w:val="clear" w:color="auto" w:fill="CFF0FC"/>
          </w:tcPr>
          <w:p>
            <w:pPr>
              <w:jc w:val="center"/>
              <w:ind w:left="71"/>
              <w:spacing w:after="0" w:line="201" w:lineRule="exact"/>
              <w:rPr>
                <w:sz w:val="20"/>
                <w:szCs w:val="20"/>
                <w:color w:val="auto"/>
              </w:rPr>
            </w:pPr>
            <w:r>
              <w:rPr>
                <w:rFonts w:ascii="Arial" w:cs="Arial" w:eastAsia="Arial" w:hAnsi="Arial"/>
                <w:sz w:val="18"/>
                <w:szCs w:val="18"/>
                <w:color w:val="auto"/>
                <w:w w:val="87"/>
              </w:rPr>
              <w:t>0.3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280</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42"/>
              <w:spacing w:after="0" w:line="201" w:lineRule="exact"/>
              <w:rPr>
                <w:sz w:val="20"/>
                <w:szCs w:val="20"/>
                <w:color w:val="auto"/>
              </w:rPr>
            </w:pPr>
            <w:r>
              <w:rPr>
                <w:rFonts w:ascii="Arial" w:cs="Arial" w:eastAsia="Arial" w:hAnsi="Arial"/>
                <w:sz w:val="18"/>
                <w:szCs w:val="18"/>
                <w:color w:val="auto"/>
              </w:rPr>
              <w:t>(266 )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14</w:t>
            </w:r>
          </w:p>
        </w:tc>
      </w:tr>
      <w:tr>
        <w:trPr>
          <w:trHeight w:val="20"/>
        </w:trPr>
        <w:tc>
          <w:tcPr>
            <w:tcW w:w="376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r>
      <w:tr>
        <w:trPr>
          <w:trHeight w:val="194"/>
        </w:trPr>
        <w:tc>
          <w:tcPr>
            <w:tcW w:w="3760" w:type="dxa"/>
            <w:vAlign w:val="bottom"/>
          </w:tcPr>
          <w:p>
            <w:pPr>
              <w:ind w:left="380"/>
              <w:spacing w:after="0" w:line="194" w:lineRule="exact"/>
              <w:rPr>
                <w:sz w:val="20"/>
                <w:szCs w:val="20"/>
                <w:color w:val="auto"/>
              </w:rPr>
            </w:pPr>
            <w:r>
              <w:rPr>
                <w:rFonts w:ascii="Arial" w:cs="Arial" w:eastAsia="Arial" w:hAnsi="Arial"/>
                <w:sz w:val="18"/>
                <w:szCs w:val="18"/>
                <w:color w:val="auto"/>
              </w:rPr>
              <w:t>Subtotal</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1,483,194</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42"/>
              <w:spacing w:after="0" w:line="194" w:lineRule="exact"/>
              <w:rPr>
                <w:sz w:val="20"/>
                <w:szCs w:val="20"/>
                <w:color w:val="auto"/>
              </w:rPr>
            </w:pPr>
            <w:r>
              <w:rPr>
                <w:rFonts w:ascii="Arial" w:cs="Arial" w:eastAsia="Arial" w:hAnsi="Arial"/>
                <w:sz w:val="18"/>
                <w:szCs w:val="18"/>
                <w:color w:val="auto"/>
              </w:rPr>
              <w:t>(460,415 )</w:t>
            </w:r>
          </w:p>
        </w:tc>
        <w:tc>
          <w:tcPr>
            <w:tcW w:w="16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8"/>
                <w:szCs w:val="18"/>
                <w:color w:val="auto"/>
              </w:rPr>
              <w:t>1,022,779</w:t>
            </w:r>
          </w:p>
        </w:tc>
      </w:tr>
      <w:tr>
        <w:trPr>
          <w:trHeight w:val="200"/>
        </w:trPr>
        <w:tc>
          <w:tcPr>
            <w:tcW w:w="3760" w:type="dxa"/>
            <w:vAlign w:val="bottom"/>
            <w:tcBorders>
              <w:bottom w:val="single" w:sz="8" w:color="CFF0FC"/>
            </w:tcBorders>
            <w:shd w:val="clear" w:color="auto" w:fill="CFF0FC"/>
          </w:tcPr>
          <w:p>
            <w:pPr>
              <w:ind w:left="200"/>
              <w:spacing w:after="0" w:line="201" w:lineRule="exact"/>
              <w:rPr>
                <w:sz w:val="20"/>
                <w:szCs w:val="20"/>
                <w:color w:val="auto"/>
              </w:rPr>
            </w:pPr>
            <w:r>
              <w:rPr>
                <w:rFonts w:ascii="Arial" w:cs="Arial" w:eastAsia="Arial" w:hAnsi="Arial"/>
                <w:sz w:val="18"/>
                <w:szCs w:val="18"/>
                <w:color w:val="auto"/>
              </w:rPr>
              <w:t>Trademarks—indefinite life</w:t>
            </w:r>
          </w:p>
        </w:tc>
        <w:tc>
          <w:tcPr>
            <w:tcW w:w="1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190,470</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right w:val="single" w:sz="8" w:color="CFF0FC"/>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190,470</w:t>
            </w:r>
          </w:p>
        </w:tc>
      </w:tr>
      <w:tr>
        <w:trPr>
          <w:trHeight w:val="194"/>
        </w:trPr>
        <w:tc>
          <w:tcPr>
            <w:tcW w:w="3760" w:type="dxa"/>
            <w:vAlign w:val="bottom"/>
          </w:tcPr>
          <w:p>
            <w:pPr>
              <w:ind w:left="20"/>
              <w:spacing w:after="0" w:line="194" w:lineRule="exact"/>
              <w:rPr>
                <w:sz w:val="20"/>
                <w:szCs w:val="20"/>
                <w:color w:val="auto"/>
              </w:rPr>
            </w:pPr>
            <w:r>
              <w:rPr>
                <w:rFonts w:ascii="Arial" w:cs="Arial" w:eastAsia="Arial" w:hAnsi="Arial"/>
                <w:sz w:val="18"/>
                <w:szCs w:val="18"/>
                <w:color w:val="auto"/>
              </w:rPr>
              <w:t>Total intangible assets</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1,673,664</w:t>
            </w:r>
          </w:p>
        </w:tc>
        <w:tc>
          <w:tcPr>
            <w:tcW w:w="36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2"/>
              <w:spacing w:after="0" w:line="194" w:lineRule="exact"/>
              <w:rPr>
                <w:sz w:val="20"/>
                <w:szCs w:val="20"/>
                <w:color w:val="auto"/>
              </w:rPr>
            </w:pPr>
            <w:r>
              <w:rPr>
                <w:rFonts w:ascii="Arial" w:cs="Arial" w:eastAsia="Arial" w:hAnsi="Arial"/>
                <w:sz w:val="18"/>
                <w:szCs w:val="18"/>
                <w:color w:val="auto"/>
              </w:rPr>
              <w:t>(460,415 )</w:t>
            </w:r>
          </w:p>
        </w:tc>
        <w:tc>
          <w:tcPr>
            <w:tcW w:w="16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4" w:lineRule="exact"/>
              <w:rPr>
                <w:sz w:val="20"/>
                <w:szCs w:val="20"/>
                <w:color w:val="auto"/>
              </w:rPr>
            </w:pPr>
            <w:r>
              <w:rPr>
                <w:rFonts w:ascii="Arial" w:cs="Arial" w:eastAsia="Arial" w:hAnsi="Arial"/>
                <w:sz w:val="18"/>
                <w:szCs w:val="18"/>
                <w:color w:val="auto"/>
              </w:rPr>
              <w:t>1,213,249</w:t>
            </w:r>
          </w:p>
        </w:tc>
      </w:tr>
      <w:tr>
        <w:trPr>
          <w:trHeight w:val="20"/>
        </w:trPr>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5195570</wp:posOffset>
            </wp:positionH>
            <wp:positionV relativeFrom="paragraph">
              <wp:posOffset>-420370</wp:posOffset>
            </wp:positionV>
            <wp:extent cx="4254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-420370</wp:posOffset>
            </wp:positionV>
            <wp:extent cx="5080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-420370</wp:posOffset>
            </wp:positionV>
            <wp:extent cx="3365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5715"/>
                    </a:xfrm>
                    <a:prstGeom prst="rect">
                      <a:avLst/>
                    </a:prstGeom>
                    <a:noFill/>
                  </pic:spPr>
                </pic:pic>
              </a:graphicData>
            </a:graphic>
          </wp:anchor>
        </w:drawing>
        <w:drawing>
          <wp:anchor simplePos="0" relativeHeight="251657728" behindDoc="1" locked="0" layoutInCell="0" allowOverlap="1">
            <wp:simplePos x="0" y="0"/>
            <wp:positionH relativeFrom="column">
              <wp:posOffset>5195570</wp:posOffset>
            </wp:positionH>
            <wp:positionV relativeFrom="paragraph">
              <wp:posOffset>-157480</wp:posOffset>
            </wp:positionV>
            <wp:extent cx="4254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6256020</wp:posOffset>
            </wp:positionH>
            <wp:positionV relativeFrom="paragraph">
              <wp:posOffset>-157480</wp:posOffset>
            </wp:positionV>
            <wp:extent cx="5080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7104380</wp:posOffset>
            </wp:positionH>
            <wp:positionV relativeFrom="paragraph">
              <wp:posOffset>-157480</wp:posOffset>
            </wp:positionV>
            <wp:extent cx="3365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5715"/>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for intangible assets was $24.8 million and $24.7 million for the three months ended March 31, 2022 and 2021, respectively.</w:t>
      </w:r>
    </w:p>
    <w:p>
      <w:pPr>
        <w:spacing w:after="0" w:line="123" w:lineRule="exact"/>
        <w:rPr>
          <w:sz w:val="20"/>
          <w:szCs w:val="20"/>
          <w:color w:val="auto"/>
        </w:rPr>
      </w:pPr>
    </w:p>
    <w:p>
      <w:pPr>
        <w:ind w:left="520" w:right="140"/>
        <w:spacing w:after="0" w:line="255" w:lineRule="auto"/>
        <w:rPr>
          <w:sz w:val="20"/>
          <w:szCs w:val="20"/>
          <w:color w:val="auto"/>
        </w:rPr>
      </w:pPr>
      <w:r>
        <w:rPr>
          <w:rFonts w:ascii="Arial" w:cs="Arial" w:eastAsia="Arial" w:hAnsi="Arial"/>
          <w:sz w:val="18"/>
          <w:szCs w:val="18"/>
          <w:color w:val="auto"/>
        </w:rPr>
        <w:t>Future amortization expense for the remainder of the year ended December 31, 2022 and the following four years ended December 31 and thereafter for intangible assets as of March 31, 2022,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5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0"/>
        </w:trPr>
        <w:tc>
          <w:tcPr>
            <w:tcW w:w="580" w:type="dxa"/>
            <w:vAlign w:val="bottom"/>
          </w:tcPr>
          <w:p>
            <w:pPr>
              <w:spacing w:after="0"/>
              <w:rPr>
                <w:sz w:val="17"/>
                <w:szCs w:val="17"/>
                <w:color w:val="auto"/>
              </w:rPr>
            </w:pPr>
          </w:p>
        </w:tc>
        <w:tc>
          <w:tcPr>
            <w:tcW w:w="35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2021</w:t>
            </w:r>
          </w:p>
        </w:tc>
        <w:tc>
          <w:tcPr>
            <w:tcW w:w="5800" w:type="dxa"/>
            <w:vAlign w:val="bottom"/>
            <w:gridSpan w:val="2"/>
            <w:shd w:val="clear" w:color="auto" w:fill="CFF0FC"/>
          </w:tcPr>
          <w:p>
            <w:pPr>
              <w:jc w:val="right"/>
              <w:ind w:right="451"/>
              <w:spacing w:after="0" w:line="201"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74,455</w:t>
            </w:r>
          </w:p>
        </w:tc>
        <w:tc>
          <w:tcPr>
            <w:tcW w:w="60" w:type="dxa"/>
            <w:vAlign w:val="bottom"/>
            <w:shd w:val="clear" w:color="auto" w:fill="CFF0FC"/>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2022</w:t>
            </w:r>
          </w:p>
        </w:tc>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99,003</w:t>
            </w:r>
          </w:p>
        </w:tc>
        <w:tc>
          <w:tcPr>
            <w:tcW w:w="60" w:type="dxa"/>
            <w:vAlign w:val="bottom"/>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35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2023</w:t>
            </w:r>
          </w:p>
        </w:tc>
        <w:tc>
          <w:tcPr>
            <w:tcW w:w="5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81,417</w:t>
            </w:r>
          </w:p>
        </w:tc>
        <w:tc>
          <w:tcPr>
            <w:tcW w:w="60" w:type="dxa"/>
            <w:vAlign w:val="bottom"/>
            <w:shd w:val="clear" w:color="auto" w:fill="CFF0FC"/>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2024</w:t>
            </w:r>
          </w:p>
        </w:tc>
        <w:tc>
          <w:tcPr>
            <w:tcW w:w="5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72,949</w:t>
            </w:r>
          </w:p>
        </w:tc>
        <w:tc>
          <w:tcPr>
            <w:tcW w:w="60" w:type="dxa"/>
            <w:vAlign w:val="bottom"/>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35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2025</w:t>
            </w:r>
          </w:p>
        </w:tc>
        <w:tc>
          <w:tcPr>
            <w:tcW w:w="5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72,949</w:t>
            </w:r>
          </w:p>
        </w:tc>
        <w:tc>
          <w:tcPr>
            <w:tcW w:w="60" w:type="dxa"/>
            <w:vAlign w:val="bottom"/>
            <w:shd w:val="clear" w:color="auto" w:fill="CFF0FC"/>
          </w:tcPr>
          <w:p>
            <w:pPr>
              <w:spacing w:after="0"/>
              <w:rPr>
                <w:sz w:val="17"/>
                <w:szCs w:val="17"/>
                <w:color w:val="auto"/>
              </w:rPr>
            </w:pPr>
          </w:p>
        </w:tc>
      </w:tr>
      <w:tr>
        <w:trPr>
          <w:trHeight w:val="200"/>
        </w:trPr>
        <w:tc>
          <w:tcPr>
            <w:tcW w:w="580" w:type="dxa"/>
            <w:vAlign w:val="bottom"/>
          </w:tcPr>
          <w:p>
            <w:pPr>
              <w:spacing w:after="0"/>
              <w:rPr>
                <w:sz w:val="17"/>
                <w:szCs w:val="17"/>
                <w:color w:val="auto"/>
              </w:rPr>
            </w:pPr>
          </w:p>
        </w:tc>
        <w:tc>
          <w:tcPr>
            <w:tcW w:w="3540" w:type="dxa"/>
            <w:vAlign w:val="bottom"/>
          </w:tcPr>
          <w:p>
            <w:pPr>
              <w:ind w:left="20"/>
              <w:spacing w:after="0" w:line="201" w:lineRule="exact"/>
              <w:rPr>
                <w:sz w:val="20"/>
                <w:szCs w:val="20"/>
                <w:color w:val="auto"/>
              </w:rPr>
            </w:pPr>
            <w:r>
              <w:rPr>
                <w:rFonts w:ascii="Arial" w:cs="Arial" w:eastAsia="Arial" w:hAnsi="Arial"/>
                <w:sz w:val="18"/>
                <w:szCs w:val="18"/>
                <w:color w:val="auto"/>
              </w:rPr>
              <w:t>Thereafter</w:t>
            </w:r>
          </w:p>
        </w:tc>
        <w:tc>
          <w:tcPr>
            <w:tcW w:w="51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602,032</w:t>
            </w:r>
          </w:p>
        </w:tc>
        <w:tc>
          <w:tcPr>
            <w:tcW w:w="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540" w:type="dxa"/>
            <w:vAlign w:val="bottom"/>
            <w:tcBorders>
              <w:bottom w:val="single" w:sz="8" w:color="CFF0FC"/>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Total</w:t>
            </w:r>
          </w:p>
        </w:tc>
        <w:tc>
          <w:tcPr>
            <w:tcW w:w="5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ind w:right="451"/>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1,002,805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06"/>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60" w:type="dxa"/>
            <w:vAlign w:val="bottom"/>
          </w:tcPr>
          <w:p>
            <w:pPr>
              <w:jc w:val="right"/>
              <w:ind w:right="3471"/>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51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-491490</wp:posOffset>
            </wp:positionV>
            <wp:extent cx="42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-474345</wp:posOffset>
            </wp:positionV>
            <wp:extent cx="425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1" w:name="page22"/>
    <w:bookmarkEnd w:id="21"/>
    <w:p>
      <w:pPr>
        <w:ind w:left="520" w:hanging="513"/>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as of March 31, 2022 and December 31, 2021, consist of the following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Pr>
          <w:p>
            <w:pPr>
              <w:spacing w:after="0"/>
              <w:rPr>
                <w:sz w:val="17"/>
                <w:szCs w:val="17"/>
                <w:color w:val="auto"/>
              </w:rPr>
            </w:pPr>
          </w:p>
        </w:tc>
      </w:tr>
      <w:tr>
        <w:trPr>
          <w:trHeight w:val="219"/>
        </w:trPr>
        <w:tc>
          <w:tcPr>
            <w:tcW w:w="7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4"/>
        </w:trPr>
        <w:tc>
          <w:tcPr>
            <w:tcW w:w="72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Compensation</w:t>
            </w:r>
          </w:p>
        </w:tc>
        <w:tc>
          <w:tcPr>
            <w:tcW w:w="24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32,666</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49,510</w:t>
            </w:r>
          </w:p>
        </w:tc>
        <w:tc>
          <w:tcPr>
            <w:tcW w:w="60" w:type="dxa"/>
            <w:vAlign w:val="bottom"/>
            <w:shd w:val="clear" w:color="auto" w:fill="CFF0FC"/>
          </w:tcPr>
          <w:p>
            <w:pPr>
              <w:spacing w:after="0"/>
              <w:rPr>
                <w:sz w:val="16"/>
                <w:szCs w:val="16"/>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3,396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2,371</w:t>
            </w:r>
          </w:p>
        </w:tc>
        <w:tc>
          <w:tcPr>
            <w:tcW w:w="60" w:type="dxa"/>
            <w:vAlign w:val="bottom"/>
          </w:tcPr>
          <w:p>
            <w:pPr>
              <w:spacing w:after="0"/>
              <w:rPr>
                <w:sz w:val="17"/>
                <w:szCs w:val="17"/>
                <w:color w:val="auto"/>
              </w:rPr>
            </w:pPr>
          </w:p>
        </w:tc>
      </w:tr>
      <w:tr>
        <w:trPr>
          <w:trHeight w:val="200"/>
        </w:trPr>
        <w:tc>
          <w:tcPr>
            <w:tcW w:w="72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Software license agreement</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3,270</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3,265</w:t>
            </w:r>
          </w:p>
        </w:tc>
        <w:tc>
          <w:tcPr>
            <w:tcW w:w="60" w:type="dxa"/>
            <w:vAlign w:val="bottom"/>
            <w:shd w:val="clear" w:color="auto" w:fill="CFF0FC"/>
          </w:tcPr>
          <w:p>
            <w:pPr>
              <w:spacing w:after="0"/>
              <w:rPr>
                <w:sz w:val="17"/>
                <w:szCs w:val="17"/>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Sales tax</w:t>
            </w: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2,949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2,296</w:t>
            </w:r>
          </w:p>
        </w:tc>
        <w:tc>
          <w:tcPr>
            <w:tcW w:w="60" w:type="dxa"/>
            <w:vAlign w:val="bottom"/>
          </w:tcPr>
          <w:p>
            <w:pPr>
              <w:spacing w:after="0"/>
              <w:rPr>
                <w:sz w:val="17"/>
                <w:szCs w:val="17"/>
                <w:color w:val="auto"/>
              </w:rPr>
            </w:pPr>
          </w:p>
        </w:tc>
      </w:tr>
      <w:tr>
        <w:trPr>
          <w:trHeight w:val="200"/>
        </w:trPr>
        <w:tc>
          <w:tcPr>
            <w:tcW w:w="72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Royalties and licenses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2,822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2,640</w:t>
            </w:r>
          </w:p>
        </w:tc>
        <w:tc>
          <w:tcPr>
            <w:tcW w:w="60" w:type="dxa"/>
            <w:vAlign w:val="bottom"/>
            <w:shd w:val="clear" w:color="auto" w:fill="CFF0FC"/>
          </w:tcPr>
          <w:p>
            <w:pPr>
              <w:spacing w:after="0"/>
              <w:rPr>
                <w:sz w:val="17"/>
                <w:szCs w:val="17"/>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Employee insurance benefits</w:t>
            </w: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2,136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2,443</w:t>
            </w:r>
          </w:p>
        </w:tc>
        <w:tc>
          <w:tcPr>
            <w:tcW w:w="60" w:type="dxa"/>
            <w:vAlign w:val="bottom"/>
          </w:tcPr>
          <w:p>
            <w:pPr>
              <w:spacing w:after="0"/>
              <w:rPr>
                <w:sz w:val="17"/>
                <w:szCs w:val="17"/>
                <w:color w:val="auto"/>
              </w:rPr>
            </w:pPr>
          </w:p>
        </w:tc>
      </w:tr>
      <w:tr>
        <w:trPr>
          <w:trHeight w:val="200"/>
        </w:trPr>
        <w:tc>
          <w:tcPr>
            <w:tcW w:w="722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3,018</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4,166</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4"/>
        </w:trPr>
        <w:tc>
          <w:tcPr>
            <w:tcW w:w="7220" w:type="dxa"/>
            <w:vAlign w:val="bottom"/>
          </w:tcPr>
          <w:p>
            <w:pPr>
              <w:ind w:left="20"/>
              <w:spacing w:after="0" w:line="181"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1"/>
              <w:spacing w:after="0" w:line="181"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81" w:lineRule="exact"/>
              <w:rPr>
                <w:sz w:val="20"/>
                <w:szCs w:val="20"/>
                <w:color w:val="auto"/>
              </w:rPr>
            </w:pPr>
            <w:r>
              <w:rPr>
                <w:rFonts w:ascii="Arial" w:cs="Arial" w:eastAsia="Arial" w:hAnsi="Arial"/>
                <w:sz w:val="18"/>
                <w:szCs w:val="18"/>
                <w:color w:val="auto"/>
              </w:rPr>
              <w:t>50,257</w:t>
            </w:r>
          </w:p>
        </w:tc>
        <w:tc>
          <w:tcPr>
            <w:tcW w:w="4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81" w:lineRule="exact"/>
              <w:rPr>
                <w:sz w:val="20"/>
                <w:szCs w:val="20"/>
                <w:color w:val="auto"/>
              </w:rPr>
            </w:pPr>
            <w:r>
              <w:rPr>
                <w:rFonts w:ascii="Arial" w:cs="Arial" w:eastAsia="Arial" w:hAnsi="Arial"/>
                <w:sz w:val="18"/>
                <w:szCs w:val="18"/>
                <w:color w:val="auto"/>
              </w:rPr>
              <w:t>66,691</w:t>
            </w:r>
          </w:p>
        </w:tc>
        <w:tc>
          <w:tcPr>
            <w:tcW w:w="60" w:type="dxa"/>
            <w:vAlign w:val="bottom"/>
          </w:tcPr>
          <w:p>
            <w:pPr>
              <w:spacing w:after="0"/>
              <w:rPr>
                <w:sz w:val="16"/>
                <w:szCs w:val="16"/>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-157480</wp:posOffset>
            </wp:positionV>
            <wp:extent cx="4254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-157480</wp:posOffset>
            </wp:positionV>
            <wp:extent cx="4254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296" w:lineRule="exact"/>
        <w:rPr>
          <w:sz w:val="20"/>
          <w:szCs w:val="20"/>
          <w:color w:val="auto"/>
        </w:rPr>
      </w:pPr>
    </w:p>
    <w:p>
      <w:pPr>
        <w:ind w:left="520" w:hanging="513"/>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0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Other liabilities as of March 31, 2022 and December 31, 2021, consist of the following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Pr>
          <w:p>
            <w:pPr>
              <w:spacing w:after="0"/>
              <w:rPr>
                <w:sz w:val="17"/>
                <w:szCs w:val="17"/>
                <w:color w:val="auto"/>
              </w:rPr>
            </w:pPr>
          </w:p>
        </w:tc>
      </w:tr>
      <w:tr>
        <w:trPr>
          <w:trHeight w:val="219"/>
        </w:trPr>
        <w:tc>
          <w:tcPr>
            <w:tcW w:w="7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4"/>
        </w:trPr>
        <w:tc>
          <w:tcPr>
            <w:tcW w:w="72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Software license agreement</w:t>
            </w:r>
          </w:p>
        </w:tc>
        <w:tc>
          <w:tcPr>
            <w:tcW w:w="24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3,065</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4,211</w:t>
            </w:r>
          </w:p>
        </w:tc>
        <w:tc>
          <w:tcPr>
            <w:tcW w:w="60" w:type="dxa"/>
            <w:vAlign w:val="bottom"/>
            <w:shd w:val="clear" w:color="auto" w:fill="CFF0FC"/>
          </w:tcPr>
          <w:p>
            <w:pPr>
              <w:spacing w:after="0"/>
              <w:rPr>
                <w:sz w:val="16"/>
                <w:szCs w:val="16"/>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Deferred revenue-non-current</w:t>
            </w:r>
          </w:p>
        </w:tc>
        <w:tc>
          <w:tcPr>
            <w:tcW w:w="24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1,505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rPr>
              <w:t>1,574</w:t>
            </w:r>
          </w:p>
        </w:tc>
        <w:tc>
          <w:tcPr>
            <w:tcW w:w="60" w:type="dxa"/>
            <w:vAlign w:val="bottom"/>
          </w:tcPr>
          <w:p>
            <w:pPr>
              <w:spacing w:after="0"/>
              <w:rPr>
                <w:sz w:val="17"/>
                <w:szCs w:val="17"/>
                <w:color w:val="auto"/>
              </w:rPr>
            </w:pPr>
          </w:p>
        </w:tc>
      </w:tr>
      <w:tr>
        <w:trPr>
          <w:trHeight w:val="200"/>
        </w:trPr>
        <w:tc>
          <w:tcPr>
            <w:tcW w:w="722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Contingent consideration</w:t>
            </w:r>
          </w:p>
        </w:tc>
        <w:tc>
          <w:tcPr>
            <w:tcW w:w="2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200</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4"/>
        </w:trPr>
        <w:tc>
          <w:tcPr>
            <w:tcW w:w="7220" w:type="dxa"/>
            <w:vAlign w:val="bottom"/>
          </w:tcPr>
          <w:p>
            <w:pPr>
              <w:ind w:left="20"/>
              <w:spacing w:after="0" w:line="194"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4" w:lineRule="exact"/>
              <w:rPr>
                <w:sz w:val="20"/>
                <w:szCs w:val="20"/>
                <w:color w:val="auto"/>
              </w:rPr>
            </w:pPr>
            <w:r>
              <w:rPr>
                <w:rFonts w:ascii="Arial" w:cs="Arial" w:eastAsia="Arial" w:hAnsi="Arial"/>
                <w:sz w:val="18"/>
                <w:szCs w:val="18"/>
                <w:color w:val="auto"/>
              </w:rPr>
              <w:t>4,770</w:t>
            </w:r>
          </w:p>
        </w:tc>
        <w:tc>
          <w:tcPr>
            <w:tcW w:w="42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4" w:lineRule="exact"/>
              <w:rPr>
                <w:sz w:val="20"/>
                <w:szCs w:val="20"/>
                <w:color w:val="auto"/>
              </w:rPr>
            </w:pPr>
            <w:r>
              <w:rPr>
                <w:rFonts w:ascii="Arial" w:cs="Arial" w:eastAsia="Arial" w:hAnsi="Arial"/>
                <w:sz w:val="18"/>
                <w:szCs w:val="18"/>
                <w:color w:val="auto"/>
              </w:rPr>
              <w:t>5,785</w:t>
            </w:r>
          </w:p>
        </w:tc>
        <w:tc>
          <w:tcPr>
            <w:tcW w:w="60" w:type="dxa"/>
            <w:vAlign w:val="bottom"/>
          </w:tcPr>
          <w:p>
            <w:pPr>
              <w:spacing w:after="0"/>
              <w:rPr>
                <w:sz w:val="16"/>
                <w:szCs w:val="16"/>
                <w:color w:val="auto"/>
              </w:rPr>
            </w:pP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-157480</wp:posOffset>
            </wp:positionV>
            <wp:extent cx="4254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-157480</wp:posOffset>
            </wp:positionV>
            <wp:extent cx="4254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545" cy="5715"/>
                    </a:xfrm>
                    <a:prstGeom prst="rect">
                      <a:avLst/>
                    </a:prstGeom>
                    <a:noFill/>
                  </pic:spPr>
                </pic:pic>
              </a:graphicData>
            </a:graphic>
          </wp:anchor>
        </w:drawing>
      </w:r>
    </w:p>
    <w:p>
      <w:pPr>
        <w:spacing w:after="0" w:line="269" w:lineRule="exact"/>
        <w:rPr>
          <w:sz w:val="20"/>
          <w:szCs w:val="20"/>
          <w:color w:val="auto"/>
        </w:rPr>
      </w:pPr>
    </w:p>
    <w:p>
      <w:pPr>
        <w:ind w:left="520" w:hanging="513"/>
        <w:spacing w:after="0"/>
        <w:tabs>
          <w:tab w:leader="none" w:pos="5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04" w:lineRule="exact"/>
        <w:rPr>
          <w:rFonts w:ascii="Arial" w:cs="Arial" w:eastAsia="Arial" w:hAnsi="Arial"/>
          <w:sz w:val="18"/>
          <w:szCs w:val="18"/>
          <w:b w:val="1"/>
          <w:bCs w:val="1"/>
          <w:color w:val="auto"/>
        </w:rPr>
      </w:pPr>
    </w:p>
    <w:p>
      <w:pPr>
        <w:ind w:left="520" w:right="20" w:firstLine="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21, 2021, CCC Intelligent Solutions Inc., an indirect wholly-owned subsidiary of the Company, together with certain of the Company’s subsidiaries acting as guarantors entered into a credit agreement (the “2021 Credit Agreement”).</w:t>
      </w:r>
    </w:p>
    <w:p>
      <w:pPr>
        <w:spacing w:after="0" w:line="67" w:lineRule="exact"/>
        <w:rPr>
          <w:rFonts w:ascii="Arial" w:cs="Arial" w:eastAsia="Arial" w:hAnsi="Arial"/>
          <w:sz w:val="18"/>
          <w:szCs w:val="18"/>
          <w:b w:val="1"/>
          <w:bCs w:val="1"/>
          <w:color w:val="auto"/>
        </w:rPr>
      </w:pPr>
    </w:p>
    <w:p>
      <w:pPr>
        <w:ind w:left="520" w:right="340" w:firstLine="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2021 Credit Agreement replaced the Company’s 2017 First Lien Credit Agreement (the “First Lien Credit Agreement”), dated as of April 27, 2017, as amended as of February 14, 2020.</w:t>
      </w:r>
    </w:p>
    <w:p>
      <w:pPr>
        <w:spacing w:after="0" w:line="6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proceeds of the 2021 Credit Agreement were used to repay all outstanding borrowings under the First Lien Credit Agreement.</w:t>
      </w:r>
    </w:p>
    <w:p>
      <w:pPr>
        <w:spacing w:after="0" w:line="100" w:lineRule="exact"/>
        <w:rPr>
          <w:rFonts w:ascii="Arial" w:cs="Arial" w:eastAsia="Arial" w:hAnsi="Arial"/>
          <w:sz w:val="18"/>
          <w:szCs w:val="18"/>
          <w:b w:val="1"/>
          <w:bCs w:val="1"/>
          <w:color w:val="auto"/>
        </w:rPr>
      </w:pPr>
    </w:p>
    <w:p>
      <w:pPr>
        <w:ind w:left="520" w:right="180"/>
        <w:spacing w:after="0" w:line="239" w:lineRule="auto"/>
        <w:rPr>
          <w:rFonts w:ascii="Arial" w:cs="Arial" w:eastAsia="Arial" w:hAnsi="Arial"/>
          <w:sz w:val="18"/>
          <w:szCs w:val="18"/>
          <w:b w:val="1"/>
          <w:bCs w:val="1"/>
          <w:color w:val="auto"/>
        </w:rPr>
      </w:pPr>
      <w:r>
        <w:rPr>
          <w:rFonts w:ascii="Arial" w:cs="Arial" w:eastAsia="Arial" w:hAnsi="Arial"/>
          <w:sz w:val="18"/>
          <w:szCs w:val="18"/>
          <w:i w:val="1"/>
          <w:iCs w:val="1"/>
          <w:color w:val="auto"/>
        </w:rPr>
        <w:t>2021 Credit Agreement</w:t>
      </w:r>
      <w:r>
        <w:rPr>
          <w:rFonts w:ascii="Arial" w:cs="Arial" w:eastAsia="Arial" w:hAnsi="Arial"/>
          <w:sz w:val="18"/>
          <w:szCs w:val="18"/>
          <w:color w:val="auto"/>
        </w:rPr>
        <w:t>—The 2021 Credit Agreement consists of an $800.0 million term loan (“Term B Loan”) and a revolving credit facility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$250.0 million (the “2021 Revolving Credit Facility”). The 2021 Revolving Credit Facility has a sublimit of $75.0 million for letters of credit. The Company received proceeds of $798.0 million, net of debt discount of $2.0 million, related to the Term B Loan. At March 31, 2022 and December 31, 2021, the unamortized debt discount was $1.9 million.</w:t>
      </w:r>
    </w:p>
    <w:p>
      <w:pPr>
        <w:spacing w:after="0" w:line="83" w:lineRule="exact"/>
        <w:rPr>
          <w:rFonts w:ascii="Arial" w:cs="Arial" w:eastAsia="Arial" w:hAnsi="Arial"/>
          <w:sz w:val="18"/>
          <w:szCs w:val="18"/>
          <w:b w:val="1"/>
          <w:bCs w:val="1"/>
          <w:color w:val="auto"/>
        </w:rPr>
      </w:pPr>
    </w:p>
    <w:p>
      <w:pPr>
        <w:ind w:left="520" w:right="18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$9.8 million in financing costs related to the Term B Loan. These costs were recorded to a contra debt account and are being amortized to interest expense over the term of the Term B Loan using the effective interest method. As of March 31, 2022 and December 31, 2021, the unamortized financing costs were $9.1 million and $9.5 million, respectively.</w:t>
      </w:r>
    </w:p>
    <w:p>
      <w:pPr>
        <w:spacing w:after="0" w:line="79" w:lineRule="exact"/>
        <w:rPr>
          <w:rFonts w:ascii="Arial" w:cs="Arial" w:eastAsia="Arial" w:hAnsi="Arial"/>
          <w:sz w:val="18"/>
          <w:szCs w:val="18"/>
          <w:b w:val="1"/>
          <w:bCs w:val="1"/>
          <w:color w:val="auto"/>
        </w:rPr>
      </w:pPr>
    </w:p>
    <w:p>
      <w:pPr>
        <w:ind w:left="520" w:right="54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The Company incurred $3.1 million in financing costs related to the 2021 Revolving Credit Facility. These costs were recorded to a deferred financing fees asset account and are being amortized to interest expense over the term of the 2021 Revolving Credit Facility using the effective interest method. As of March 31, 2022 and December 31, 2021, the deferred financing fees asset balance was $2.7 million and $2.9 million, respectively.</w:t>
      </w:r>
    </w:p>
    <w:p>
      <w:pPr>
        <w:spacing w:after="0" w:line="83" w:lineRule="exact"/>
        <w:rPr>
          <w:rFonts w:ascii="Arial" w:cs="Arial" w:eastAsia="Arial" w:hAnsi="Arial"/>
          <w:sz w:val="18"/>
          <w:szCs w:val="18"/>
          <w:b w:val="1"/>
          <w:bCs w:val="1"/>
          <w:color w:val="auto"/>
        </w:rPr>
      </w:pPr>
    </w:p>
    <w:p>
      <w:pPr>
        <w:ind w:left="520" w:right="2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Beginning with the quarter ending March 31, 2022, the Term B Loan requires quarterly principal payments of $2.0 million until June 30, 2028, with the remaining outstanding principal amount required to be paid on the maturity date, September 21, 2028. 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March 31, 2022, the Company was not subject to the annual excess cash flow calculation and no such principal prepayments are required.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22" w:name="page23"/>
    <w:bookmarkEnd w:id="22"/>
    <w:p>
      <w:pPr>
        <w:ind w:left="4" w:right="80"/>
        <w:spacing w:after="0" w:line="243" w:lineRule="auto"/>
        <w:rPr>
          <w:sz w:val="20"/>
          <w:szCs w:val="20"/>
          <w:color w:val="auto"/>
        </w:rPr>
      </w:pPr>
      <w:r>
        <w:rPr>
          <w:rFonts w:ascii="Arial" w:cs="Arial" w:eastAsia="Arial" w:hAnsi="Arial"/>
          <w:sz w:val="18"/>
          <w:szCs w:val="18"/>
          <w:color w:val="auto"/>
        </w:rPr>
        <w:t>As of March 31, 2022 and December 31, 2021, the amount outstanding on the Term B Loan is $798.0 million and $800.0 million, respectively. As of March 31, 2022 and December 31, 2021, $8.0 million of the amount outstanding on the Term B Loan is classified as current in the accompanying condensed consolidated balance sheets.</w:t>
      </w:r>
    </w:p>
    <w:p>
      <w:pPr>
        <w:spacing w:after="0" w:line="79" w:lineRule="exact"/>
        <w:rPr>
          <w:sz w:val="20"/>
          <w:szCs w:val="20"/>
          <w:color w:val="auto"/>
        </w:rPr>
      </w:pPr>
    </w:p>
    <w:p>
      <w:pPr>
        <w:ind w:left="4" w:right="140"/>
        <w:spacing w:after="0" w:line="239" w:lineRule="auto"/>
        <w:rPr>
          <w:sz w:val="20"/>
          <w:szCs w:val="20"/>
          <w:color w:val="auto"/>
        </w:rPr>
      </w:pPr>
      <w:r>
        <w:rPr>
          <w:rFonts w:ascii="Arial" w:cs="Arial" w:eastAsia="Arial" w:hAnsi="Arial"/>
          <w:sz w:val="18"/>
          <w:szCs w:val="18"/>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The interest rate per annum applicable to the loans under the 2021 Credit Facility are based on a fluctuating rate of interest equal to the sum of an applicable rate and, at the Company’s election from time to time, either:</w:t>
      </w:r>
    </w:p>
    <w:p>
      <w:pPr>
        <w:spacing w:after="0" w:line="84" w:lineRule="exact"/>
        <w:rPr>
          <w:sz w:val="20"/>
          <w:szCs w:val="20"/>
          <w:color w:val="auto"/>
        </w:rPr>
      </w:pPr>
    </w:p>
    <w:p>
      <w:pPr>
        <w:ind w:left="504" w:right="20" w:hanging="504"/>
        <w:spacing w:after="0" w:line="243"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base rate determined by reference to the highest of (a) the rate last quoted by the Wall Street Journal as the “prime rate,” (b) the federal funds effective rate plus 0.50%, (c) one-month LIBOR plus 1.00% and (d) with respect to the Term B Loans, 1.50% and with respect to the Revolving Credit Facility, 1.00%, or</w:t>
      </w:r>
    </w:p>
    <w:p>
      <w:pPr>
        <w:spacing w:after="0" w:line="79" w:lineRule="exact"/>
        <w:rPr>
          <w:rFonts w:ascii="Arial" w:cs="Arial" w:eastAsia="Arial" w:hAnsi="Arial"/>
          <w:sz w:val="18"/>
          <w:szCs w:val="18"/>
          <w:color w:val="auto"/>
        </w:rPr>
      </w:pPr>
    </w:p>
    <w:p>
      <w:pPr>
        <w:ind w:left="504" w:right="40" w:hanging="504"/>
        <w:spacing w:after="0" w:line="243" w:lineRule="auto"/>
        <w:tabs>
          <w:tab w:leader="none" w:pos="5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8"/>
          <w:szCs w:val="18"/>
          <w:color w:val="auto"/>
        </w:rPr>
        <w:t>A quarterly commitment fee of up to 0.50% is payable on the unused portion of the 2021 Revolving Credit Facility.</w:t>
      </w:r>
    </w:p>
    <w:p>
      <w:pPr>
        <w:spacing w:after="0" w:line="100" w:lineRule="exact"/>
        <w:rPr>
          <w:sz w:val="20"/>
          <w:szCs w:val="20"/>
          <w:color w:val="auto"/>
        </w:rPr>
      </w:pPr>
    </w:p>
    <w:p>
      <w:pPr>
        <w:ind w:left="4"/>
        <w:spacing w:after="0"/>
        <w:rPr>
          <w:sz w:val="20"/>
          <w:szCs w:val="20"/>
          <w:color w:val="auto"/>
        </w:rPr>
      </w:pPr>
      <w:r>
        <w:rPr>
          <w:rFonts w:ascii="Arial" w:cs="Arial" w:eastAsia="Arial" w:hAnsi="Arial"/>
          <w:sz w:val="16"/>
          <w:szCs w:val="16"/>
          <w:color w:val="auto"/>
        </w:rPr>
        <w:t>During the three months ended March 31, 2022, the weighted-average interest rate on the outstanding borrowings under the Term B Loan was 3.0%.</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made interest payments of $5.9 during the three months ended March 31, 2022.</w:t>
      </w:r>
    </w:p>
    <w:p>
      <w:pPr>
        <w:spacing w:after="0" w:line="84" w:lineRule="exact"/>
        <w:rPr>
          <w:sz w:val="20"/>
          <w:szCs w:val="20"/>
          <w:color w:val="auto"/>
        </w:rPr>
      </w:pPr>
    </w:p>
    <w:p>
      <w:pPr>
        <w:ind w:left="4" w:right="520"/>
        <w:spacing w:after="0" w:line="284" w:lineRule="auto"/>
        <w:rPr>
          <w:sz w:val="20"/>
          <w:szCs w:val="20"/>
          <w:color w:val="auto"/>
        </w:rPr>
      </w:pPr>
      <w:r>
        <w:rPr>
          <w:rFonts w:ascii="Arial" w:cs="Arial" w:eastAsia="Arial" w:hAnsi="Arial"/>
          <w:sz w:val="17"/>
          <w:szCs w:val="17"/>
          <w:color w:val="auto"/>
        </w:rPr>
        <w:t>The Company issued a standby letter of credit for $0.7 million during 2021 which reduces the amount available to be borrowed under the 2021 Revolving Credit Facility and at March 31, 2022 and December 31, 2021, $249.3 million was available to be borrowed.</w:t>
      </w:r>
    </w:p>
    <w:p>
      <w:pPr>
        <w:spacing w:after="0" w:line="45" w:lineRule="exact"/>
        <w:rPr>
          <w:sz w:val="20"/>
          <w:szCs w:val="20"/>
          <w:color w:val="auto"/>
        </w:rPr>
      </w:pPr>
    </w:p>
    <w:p>
      <w:pPr>
        <w:ind w:left="4" w:right="180"/>
        <w:spacing w:after="0" w:line="243" w:lineRule="auto"/>
        <w:rPr>
          <w:sz w:val="20"/>
          <w:szCs w:val="20"/>
          <w:color w:val="auto"/>
        </w:rPr>
      </w:pPr>
      <w:r>
        <w:rPr>
          <w:rFonts w:ascii="Arial" w:cs="Arial" w:eastAsia="Arial" w:hAnsi="Arial"/>
          <w:sz w:val="18"/>
          <w:szCs w:val="18"/>
          <w:color w:val="auto"/>
        </w:rPr>
        <w:t>Borrowings under the 2021 Lien Credit Agreement are guaranteed by Cypress Intermediate Holdings II, Inc., and certain of its US subsidiaries by a perfected first priority lien on the stock of CCC Intelligent Solutions Inc., and substantially all of its assets, subject to various limitations and exceptions.</w:t>
      </w:r>
    </w:p>
    <w:p>
      <w:pPr>
        <w:spacing w:after="0" w:line="79" w:lineRule="exact"/>
        <w:rPr>
          <w:sz w:val="20"/>
          <w:szCs w:val="20"/>
          <w:color w:val="auto"/>
        </w:rPr>
      </w:pPr>
    </w:p>
    <w:p>
      <w:pPr>
        <w:ind w:left="4" w:right="20"/>
        <w:spacing w:after="0" w:line="289" w:lineRule="auto"/>
        <w:rPr>
          <w:sz w:val="20"/>
          <w:szCs w:val="20"/>
          <w:color w:val="auto"/>
        </w:rPr>
      </w:pPr>
      <w:r>
        <w:rPr>
          <w:rFonts w:ascii="Arial" w:cs="Arial" w:eastAsia="Arial" w:hAnsi="Arial"/>
          <w:sz w:val="16"/>
          <w:szCs w:val="16"/>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43" w:lineRule="exact"/>
        <w:rPr>
          <w:sz w:val="20"/>
          <w:szCs w:val="20"/>
          <w:color w:val="auto"/>
        </w:rPr>
      </w:pPr>
    </w:p>
    <w:p>
      <w:pPr>
        <w:ind w:left="4" w:right="260"/>
        <w:spacing w:after="0" w:line="239" w:lineRule="auto"/>
        <w:rPr>
          <w:sz w:val="20"/>
          <w:szCs w:val="20"/>
          <w:color w:val="auto"/>
        </w:rPr>
      </w:pPr>
      <w:r>
        <w:rPr>
          <w:rFonts w:ascii="Arial" w:cs="Arial" w:eastAsia="Arial" w:hAnsi="Arial"/>
          <w:sz w:val="18"/>
          <w:szCs w:val="18"/>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March 31, 2022, the Company was not subject to the financial covenant.</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First Lien Credit Agreement</w:t>
      </w:r>
      <w:r>
        <w:rPr>
          <w:rFonts w:ascii="Arial" w:cs="Arial" w:eastAsia="Arial" w:hAnsi="Arial"/>
          <w:sz w:val="18"/>
          <w:szCs w:val="18"/>
          <w:color w:val="auto"/>
        </w:rPr>
        <w:t>—In April 2017, the Company entered into the First Lien Credit Agreement.</w:t>
      </w:r>
    </w:p>
    <w:p>
      <w:pPr>
        <w:spacing w:after="0" w:line="100" w:lineRule="exact"/>
        <w:rPr>
          <w:sz w:val="20"/>
          <w:szCs w:val="20"/>
          <w:color w:val="auto"/>
        </w:rPr>
      </w:pPr>
    </w:p>
    <w:p>
      <w:pPr>
        <w:ind w:left="4" w:right="160"/>
        <w:spacing w:after="0" w:line="265" w:lineRule="auto"/>
        <w:rPr>
          <w:sz w:val="20"/>
          <w:szCs w:val="20"/>
          <w:color w:val="auto"/>
        </w:rPr>
      </w:pPr>
      <w:r>
        <w:rPr>
          <w:rFonts w:ascii="Arial" w:cs="Arial" w:eastAsia="Arial" w:hAnsi="Arial"/>
          <w:sz w:val="17"/>
          <w:szCs w:val="17"/>
          <w:color w:val="auto"/>
        </w:rPr>
        <w:t>The First Lien Credit Agreement consisted of a $1.0 billion term loan (“First Lien Term Loan”) and revolving credit facilities for an aggregate principal amount of $100.0 million (the “First Lien Revolvers”), with a sublimit of $30.0 million for letters of credit under the First Lien Revolvers. The Company received proceeds of $997.5 million, net of debt discount of $2.5 million, related to the First Lien Term Loan.</w:t>
      </w:r>
    </w:p>
    <w:p>
      <w:pPr>
        <w:spacing w:after="0" w:line="60" w:lineRule="exact"/>
        <w:rPr>
          <w:sz w:val="20"/>
          <w:szCs w:val="20"/>
          <w:color w:val="auto"/>
        </w:rPr>
      </w:pPr>
    </w:p>
    <w:p>
      <w:pPr>
        <w:jc w:val="both"/>
        <w:ind w:left="4" w:right="180"/>
        <w:spacing w:after="0" w:line="243" w:lineRule="auto"/>
        <w:rPr>
          <w:sz w:val="20"/>
          <w:szCs w:val="20"/>
          <w:color w:val="auto"/>
        </w:rPr>
      </w:pPr>
      <w:r>
        <w:rPr>
          <w:rFonts w:ascii="Arial" w:cs="Arial" w:eastAsia="Arial" w:hAnsi="Arial"/>
          <w:sz w:val="18"/>
          <w:szCs w:val="18"/>
          <w:color w:val="auto"/>
        </w:rPr>
        <w:t>In February 2020, the Company refinanced its long-term debt and entered into the First Amendment to the First Lien Credit Agreement (“First Lien Amendment”). The proceeds of the refinance were used to repay the outstanding balance of the Company's Second Lien Credit Agreement, entered into in April 2017.</w:t>
      </w:r>
    </w:p>
    <w:p>
      <w:pPr>
        <w:spacing w:after="0" w:line="79"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The First Lien Amendment provided an incremental term loan in the amount of $375.0 million. The Company received proceeds from the incremental term loan of $373.1 million, net of debt discount of $1.9 million.</w:t>
      </w:r>
    </w:p>
    <w:p>
      <w:pPr>
        <w:spacing w:after="0" w:line="68"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In addition, the First Lien Amendment reduced the amount of commitments under the First Lien Revolvers to an aggregate principal amount of $91.3 million. The First Lien Revolvers continued to have a sublimit of $30.0 million for letters of credit.</w:t>
      </w:r>
    </w:p>
    <w:p>
      <w:pPr>
        <w:spacing w:after="0" w:line="68" w:lineRule="exact"/>
        <w:rPr>
          <w:sz w:val="20"/>
          <w:szCs w:val="20"/>
          <w:color w:val="auto"/>
        </w:rPr>
      </w:pPr>
    </w:p>
    <w:p>
      <w:pPr>
        <w:ind w:left="4" w:right="200"/>
        <w:spacing w:after="0" w:line="243" w:lineRule="auto"/>
        <w:rPr>
          <w:sz w:val="20"/>
          <w:szCs w:val="20"/>
          <w:color w:val="auto"/>
        </w:rPr>
      </w:pPr>
      <w:r>
        <w:rPr>
          <w:rFonts w:ascii="Arial" w:cs="Arial" w:eastAsia="Arial" w:hAnsi="Arial"/>
          <w:sz w:val="18"/>
          <w:szCs w:val="18"/>
          <w:color w:val="auto"/>
        </w:rPr>
        <w:t>The Company incurred $27.6 million and $3.4 million in financing costs related to the First Lien Credit Agreement and First Lien Amendment, respectively. These costs were recorded to a contra debt account and were being amortized to interest expense over the term of the First Lien Credit Agreement using the effective interest method.</w:t>
      </w:r>
    </w:p>
    <w:p>
      <w:pPr>
        <w:spacing w:after="0" w:line="79" w:lineRule="exact"/>
        <w:rPr>
          <w:sz w:val="20"/>
          <w:szCs w:val="20"/>
          <w:color w:val="auto"/>
        </w:rPr>
      </w:pPr>
    </w:p>
    <w:p>
      <w:pPr>
        <w:ind w:left="4" w:right="40"/>
        <w:spacing w:after="0" w:line="237" w:lineRule="auto"/>
        <w:rPr>
          <w:sz w:val="20"/>
          <w:szCs w:val="20"/>
          <w:color w:val="auto"/>
        </w:rPr>
      </w:pPr>
      <w:r>
        <w:rPr>
          <w:rFonts w:ascii="Arial" w:cs="Arial" w:eastAsia="Arial" w:hAnsi="Arial"/>
          <w:sz w:val="18"/>
          <w:szCs w:val="18"/>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w:t>
      </w:r>
    </w:p>
    <w:p>
      <w:pPr>
        <w:spacing w:after="0" w:line="190" w:lineRule="exact"/>
        <w:rPr>
          <w:sz w:val="20"/>
          <w:szCs w:val="20"/>
          <w:color w:val="auto"/>
        </w:rPr>
      </w:pPr>
    </w:p>
    <w:p>
      <w:pPr>
        <w:jc w:val="center"/>
        <w:ind w:right="476"/>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51435</wp:posOffset>
            </wp:positionV>
            <wp:extent cx="71589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04"/>
          </w:cols>
          <w:pgMar w:left="836" w:top="432" w:right="359" w:bottom="1440" w:gutter="0" w:footer="0" w:header="0"/>
        </w:sectPr>
      </w:pPr>
    </w:p>
    <w:bookmarkStart w:id="23" w:name="page24"/>
    <w:bookmarkEnd w:id="23"/>
    <w:p>
      <w:pPr>
        <w:ind w:left="520" w:right="80"/>
        <w:spacing w:after="0" w:line="255" w:lineRule="auto"/>
        <w:rPr>
          <w:sz w:val="20"/>
          <w:szCs w:val="20"/>
          <w:color w:val="auto"/>
        </w:rPr>
      </w:pPr>
      <w:r>
        <w:rPr>
          <w:rFonts w:ascii="Arial" w:cs="Arial" w:eastAsia="Arial" w:hAnsi="Arial"/>
          <w:sz w:val="18"/>
          <w:szCs w:val="18"/>
          <w:color w:val="auto"/>
        </w:rPr>
        <w:t>31, 2020, subject to the request of the lenders of the First Lien Term Loan, a principal prepayment of up to $21.9 million was required. In April 2021, the Company made a principal prepayment of $1.5 million to those lenders who made such a request.</w:t>
      </w:r>
    </w:p>
    <w:p>
      <w:pPr>
        <w:spacing w:after="0" w:line="68" w:lineRule="exact"/>
        <w:rPr>
          <w:sz w:val="20"/>
          <w:szCs w:val="20"/>
          <w:color w:val="auto"/>
        </w:rPr>
      </w:pPr>
    </w:p>
    <w:p>
      <w:pPr>
        <w:ind w:left="520" w:right="260" w:firstLine="1"/>
        <w:spacing w:after="0" w:line="243" w:lineRule="auto"/>
        <w:rPr>
          <w:sz w:val="20"/>
          <w:szCs w:val="20"/>
          <w:color w:val="auto"/>
        </w:rPr>
      </w:pPr>
      <w:r>
        <w:rPr>
          <w:rFonts w:ascii="Arial" w:cs="Arial" w:eastAsia="Arial" w:hAnsi="Arial"/>
          <w:sz w:val="18"/>
          <w:szCs w:val="18"/>
          <w:color w:val="auto"/>
        </w:rPr>
        <w:t>Using a portion of the proceeds of the Business Combination, the Company made a principal prepayment of $525.0 million on July 30, 2021. Subsequently, in September 2021, using the proceeds from the Term B Loan provided in the 2021 Credit Agreement, the Company fully repaid the remaining $804.2 million of outstanding borrowings on the First Lien Term Loan.</w:t>
      </w:r>
    </w:p>
    <w:p>
      <w:pPr>
        <w:spacing w:after="0" w:line="79" w:lineRule="exact"/>
        <w:rPr>
          <w:sz w:val="20"/>
          <w:szCs w:val="20"/>
          <w:color w:val="auto"/>
        </w:rPr>
      </w:pPr>
    </w:p>
    <w:p>
      <w:pPr>
        <w:ind w:left="520" w:right="280"/>
        <w:spacing w:after="0" w:line="243" w:lineRule="auto"/>
        <w:rPr>
          <w:sz w:val="20"/>
          <w:szCs w:val="20"/>
          <w:color w:val="auto"/>
        </w:rPr>
      </w:pPr>
      <w:r>
        <w:rPr>
          <w:rFonts w:ascii="Arial" w:cs="Arial" w:eastAsia="Arial" w:hAnsi="Arial"/>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79"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During the three months ended March 31, 2021, the weighted-average interest rate on the outstanding borrowings under the First Lien Term Loan was 4.1%. The Company made interest payments of $13.4 million during the three months ended March 31, 2021.</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Long-term debt as of March 31, 2022 and December 31, 2021, consists of the following (in thousands):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right"/>
              <w:ind w:right="531"/>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17"/>
                <w:szCs w:val="17"/>
                <w:color w:val="auto"/>
              </w:rPr>
            </w:pPr>
          </w:p>
        </w:tc>
        <w:tc>
          <w:tcPr>
            <w:tcW w:w="1520" w:type="dxa"/>
            <w:vAlign w:val="bottom"/>
            <w:gridSpan w:val="2"/>
          </w:tcPr>
          <w:p>
            <w:pPr>
              <w:jc w:val="right"/>
              <w:ind w:right="291"/>
              <w:spacing w:after="0"/>
              <w:rPr>
                <w:sz w:val="20"/>
                <w:szCs w:val="20"/>
                <w:color w:val="auto"/>
              </w:rPr>
            </w:pPr>
            <w:r>
              <w:rPr>
                <w:rFonts w:ascii="Arial" w:cs="Arial" w:eastAsia="Arial" w:hAnsi="Arial"/>
                <w:sz w:val="18"/>
                <w:szCs w:val="18"/>
                <w:b w:val="1"/>
                <w:bCs w:val="1"/>
                <w:color w:val="auto"/>
                <w:w w:val="95"/>
              </w:rPr>
              <w:t>December 31,</w:t>
            </w:r>
          </w:p>
        </w:tc>
      </w:tr>
      <w:tr>
        <w:trPr>
          <w:trHeight w:val="219"/>
        </w:trPr>
        <w:tc>
          <w:tcPr>
            <w:tcW w:w="7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194"/>
        </w:trPr>
        <w:tc>
          <w:tcPr>
            <w:tcW w:w="714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Term B Loan</w:t>
            </w:r>
          </w:p>
        </w:tc>
        <w:tc>
          <w:tcPr>
            <w:tcW w:w="24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798,000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1"/>
              <w:spacing w:after="0" w:line="194"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800,000</w:t>
            </w:r>
          </w:p>
        </w:tc>
        <w:tc>
          <w:tcPr>
            <w:tcW w:w="80" w:type="dxa"/>
            <w:vAlign w:val="bottom"/>
            <w:shd w:val="clear" w:color="auto" w:fill="CFF0FC"/>
          </w:tcPr>
          <w:p>
            <w:pPr>
              <w:spacing w:after="0"/>
              <w:rPr>
                <w:sz w:val="16"/>
                <w:szCs w:val="16"/>
                <w:color w:val="auto"/>
              </w:rPr>
            </w:pPr>
          </w:p>
        </w:tc>
      </w:tr>
      <w:tr>
        <w:trPr>
          <w:trHeight w:val="200"/>
        </w:trPr>
        <w:tc>
          <w:tcPr>
            <w:tcW w:w="7140" w:type="dxa"/>
            <w:vAlign w:val="bottom"/>
          </w:tcPr>
          <w:p>
            <w:pPr>
              <w:ind w:left="20"/>
              <w:spacing w:after="0" w:line="201" w:lineRule="exact"/>
              <w:rPr>
                <w:sz w:val="20"/>
                <w:szCs w:val="20"/>
                <w:color w:val="auto"/>
              </w:rPr>
            </w:pPr>
            <w:r>
              <w:rPr>
                <w:rFonts w:ascii="Arial" w:cs="Arial" w:eastAsia="Arial" w:hAnsi="Arial"/>
                <w:sz w:val="18"/>
                <w:szCs w:val="18"/>
                <w:color w:val="auto"/>
              </w:rPr>
              <w:t>Term B Loan—discount</w:t>
            </w:r>
          </w:p>
        </w:tc>
        <w:tc>
          <w:tcPr>
            <w:tcW w:w="240" w:type="dxa"/>
            <w:vAlign w:val="bottom"/>
          </w:tcPr>
          <w:p>
            <w:pPr>
              <w:spacing w:after="0"/>
              <w:rPr>
                <w:sz w:val="17"/>
                <w:szCs w:val="17"/>
                <w:color w:val="auto"/>
              </w:rPr>
            </w:pPr>
          </w:p>
        </w:tc>
        <w:tc>
          <w:tcPr>
            <w:tcW w:w="154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(1,861 )</w:t>
            </w:r>
          </w:p>
        </w:tc>
        <w:tc>
          <w:tcPr>
            <w:tcW w:w="220" w:type="dxa"/>
            <w:vAlign w:val="bottom"/>
          </w:tcPr>
          <w:p>
            <w:pPr>
              <w:spacing w:after="0"/>
              <w:rPr>
                <w:sz w:val="17"/>
                <w:szCs w:val="17"/>
                <w:color w:val="auto"/>
              </w:rPr>
            </w:pPr>
          </w:p>
        </w:tc>
        <w:tc>
          <w:tcPr>
            <w:tcW w:w="15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(1,926 )</w:t>
            </w:r>
          </w:p>
        </w:tc>
      </w:tr>
      <w:tr>
        <w:trPr>
          <w:trHeight w:val="200"/>
        </w:trPr>
        <w:tc>
          <w:tcPr>
            <w:tcW w:w="71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Term B Loan—deferred financing fees</w:t>
            </w:r>
          </w:p>
        </w:tc>
        <w:tc>
          <w:tcPr>
            <w:tcW w:w="2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71"/>
              <w:spacing w:after="0" w:line="201" w:lineRule="exact"/>
              <w:rPr>
                <w:sz w:val="20"/>
                <w:szCs w:val="20"/>
                <w:color w:val="auto"/>
              </w:rPr>
            </w:pPr>
            <w:r>
              <w:rPr>
                <w:rFonts w:ascii="Arial" w:cs="Arial" w:eastAsia="Arial" w:hAnsi="Arial"/>
                <w:sz w:val="18"/>
                <w:szCs w:val="18"/>
                <w:color w:val="auto"/>
              </w:rPr>
              <w:t>(9,143 )</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(9,464 )</w:t>
            </w:r>
          </w:p>
        </w:tc>
      </w:tr>
      <w:tr>
        <w:trPr>
          <w:trHeight w:val="194"/>
        </w:trPr>
        <w:tc>
          <w:tcPr>
            <w:tcW w:w="7140" w:type="dxa"/>
            <w:vAlign w:val="bottom"/>
            <w:tcBorders>
              <w:top w:val="single" w:sz="8" w:color="CFF0FC"/>
            </w:tcBorders>
          </w:tcPr>
          <w:p>
            <w:pPr>
              <w:ind w:left="200"/>
              <w:spacing w:after="0" w:line="194" w:lineRule="exact"/>
              <w:rPr>
                <w:sz w:val="20"/>
                <w:szCs w:val="20"/>
                <w:color w:val="auto"/>
              </w:rPr>
            </w:pPr>
            <w:r>
              <w:rPr>
                <w:rFonts w:ascii="Arial" w:cs="Arial" w:eastAsia="Arial" w:hAnsi="Arial"/>
                <w:sz w:val="18"/>
                <w:szCs w:val="18"/>
                <w:color w:val="auto"/>
              </w:rPr>
              <w:t>Term B Loan—net of discount &amp; fees</w:t>
            </w: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786,996</w:t>
            </w:r>
          </w:p>
        </w:tc>
        <w:tc>
          <w:tcPr>
            <w:tcW w:w="240" w:type="dxa"/>
            <w:vAlign w:val="bottom"/>
            <w:tcBorders>
              <w:top w:val="single" w:sz="8" w:color="CFF0FC"/>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788,610</w:t>
            </w:r>
          </w:p>
        </w:tc>
        <w:tc>
          <w:tcPr>
            <w:tcW w:w="80" w:type="dxa"/>
            <w:vAlign w:val="bottom"/>
            <w:tcBorders>
              <w:top w:val="single" w:sz="8" w:color="CFF0FC"/>
            </w:tcBorders>
          </w:tcPr>
          <w:p>
            <w:pPr>
              <w:spacing w:after="0"/>
              <w:rPr>
                <w:sz w:val="16"/>
                <w:szCs w:val="16"/>
                <w:color w:val="auto"/>
              </w:rPr>
            </w:pPr>
          </w:p>
        </w:tc>
      </w:tr>
      <w:tr>
        <w:trPr>
          <w:trHeight w:val="194"/>
        </w:trPr>
        <w:tc>
          <w:tcPr>
            <w:tcW w:w="7140" w:type="dxa"/>
            <w:vAlign w:val="bottom"/>
            <w:tcBorders>
              <w:bottom w:val="single" w:sz="8" w:color="CFF0FC"/>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(8,000</w:t>
            </w:r>
          </w:p>
        </w:tc>
        <w:tc>
          <w:tcPr>
            <w:tcW w:w="240" w:type="dxa"/>
            <w:vAlign w:val="bottom"/>
            <w:tcBorders>
              <w:bottom w:val="single" w:sz="8" w:color="CFF0FC"/>
            </w:tcBorders>
            <w:shd w:val="clear" w:color="auto" w:fill="CFF0FC"/>
          </w:tcPr>
          <w:p>
            <w:pPr>
              <w:jc w:val="right"/>
              <w:ind w:right="71"/>
              <w:spacing w:after="0" w:line="194"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(8,000</w:t>
            </w:r>
          </w:p>
        </w:tc>
        <w:tc>
          <w:tcPr>
            <w:tcW w:w="80" w:type="dxa"/>
            <w:vAlign w:val="bottom"/>
            <w:tcBorders>
              <w:bottom w:val="single" w:sz="8" w:color="CFF0FC"/>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9"/>
              </w:rPr>
              <w:t>)</w:t>
            </w:r>
          </w:p>
        </w:tc>
      </w:tr>
      <w:tr>
        <w:trPr>
          <w:trHeight w:val="194"/>
        </w:trPr>
        <w:tc>
          <w:tcPr>
            <w:tcW w:w="7140" w:type="dxa"/>
            <w:vAlign w:val="bottom"/>
          </w:tcPr>
          <w:p>
            <w:pPr>
              <w:ind w:left="200"/>
              <w:spacing w:after="0" w:line="194" w:lineRule="exact"/>
              <w:rPr>
                <w:sz w:val="20"/>
                <w:szCs w:val="20"/>
                <w:color w:val="auto"/>
              </w:rPr>
            </w:pPr>
            <w:r>
              <w:rPr>
                <w:rFonts w:ascii="Arial" w:cs="Arial" w:eastAsia="Arial" w:hAnsi="Arial"/>
                <w:sz w:val="18"/>
                <w:szCs w:val="18"/>
                <w:color w:val="auto"/>
              </w:rPr>
              <w:t>Total long-term debt—net of current portion</w:t>
            </w:r>
          </w:p>
        </w:tc>
        <w:tc>
          <w:tcPr>
            <w:tcW w:w="240" w:type="dxa"/>
            <w:vAlign w:val="bottom"/>
            <w:tcBorders>
              <w:bottom w:val="single" w:sz="8" w:color="auto"/>
            </w:tcBorders>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778,996</w:t>
            </w:r>
          </w:p>
        </w:tc>
        <w:tc>
          <w:tcPr>
            <w:tcW w:w="240" w:type="dxa"/>
            <w:vAlign w:val="bottom"/>
          </w:tcPr>
          <w:p>
            <w:pPr>
              <w:spacing w:after="0"/>
              <w:rPr>
                <w:sz w:val="16"/>
                <w:szCs w:val="16"/>
                <w:color w:val="auto"/>
              </w:rPr>
            </w:pPr>
          </w:p>
        </w:tc>
        <w:tc>
          <w:tcPr>
            <w:tcW w:w="220" w:type="dxa"/>
            <w:vAlign w:val="bottom"/>
            <w:tcBorders>
              <w:bottom w:val="single" w:sz="8" w:color="auto"/>
            </w:tcBorders>
          </w:tcPr>
          <w:p>
            <w:pPr>
              <w:jc w:val="right"/>
              <w:ind w:right="31"/>
              <w:spacing w:after="0" w:line="194"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780,610</w:t>
            </w:r>
          </w:p>
        </w:tc>
        <w:tc>
          <w:tcPr>
            <w:tcW w:w="80" w:type="dxa"/>
            <w:vAlign w:val="bottom"/>
          </w:tcPr>
          <w:p>
            <w:pPr>
              <w:spacing w:after="0"/>
              <w:rPr>
                <w:sz w:val="16"/>
                <w:szCs w:val="16"/>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5882640</wp:posOffset>
            </wp:positionH>
            <wp:positionV relativeFrom="paragraph">
              <wp:posOffset>-429260</wp:posOffset>
            </wp:positionV>
            <wp:extent cx="508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-429260</wp:posOffset>
            </wp:positionV>
            <wp:extent cx="508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5882640</wp:posOffset>
            </wp:positionH>
            <wp:positionV relativeFrom="paragraph">
              <wp:posOffset>-157480</wp:posOffset>
            </wp:positionV>
            <wp:extent cx="508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-157480</wp:posOffset>
            </wp:positionV>
            <wp:extent cx="508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166" w:lineRule="exact"/>
        <w:rPr>
          <w:sz w:val="20"/>
          <w:szCs w:val="20"/>
          <w:color w:val="auto"/>
        </w:rPr>
      </w:pPr>
    </w:p>
    <w:p>
      <w:pPr>
        <w:ind w:left="520" w:right="20"/>
        <w:spacing w:after="0" w:line="243" w:lineRule="auto"/>
        <w:rPr>
          <w:sz w:val="20"/>
          <w:szCs w:val="20"/>
          <w:color w:val="auto"/>
        </w:rPr>
      </w:pPr>
      <w:r>
        <w:rPr>
          <w:rFonts w:ascii="Arial" w:cs="Arial" w:eastAsia="Arial" w:hAnsi="Arial"/>
          <w:sz w:val="18"/>
          <w:szCs w:val="18"/>
          <w:i w:val="1"/>
          <w:iCs w:val="1"/>
          <w:color w:val="auto"/>
        </w:rPr>
        <w:t>Interest Rate Swaps</w:t>
      </w:r>
      <w:r>
        <w:rPr>
          <w:rFonts w:ascii="Arial" w:cs="Arial" w:eastAsia="Arial" w:hAnsi="Arial"/>
          <w:sz w:val="18"/>
          <w:szCs w:val="18"/>
          <w:color w:val="auto"/>
        </w:rPr>
        <w:t>—In June 2017, the Company entered into three floating to fixed interest rate swap agreements ("Swap Agreements") to reduce its</w:t>
      </w:r>
      <w:r>
        <w:rPr>
          <w:rFonts w:ascii="Arial" w:cs="Arial" w:eastAsia="Arial" w:hAnsi="Arial"/>
          <w:sz w:val="18"/>
          <w:szCs w:val="18"/>
          <w:i w:val="1"/>
          <w:iCs w:val="1"/>
          <w:color w:val="auto"/>
        </w:rPr>
        <w:t xml:space="preserve"> </w:t>
      </w:r>
      <w:r>
        <w:rPr>
          <w:rFonts w:ascii="Arial" w:cs="Arial" w:eastAsia="Arial" w:hAnsi="Arial"/>
          <w:sz w:val="18"/>
          <w:szCs w:val="18"/>
          <w:color w:val="auto"/>
        </w:rPr>
        <w:t>exposure to the variability from future cash flows resulting from interest rate risk related to its floating rate long-term debt. In September 2021, the Company extinguished the Swap Agreements which were scheduled to expire in June 2022.</w:t>
      </w:r>
    </w:p>
    <w:p>
      <w:pPr>
        <w:spacing w:after="0" w:line="289" w:lineRule="exact"/>
        <w:rPr>
          <w:sz w:val="20"/>
          <w:szCs w:val="20"/>
          <w:color w:val="auto"/>
        </w:rPr>
      </w:pPr>
    </w:p>
    <w:p>
      <w:pPr>
        <w:ind w:left="520" w:hanging="513"/>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100" w:lineRule="exact"/>
        <w:rPr>
          <w:rFonts w:ascii="Arial" w:cs="Arial" w:eastAsia="Arial" w:hAnsi="Arial"/>
          <w:sz w:val="18"/>
          <w:szCs w:val="18"/>
          <w:b w:val="1"/>
          <w:bCs w:val="1"/>
          <w:color w:val="auto"/>
        </w:rPr>
      </w:pPr>
    </w:p>
    <w:p>
      <w:pPr>
        <w:ind w:left="520" w:right="220"/>
        <w:spacing w:after="0" w:line="246"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—The Company is authorized to issue up to 100,000,000 shares of undesignated preferred stock with a par value of $0.0001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with such designations, voting and other rights and preferences as may be determined from time to time by the Company’s board of directors. As of March 31, 2022, there were no shares of preferred stock issued or outstanding.</w:t>
      </w:r>
    </w:p>
    <w:p>
      <w:pPr>
        <w:spacing w:after="0" w:line="71" w:lineRule="exact"/>
        <w:rPr>
          <w:rFonts w:ascii="Arial" w:cs="Arial" w:eastAsia="Arial" w:hAnsi="Arial"/>
          <w:sz w:val="18"/>
          <w:szCs w:val="18"/>
          <w:b w:val="1"/>
          <w:bCs w:val="1"/>
          <w:color w:val="auto"/>
        </w:rPr>
      </w:pPr>
    </w:p>
    <w:p>
      <w:pPr>
        <w:ind w:left="520" w:right="340"/>
        <w:spacing w:after="0" w:line="276" w:lineRule="auto"/>
        <w:rPr>
          <w:rFonts w:ascii="Arial" w:cs="Arial" w:eastAsia="Arial" w:hAnsi="Arial"/>
          <w:sz w:val="18"/>
          <w:szCs w:val="18"/>
          <w:b w:val="1"/>
          <w:bCs w:val="1"/>
          <w:color w:val="auto"/>
        </w:rPr>
      </w:pPr>
      <w:r>
        <w:rPr>
          <w:rFonts w:ascii="Arial" w:cs="Arial" w:eastAsia="Arial" w:hAnsi="Arial"/>
          <w:sz w:val="16"/>
          <w:szCs w:val="16"/>
          <w:b w:val="1"/>
          <w:bCs w:val="1"/>
          <w:color w:val="auto"/>
        </w:rPr>
        <w:t>Common Stock</w:t>
      </w:r>
      <w:r>
        <w:rPr>
          <w:rFonts w:ascii="Arial" w:cs="Arial" w:eastAsia="Arial" w:hAnsi="Arial"/>
          <w:sz w:val="16"/>
          <w:szCs w:val="16"/>
          <w:color w:val="auto"/>
        </w:rPr>
        <w:t>—The Company is authorized to issue up to 5,000,000,000 shares of common stock with a par value of $0.0001 per share.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common stock is entitled to one (1)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5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4"/>
          <w:szCs w:val="14"/>
          <w:color w:val="auto"/>
        </w:rPr>
        <w:t>There were 613,758,126 and 609,768,296 shares of common stock issued and outstanding as of March 31, 2022 and December 31, 2021, respectively.</w:t>
      </w:r>
    </w:p>
    <w:p>
      <w:pPr>
        <w:spacing w:after="0" w:line="142" w:lineRule="exact"/>
        <w:rPr>
          <w:rFonts w:ascii="Arial" w:cs="Arial" w:eastAsia="Arial" w:hAnsi="Arial"/>
          <w:sz w:val="18"/>
          <w:szCs w:val="18"/>
          <w:b w:val="1"/>
          <w:bCs w:val="1"/>
          <w:color w:val="auto"/>
        </w:rPr>
      </w:pPr>
    </w:p>
    <w:p>
      <w:pPr>
        <w:ind w:left="520" w:right="4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Dividend</w:t>
      </w:r>
      <w:r>
        <w:rPr>
          <w:rFonts w:ascii="Arial" w:cs="Arial" w:eastAsia="Arial" w:hAnsi="Arial"/>
          <w:sz w:val="18"/>
          <w:szCs w:val="18"/>
          <w:color w:val="auto"/>
        </w:rPr>
        <w:t>—In March 2021, the board of directors of CCCIS declared a cash dividend on common stock. The aggregate cash dividend of $134.5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was paid on March 17, 2021.</w:t>
      </w:r>
    </w:p>
    <w:p>
      <w:pPr>
        <w:spacing w:after="0" w:line="60" w:lineRule="exact"/>
        <w:rPr>
          <w:rFonts w:ascii="Arial" w:cs="Arial" w:eastAsia="Arial" w:hAnsi="Arial"/>
          <w:sz w:val="18"/>
          <w:szCs w:val="18"/>
          <w:b w:val="1"/>
          <w:bCs w:val="1"/>
          <w:color w:val="auto"/>
        </w:rPr>
      </w:pPr>
    </w:p>
    <w:p>
      <w:pPr>
        <w:ind w:left="520" w:hanging="513"/>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 INCENTIVE PLANS</w:t>
      </w:r>
    </w:p>
    <w:p>
      <w:pPr>
        <w:spacing w:after="0" w:line="104" w:lineRule="exact"/>
        <w:rPr>
          <w:rFonts w:ascii="Arial" w:cs="Arial" w:eastAsia="Arial" w:hAnsi="Arial"/>
          <w:sz w:val="18"/>
          <w:szCs w:val="18"/>
          <w:b w:val="1"/>
          <w:bCs w:val="1"/>
          <w:color w:val="auto"/>
        </w:rPr>
      </w:pPr>
    </w:p>
    <w:p>
      <w:pPr>
        <w:ind w:left="520" w:righ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closing of the Business Combination, the 2021 Equity Incentive Plan (the "2021 Plan") was adopted and approved by the Company's board of directors.</w:t>
      </w:r>
    </w:p>
    <w:p>
      <w:pPr>
        <w:spacing w:after="0" w:line="6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Prior to the Business Combination, the Company maintained its 2017 Stock Option Plan (the “2017 Plan”).</w:t>
      </w:r>
    </w:p>
    <w:p>
      <w:pPr>
        <w:spacing w:after="0" w:line="100" w:lineRule="exact"/>
        <w:rPr>
          <w:rFonts w:ascii="Arial" w:cs="Arial" w:eastAsia="Arial" w:hAnsi="Arial"/>
          <w:sz w:val="18"/>
          <w:szCs w:val="18"/>
          <w:b w:val="1"/>
          <w:bCs w:val="1"/>
          <w:color w:val="auto"/>
        </w:rPr>
      </w:pPr>
    </w:p>
    <w:p>
      <w:pPr>
        <w:ind w:left="520" w:right="20"/>
        <w:spacing w:after="0" w:line="284" w:lineRule="auto"/>
        <w:rPr>
          <w:rFonts w:ascii="Arial" w:cs="Arial" w:eastAsia="Arial" w:hAnsi="Arial"/>
          <w:sz w:val="18"/>
          <w:szCs w:val="18"/>
          <w:b w:val="1"/>
          <w:bCs w:val="1"/>
          <w:color w:val="auto"/>
        </w:rPr>
      </w:pPr>
      <w:r>
        <w:rPr>
          <w:rFonts w:ascii="Arial" w:cs="Arial" w:eastAsia="Arial" w:hAnsi="Arial"/>
          <w:sz w:val="17"/>
          <w:szCs w:val="17"/>
          <w:color w:val="auto"/>
        </w:rPr>
        <w:t>Upon the adoption and approval of the 2021 Plan, the 2017 Plan was terminated and each outstanding vested or unvested option, as required under the 2017 Plan, was converted to the 2021 Plan, multiplied by the Exchange Ratio, with the same key terms and vesting requirements.</w:t>
      </w:r>
    </w:p>
    <w:p>
      <w:pPr>
        <w:spacing w:after="0" w:line="44" w:lineRule="exact"/>
        <w:rPr>
          <w:rFonts w:ascii="Arial" w:cs="Arial" w:eastAsia="Arial" w:hAnsi="Arial"/>
          <w:sz w:val="18"/>
          <w:szCs w:val="18"/>
          <w:b w:val="1"/>
          <w:bCs w:val="1"/>
          <w:color w:val="auto"/>
        </w:rPr>
      </w:pPr>
    </w:p>
    <w:p>
      <w:pPr>
        <w:ind w:left="52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Awards granted under the 2017 Plan had time-based vesting or performance-based with a market condition vesting requirement. Options expire on the tenth anniversary of the grant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ind w:right="180"/>
        <w:spacing w:after="0" w:line="243" w:lineRule="auto"/>
        <w:rPr>
          <w:sz w:val="20"/>
          <w:szCs w:val="20"/>
          <w:color w:val="auto"/>
        </w:rPr>
      </w:pPr>
      <w:r>
        <w:rPr>
          <w:rFonts w:ascii="Arial" w:cs="Arial" w:eastAsia="Arial" w:hAnsi="Arial"/>
          <w:sz w:val="18"/>
          <w:szCs w:val="18"/>
          <w:color w:val="auto"/>
        </w:rPr>
        <w:t>Additionally, the Company maintained a Phantom Stock Plan (the “Phantom Plan”), which provided for the issuance of phantom shares of CCCIS’s common stock (“Phantom Shares”) to eligible employees under the 2017 Plan. Awards under the Phantom Plan were settled in cash and thus accounted for as liability awards.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Phantom shares vested under the same time-based or performance-based with a market condition as the stock options granted under the 2017 Plan.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consummation of the Business Combination, the outstanding Phantom Shares were settled in cash in November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—The table below summarizes the option activity for the three months ended March 31, 2022:</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91"/>
              <w:spacing w:after="0" w:line="201" w:lineRule="exact"/>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7"/>
                <w:szCs w:val="17"/>
                <w:color w:val="auto"/>
              </w:rPr>
            </w:pPr>
          </w:p>
        </w:tc>
      </w:tr>
      <w:tr>
        <w:trPr>
          <w:trHeight w:val="200"/>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91"/>
              <w:spacing w:after="0" w:line="201" w:lineRule="exact"/>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7"/>
                <w:szCs w:val="17"/>
                <w:color w:val="auto"/>
              </w:rPr>
            </w:pPr>
          </w:p>
        </w:tc>
      </w:tr>
      <w:tr>
        <w:trPr>
          <w:trHeight w:val="200"/>
        </w:trPr>
        <w:tc>
          <w:tcPr>
            <w:tcW w:w="5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7"/>
                <w:szCs w:val="17"/>
                <w:color w:val="auto"/>
              </w:rPr>
            </w:pPr>
          </w:p>
        </w:tc>
        <w:tc>
          <w:tcPr>
            <w:tcW w:w="12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71"/>
              <w:spacing w:after="0" w:line="201" w:lineRule="exact"/>
              <w:rPr>
                <w:sz w:val="20"/>
                <w:szCs w:val="20"/>
                <w:color w:val="auto"/>
              </w:rPr>
            </w:pPr>
            <w:r>
              <w:rPr>
                <w:rFonts w:ascii="Arial" w:cs="Arial" w:eastAsia="Arial" w:hAnsi="Arial"/>
                <w:sz w:val="18"/>
                <w:szCs w:val="18"/>
                <w:b w:val="1"/>
                <w:bCs w:val="1"/>
                <w:color w:val="auto"/>
                <w:w w:val="87"/>
              </w:rPr>
              <w:t>Value</w:t>
            </w:r>
          </w:p>
        </w:tc>
        <w:tc>
          <w:tcPr>
            <w:tcW w:w="60" w:type="dxa"/>
            <w:vAlign w:val="bottom"/>
          </w:tcPr>
          <w:p>
            <w:pPr>
              <w:spacing w:after="0"/>
              <w:rPr>
                <w:sz w:val="17"/>
                <w:szCs w:val="17"/>
                <w:color w:val="auto"/>
              </w:rPr>
            </w:pPr>
          </w:p>
        </w:tc>
      </w:tr>
      <w:tr>
        <w:trPr>
          <w:trHeight w:val="219"/>
        </w:trPr>
        <w:tc>
          <w:tcPr>
            <w:tcW w:w="516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9"/>
                <w:szCs w:val="19"/>
                <w:color w:val="auto"/>
              </w:rPr>
            </w:pPr>
          </w:p>
        </w:tc>
        <w:tc>
          <w:tcPr>
            <w:tcW w:w="1040" w:type="dxa"/>
            <w:vAlign w:val="bottom"/>
          </w:tcPr>
          <w:p>
            <w:pPr>
              <w:jc w:val="center"/>
              <w:ind w:right="71"/>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19"/>
                <w:szCs w:val="19"/>
                <w:color w:val="auto"/>
              </w:rPr>
            </w:pPr>
          </w:p>
        </w:tc>
      </w:tr>
      <w:tr>
        <w:trPr>
          <w:trHeight w:val="194"/>
        </w:trPr>
        <w:tc>
          <w:tcPr>
            <w:tcW w:w="516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Options outstanding—December 31, 2021</w:t>
            </w:r>
          </w:p>
        </w:tc>
        <w:tc>
          <w:tcPr>
            <w:tcW w:w="11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55,644,495</w:t>
            </w:r>
          </w:p>
        </w:tc>
        <w:tc>
          <w:tcPr>
            <w:tcW w:w="2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469,591</w:t>
            </w:r>
          </w:p>
        </w:tc>
        <w:tc>
          <w:tcPr>
            <w:tcW w:w="60" w:type="dxa"/>
            <w:vAlign w:val="bottom"/>
            <w:shd w:val="clear" w:color="auto" w:fill="CFF0FC"/>
          </w:tcPr>
          <w:p>
            <w:pPr>
              <w:spacing w:after="0"/>
              <w:rPr>
                <w:sz w:val="16"/>
                <w:szCs w:val="16"/>
                <w:color w:val="auto"/>
              </w:rPr>
            </w:pPr>
          </w:p>
        </w:tc>
      </w:tr>
      <w:tr>
        <w:trPr>
          <w:trHeight w:val="200"/>
        </w:trPr>
        <w:tc>
          <w:tcPr>
            <w:tcW w:w="5160" w:type="dxa"/>
            <w:vAlign w:val="bottom"/>
          </w:tcPr>
          <w:p>
            <w:pPr>
              <w:ind w:left="200"/>
              <w:spacing w:after="0" w:line="201" w:lineRule="exact"/>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(3,968,080 )</w:t>
            </w:r>
          </w:p>
        </w:tc>
        <w:tc>
          <w:tcPr>
            <w:tcW w:w="16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2.69</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516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Forfeited and canceled</w:t>
            </w:r>
          </w:p>
        </w:tc>
        <w:tc>
          <w:tcPr>
            <w:tcW w:w="1420" w:type="dxa"/>
            <w:vAlign w:val="bottom"/>
            <w:gridSpan w:val="2"/>
            <w:shd w:val="clear" w:color="auto" w:fill="CFF0FC"/>
          </w:tcPr>
          <w:p>
            <w:pPr>
              <w:jc w:val="right"/>
              <w:ind w:right="160"/>
              <w:spacing w:after="0" w:line="201" w:lineRule="exact"/>
              <w:rPr>
                <w:sz w:val="20"/>
                <w:szCs w:val="20"/>
                <w:color w:val="auto"/>
              </w:rPr>
            </w:pPr>
            <w:r>
              <w:rPr>
                <w:rFonts w:ascii="Arial" w:cs="Arial" w:eastAsia="Arial" w:hAnsi="Arial"/>
                <w:sz w:val="18"/>
                <w:szCs w:val="18"/>
                <w:color w:val="auto"/>
              </w:rPr>
              <w:t>(104,631 )</w:t>
            </w: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3.69</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4"/>
        </w:trPr>
        <w:tc>
          <w:tcPr>
            <w:tcW w:w="5160" w:type="dxa"/>
            <w:vAlign w:val="bottom"/>
            <w:tcBorders>
              <w:top w:val="single" w:sz="8" w:color="CFF0FC"/>
            </w:tcBorders>
          </w:tcPr>
          <w:p>
            <w:pPr>
              <w:ind w:left="20"/>
              <w:spacing w:after="0" w:line="181" w:lineRule="exact"/>
              <w:rPr>
                <w:sz w:val="20"/>
                <w:szCs w:val="20"/>
                <w:color w:val="auto"/>
              </w:rPr>
            </w:pPr>
            <w:r>
              <w:rPr>
                <w:rFonts w:ascii="Arial" w:cs="Arial" w:eastAsia="Arial" w:hAnsi="Arial"/>
                <w:sz w:val="18"/>
                <w:szCs w:val="18"/>
                <w:color w:val="auto"/>
              </w:rPr>
              <w:t>Options outstanding—March 31, 2022</w:t>
            </w:r>
          </w:p>
        </w:tc>
        <w:tc>
          <w:tcPr>
            <w:tcW w:w="118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51,571,784</w:t>
            </w:r>
          </w:p>
        </w:tc>
        <w:tc>
          <w:tcPr>
            <w:tcW w:w="24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CFF0FC"/>
            </w:tcBorders>
          </w:tcPr>
          <w:p>
            <w:pPr>
              <w:jc w:val="right"/>
              <w:spacing w:after="0" w:line="181" w:lineRule="exact"/>
              <w:rPr>
                <w:sz w:val="20"/>
                <w:szCs w:val="20"/>
                <w:color w:val="auto"/>
              </w:rPr>
            </w:pPr>
            <w:r>
              <w:rPr>
                <w:rFonts w:ascii="Arial" w:cs="Arial" w:eastAsia="Arial" w:hAnsi="Arial"/>
                <w:sz w:val="18"/>
                <w:szCs w:val="18"/>
                <w:color w:val="auto"/>
              </w:rPr>
              <w:t>2.97</w:t>
            </w:r>
          </w:p>
        </w:tc>
        <w:tc>
          <w:tcPr>
            <w:tcW w:w="1420" w:type="dxa"/>
            <w:vAlign w:val="bottom"/>
            <w:tcBorders>
              <w:top w:val="single" w:sz="8" w:color="CFF0FC"/>
            </w:tcBorders>
            <w:gridSpan w:val="2"/>
          </w:tcPr>
          <w:p>
            <w:pPr>
              <w:jc w:val="right"/>
              <w:spacing w:after="0" w:line="181" w:lineRule="exact"/>
              <w:rPr>
                <w:sz w:val="20"/>
                <w:szCs w:val="20"/>
                <w:color w:val="auto"/>
              </w:rPr>
            </w:pPr>
            <w:r>
              <w:rPr>
                <w:rFonts w:ascii="Arial" w:cs="Arial" w:eastAsia="Arial" w:hAnsi="Arial"/>
                <w:sz w:val="18"/>
                <w:szCs w:val="18"/>
                <w:color w:val="auto"/>
              </w:rPr>
              <w:t>5.8</w:t>
            </w:r>
          </w:p>
        </w:tc>
        <w:tc>
          <w:tcPr>
            <w:tcW w:w="340" w:type="dxa"/>
            <w:vAlign w:val="bottom"/>
            <w:tcBorders>
              <w:top w:val="single" w:sz="8" w:color="CFF0FC"/>
            </w:tcBorders>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FF0FC"/>
            </w:tcBorders>
          </w:tcPr>
          <w:p>
            <w:pPr>
              <w:jc w:val="right"/>
              <w:spacing w:after="0" w:line="181" w:lineRule="exact"/>
              <w:rPr>
                <w:sz w:val="20"/>
                <w:szCs w:val="20"/>
                <w:color w:val="auto"/>
              </w:rPr>
            </w:pPr>
            <w:r>
              <w:rPr>
                <w:rFonts w:ascii="Arial" w:cs="Arial" w:eastAsia="Arial" w:hAnsi="Arial"/>
                <w:sz w:val="18"/>
                <w:szCs w:val="18"/>
                <w:color w:val="auto"/>
              </w:rPr>
              <w:t>416,210</w:t>
            </w:r>
          </w:p>
        </w:tc>
        <w:tc>
          <w:tcPr>
            <w:tcW w:w="60" w:type="dxa"/>
            <w:vAlign w:val="bottom"/>
            <w:tcBorders>
              <w:top w:val="single" w:sz="8" w:color="CFF0FC"/>
            </w:tcBorders>
          </w:tcPr>
          <w:p>
            <w:pPr>
              <w:spacing w:after="0"/>
              <w:rPr>
                <w:sz w:val="16"/>
                <w:szCs w:val="16"/>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160" w:type="dxa"/>
            <w:vAlign w:val="bottom"/>
            <w:tcBorders>
              <w:bottom w:val="single" w:sz="8" w:color="CFF0FC"/>
            </w:tcBorders>
            <w:shd w:val="clear" w:color="auto" w:fill="CFF0FC"/>
          </w:tcPr>
          <w:p>
            <w:pPr>
              <w:ind w:left="20"/>
              <w:spacing w:after="0" w:line="181" w:lineRule="exact"/>
              <w:rPr>
                <w:sz w:val="20"/>
                <w:szCs w:val="20"/>
                <w:color w:val="auto"/>
              </w:rPr>
            </w:pPr>
            <w:r>
              <w:rPr>
                <w:rFonts w:ascii="Arial" w:cs="Arial" w:eastAsia="Arial" w:hAnsi="Arial"/>
                <w:sz w:val="18"/>
                <w:szCs w:val="18"/>
                <w:color w:val="auto"/>
              </w:rPr>
              <w:t>Options exercisable—March 31, 2022</w:t>
            </w:r>
          </w:p>
        </w:tc>
        <w:tc>
          <w:tcPr>
            <w:tcW w:w="11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42,596,197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2.75</w:t>
            </w:r>
          </w:p>
        </w:tc>
        <w:tc>
          <w:tcPr>
            <w:tcW w:w="1420" w:type="dxa"/>
            <w:vAlign w:val="bottom"/>
            <w:tcBorders>
              <w:bottom w:val="single" w:sz="8" w:color="CFF0FC"/>
            </w:tcBorders>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rPr>
              <w:t>5.6</w:t>
            </w:r>
          </w:p>
        </w:tc>
        <w:tc>
          <w:tcPr>
            <w:tcW w:w="340" w:type="dxa"/>
            <w:vAlign w:val="bottom"/>
            <w:tcBorders>
              <w:bottom w:val="single" w:sz="8" w:color="CFF0FC"/>
            </w:tcBorders>
            <w:gridSpan w:val="2"/>
            <w:shd w:val="clear" w:color="auto" w:fill="CFF0FC"/>
          </w:tcPr>
          <w:p>
            <w:pPr>
              <w:jc w:val="right"/>
              <w:spacing w:after="0" w:line="181"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353,208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80"/>
        </w:trPr>
        <w:tc>
          <w:tcPr>
            <w:tcW w:w="5160" w:type="dxa"/>
            <w:vAlign w:val="bottom"/>
          </w:tcPr>
          <w:p>
            <w:pPr>
              <w:ind w:left="20"/>
              <w:spacing w:after="0" w:line="181" w:lineRule="exact"/>
              <w:rPr>
                <w:sz w:val="20"/>
                <w:szCs w:val="20"/>
                <w:color w:val="auto"/>
              </w:rPr>
            </w:pPr>
            <w:r>
              <w:rPr>
                <w:rFonts w:ascii="Arial" w:cs="Arial" w:eastAsia="Arial" w:hAnsi="Arial"/>
                <w:sz w:val="18"/>
                <w:szCs w:val="18"/>
                <w:color w:val="auto"/>
              </w:rPr>
              <w:t>Options vested and expected to vest—March 31, 2022</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51,198,336</w:t>
            </w:r>
          </w:p>
        </w:tc>
        <w:tc>
          <w:tcPr>
            <w:tcW w:w="240" w:type="dxa"/>
            <w:vAlign w:val="bottom"/>
          </w:tcPr>
          <w:p>
            <w:pPr>
              <w:spacing w:after="0"/>
              <w:rPr>
                <w:sz w:val="15"/>
                <w:szCs w:val="15"/>
                <w:color w:val="auto"/>
              </w:rPr>
            </w:pPr>
          </w:p>
        </w:tc>
        <w:tc>
          <w:tcPr>
            <w:tcW w:w="16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1" w:lineRule="exact"/>
              <w:rPr>
                <w:sz w:val="20"/>
                <w:szCs w:val="20"/>
                <w:color w:val="auto"/>
              </w:rPr>
            </w:pPr>
            <w:r>
              <w:rPr>
                <w:rFonts w:ascii="Arial" w:cs="Arial" w:eastAsia="Arial" w:hAnsi="Arial"/>
                <w:sz w:val="18"/>
                <w:szCs w:val="18"/>
                <w:color w:val="auto"/>
              </w:rPr>
              <w:t>2.95</w:t>
            </w:r>
          </w:p>
        </w:tc>
        <w:tc>
          <w:tcPr>
            <w:tcW w:w="142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5.8</w:t>
            </w:r>
          </w:p>
        </w:tc>
        <w:tc>
          <w:tcPr>
            <w:tcW w:w="34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1" w:lineRule="exact"/>
              <w:rPr>
                <w:sz w:val="20"/>
                <w:szCs w:val="20"/>
                <w:color w:val="auto"/>
              </w:rPr>
            </w:pPr>
            <w:r>
              <w:rPr>
                <w:rFonts w:ascii="Arial" w:cs="Arial" w:eastAsia="Arial" w:hAnsi="Arial"/>
                <w:sz w:val="18"/>
                <w:szCs w:val="18"/>
                <w:color w:val="auto"/>
              </w:rPr>
              <w:t>414,180</w:t>
            </w:r>
          </w:p>
        </w:tc>
        <w:tc>
          <w:tcPr>
            <w:tcW w:w="60" w:type="dxa"/>
            <w:vAlign w:val="bottom"/>
          </w:tcPr>
          <w:p>
            <w:pPr>
              <w:spacing w:after="0"/>
              <w:rPr>
                <w:sz w:val="15"/>
                <w:szCs w:val="15"/>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-462915</wp:posOffset>
            </wp:positionV>
            <wp:extent cx="596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-177800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-160655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options vested during the three months ended March 31, 2022 was $1.7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—Restricted Stock Units (“RSUs”) are convertible into shares of the Company’s common stock upon vesting.</w:t>
      </w:r>
    </w:p>
    <w:p>
      <w:pPr>
        <w:spacing w:after="0" w:line="100" w:lineRule="exact"/>
        <w:rPr>
          <w:sz w:val="20"/>
          <w:szCs w:val="20"/>
          <w:color w:val="auto"/>
        </w:rPr>
      </w:pPr>
    </w:p>
    <w:p>
      <w:pPr>
        <w:jc w:val="both"/>
        <w:ind w:right="60"/>
        <w:spacing w:after="0" w:line="317" w:lineRule="auto"/>
        <w:rPr>
          <w:sz w:val="20"/>
          <w:szCs w:val="20"/>
          <w:color w:val="auto"/>
        </w:rPr>
      </w:pPr>
      <w:r>
        <w:rPr>
          <w:rFonts w:ascii="Arial" w:cs="Arial" w:eastAsia="Arial" w:hAnsi="Arial"/>
          <w:sz w:val="16"/>
          <w:szCs w:val="16"/>
          <w:color w:val="auto"/>
        </w:rPr>
        <w:t>During the three months ended March 31, 2022, the Company granted 14,315,680 RSUs, of which 12,966,746 have time-based vesting requirements, 674,491 have performance-based vesting requirements and 674,443 have performance-based with a market condition vesting requirements.</w:t>
      </w:r>
    </w:p>
    <w:p>
      <w:pPr>
        <w:spacing w:after="0" w:line="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valuation of the performance-based RSUs with a market condition granted during the three months ended March 31, 2022 was determined using a Monte Carlo simulation model using the following assumptions: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center"/>
              <w:ind w:right="351"/>
              <w:spacing w:after="0"/>
              <w:rPr>
                <w:sz w:val="20"/>
                <w:szCs w:val="20"/>
                <w:color w:val="auto"/>
              </w:rPr>
            </w:pPr>
            <w:r>
              <w:rPr>
                <w:rFonts w:ascii="Arial" w:cs="Arial" w:eastAsia="Arial" w:hAnsi="Arial"/>
                <w:sz w:val="18"/>
                <w:szCs w:val="18"/>
                <w:color w:val="auto"/>
                <w:w w:val="95"/>
              </w:rPr>
              <w:t>2.8</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tcPr>
          <w:p>
            <w:pPr>
              <w:ind w:left="20"/>
              <w:spacing w:after="0" w:line="201" w:lineRule="exact"/>
              <w:rPr>
                <w:sz w:val="20"/>
                <w:szCs w:val="20"/>
                <w:color w:val="auto"/>
              </w:rPr>
            </w:pPr>
            <w:r>
              <w:rPr>
                <w:rFonts w:ascii="Arial" w:cs="Arial" w:eastAsia="Arial" w:hAnsi="Arial"/>
                <w:sz w:val="18"/>
                <w:szCs w:val="18"/>
                <w:color w:val="auto"/>
              </w:rPr>
              <w:t>Expected volatility</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center"/>
              <w:ind w:right="351"/>
              <w:spacing w:after="0" w:line="201" w:lineRule="exact"/>
              <w:rPr>
                <w:sz w:val="20"/>
                <w:szCs w:val="20"/>
                <w:color w:val="auto"/>
              </w:rPr>
            </w:pPr>
            <w:r>
              <w:rPr>
                <w:rFonts w:ascii="Arial" w:cs="Arial" w:eastAsia="Arial" w:hAnsi="Arial"/>
                <w:sz w:val="18"/>
                <w:szCs w:val="18"/>
                <w:color w:val="auto"/>
                <w:w w:val="88"/>
              </w:rPr>
              <w:t>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Expected dividend yield</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center"/>
              <w:ind w:right="351"/>
              <w:spacing w:after="0" w:line="201" w:lineRule="exact"/>
              <w:rPr>
                <w:sz w:val="20"/>
                <w:szCs w:val="20"/>
                <w:color w:val="auto"/>
              </w:rPr>
            </w:pPr>
            <w:r>
              <w:rPr>
                <w:rFonts w:ascii="Arial" w:cs="Arial" w:eastAsia="Arial" w:hAnsi="Arial"/>
                <w:sz w:val="18"/>
                <w:szCs w:val="18"/>
                <w:color w:val="auto"/>
                <w:w w:val="92"/>
              </w:rPr>
              <w:t>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tcPr>
          <w:p>
            <w:pPr>
              <w:ind w:left="20"/>
              <w:spacing w:after="0" w:line="201" w:lineRule="exact"/>
              <w:rPr>
                <w:sz w:val="20"/>
                <w:szCs w:val="20"/>
                <w:color w:val="auto"/>
              </w:rPr>
            </w:pPr>
            <w:r>
              <w:rPr>
                <w:rFonts w:ascii="Arial" w:cs="Arial" w:eastAsia="Arial" w:hAnsi="Arial"/>
                <w:sz w:val="18"/>
                <w:szCs w:val="18"/>
                <w:color w:val="auto"/>
              </w:rPr>
              <w:t>Risk-free interest rate</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center"/>
              <w:ind w:right="371"/>
              <w:spacing w:after="0" w:line="201" w:lineRule="exact"/>
              <w:rPr>
                <w:sz w:val="20"/>
                <w:szCs w:val="20"/>
                <w:color w:val="auto"/>
              </w:rPr>
            </w:pPr>
            <w:r>
              <w:rPr>
                <w:rFonts w:ascii="Arial" w:cs="Arial" w:eastAsia="Arial" w:hAnsi="Arial"/>
                <w:sz w:val="18"/>
                <w:szCs w:val="18"/>
                <w:color w:val="auto"/>
                <w:w w:val="90"/>
              </w:rPr>
              <w:t>2.28%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Fair value at valuation date</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11"/>
              <w:spacing w:after="0" w:line="201"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center"/>
              <w:ind w:left="951"/>
              <w:spacing w:after="0" w:line="201" w:lineRule="exact"/>
              <w:rPr>
                <w:sz w:val="20"/>
                <w:szCs w:val="20"/>
                <w:color w:val="auto"/>
              </w:rPr>
            </w:pPr>
            <w:r>
              <w:rPr>
                <w:rFonts w:ascii="Arial" w:cs="Arial" w:eastAsia="Arial" w:hAnsi="Arial"/>
                <w:sz w:val="18"/>
                <w:szCs w:val="18"/>
                <w:color w:val="auto"/>
                <w:w w:val="91"/>
              </w:rPr>
              <w:t>7.42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7200" w:type="dxa"/>
            <w:vAlign w:val="bottom"/>
            <w:gridSpan w:val="2"/>
          </w:tcPr>
          <w:p>
            <w:pPr>
              <w:spacing w:after="0"/>
              <w:rPr>
                <w:sz w:val="20"/>
                <w:szCs w:val="20"/>
                <w:color w:val="auto"/>
              </w:rPr>
            </w:pPr>
            <w:r>
              <w:rPr>
                <w:rFonts w:ascii="Arial" w:cs="Arial" w:eastAsia="Arial" w:hAnsi="Arial"/>
                <w:sz w:val="18"/>
                <w:szCs w:val="18"/>
                <w:color w:val="auto"/>
                <w:w w:val="99"/>
              </w:rPr>
              <w:t>The table below summarizes the RSU activity for the three months ended March 31, 2022:</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jc w:val="center"/>
              <w:ind w:right="360"/>
              <w:spacing w:after="0" w:line="201"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140" w:type="dxa"/>
            <w:vAlign w:val="bottom"/>
            <w:vMerge w:val="restart"/>
          </w:tcPr>
          <w:p>
            <w:pPr>
              <w:ind w:left="20"/>
              <w:spacing w:after="0"/>
              <w:rPr>
                <w:sz w:val="20"/>
                <w:szCs w:val="20"/>
                <w:color w:val="auto"/>
              </w:rPr>
            </w:pPr>
            <w:r>
              <w:rPr>
                <w:rFonts w:ascii="Arial" w:cs="Arial" w:eastAsia="Arial" w:hAnsi="Arial"/>
                <w:sz w:val="18"/>
                <w:szCs w:val="18"/>
                <w:color w:val="auto"/>
              </w:rPr>
              <w:t>Non-vested RSUs—December 31, 2021</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140" w:type="dxa"/>
            <w:vAlign w:val="bottom"/>
            <w:vMerge w:val="continue"/>
          </w:tcPr>
          <w:p>
            <w:pPr>
              <w:spacing w:after="0"/>
              <w:rPr>
                <w:sz w:val="16"/>
                <w:szCs w:val="16"/>
                <w:color w:val="auto"/>
              </w:rPr>
            </w:pPr>
          </w:p>
        </w:tc>
        <w:tc>
          <w:tcPr>
            <w:tcW w:w="14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18,558,211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center"/>
              <w:ind w:left="991"/>
              <w:spacing w:after="0" w:line="194" w:lineRule="exact"/>
              <w:rPr>
                <w:sz w:val="20"/>
                <w:szCs w:val="20"/>
                <w:color w:val="auto"/>
              </w:rPr>
            </w:pPr>
            <w:r>
              <w:rPr>
                <w:rFonts w:ascii="Arial" w:cs="Arial" w:eastAsia="Arial" w:hAnsi="Arial"/>
                <w:sz w:val="18"/>
                <w:szCs w:val="18"/>
                <w:color w:val="auto"/>
                <w:w w:val="88"/>
              </w:rPr>
              <w:t>10.74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Granted</w:t>
            </w:r>
          </w:p>
        </w:tc>
        <w:tc>
          <w:tcPr>
            <w:tcW w:w="14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14,315,680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center"/>
              <w:ind w:left="991"/>
              <w:spacing w:after="0" w:line="201" w:lineRule="exact"/>
              <w:rPr>
                <w:sz w:val="20"/>
                <w:szCs w:val="20"/>
                <w:color w:val="auto"/>
              </w:rPr>
            </w:pPr>
            <w:r>
              <w:rPr>
                <w:rFonts w:ascii="Arial" w:cs="Arial" w:eastAsia="Arial" w:hAnsi="Arial"/>
                <w:sz w:val="18"/>
                <w:szCs w:val="18"/>
                <w:color w:val="auto"/>
                <w:w w:val="88"/>
              </w:rPr>
              <w:t>10.20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tcPr>
          <w:p>
            <w:pPr>
              <w:ind w:left="200"/>
              <w:spacing w:after="0" w:line="201" w:lineRule="exact"/>
              <w:rPr>
                <w:sz w:val="20"/>
                <w:szCs w:val="20"/>
                <w:color w:val="auto"/>
              </w:rPr>
            </w:pPr>
            <w:r>
              <w:rPr>
                <w:rFonts w:ascii="Arial" w:cs="Arial" w:eastAsia="Arial" w:hAnsi="Arial"/>
                <w:sz w:val="18"/>
                <w:szCs w:val="18"/>
                <w:color w:val="auto"/>
              </w:rPr>
              <w:t>Vested</w:t>
            </w:r>
          </w:p>
        </w:tc>
        <w:tc>
          <w:tcPr>
            <w:tcW w:w="15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(38,884 )</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jc w:val="center"/>
              <w:ind w:left="991"/>
              <w:spacing w:after="0" w:line="201" w:lineRule="exact"/>
              <w:rPr>
                <w:sz w:val="20"/>
                <w:szCs w:val="20"/>
                <w:color w:val="auto"/>
              </w:rPr>
            </w:pPr>
            <w:r>
              <w:rPr>
                <w:rFonts w:ascii="Arial" w:cs="Arial" w:eastAsia="Arial" w:hAnsi="Arial"/>
                <w:sz w:val="18"/>
                <w:szCs w:val="18"/>
                <w:color w:val="auto"/>
                <w:w w:val="88"/>
              </w:rPr>
              <w:t>10.25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714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FF0FC"/>
          </w:tcPr>
          <w:p>
            <w:pPr>
              <w:jc w:val="right"/>
              <w:ind w:right="60"/>
              <w:spacing w:after="0" w:line="201" w:lineRule="exact"/>
              <w:rPr>
                <w:sz w:val="20"/>
                <w:szCs w:val="20"/>
                <w:color w:val="auto"/>
              </w:rPr>
            </w:pPr>
            <w:r>
              <w:rPr>
                <w:rFonts w:ascii="Arial" w:cs="Arial" w:eastAsia="Arial" w:hAnsi="Arial"/>
                <w:sz w:val="18"/>
                <w:szCs w:val="18"/>
                <w:color w:val="auto"/>
              </w:rPr>
              <w:t>(153,849 )</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center"/>
              <w:ind w:left="991"/>
              <w:spacing w:after="0" w:line="201" w:lineRule="exact"/>
              <w:rPr>
                <w:sz w:val="20"/>
                <w:szCs w:val="20"/>
                <w:color w:val="auto"/>
              </w:rPr>
            </w:pPr>
            <w:r>
              <w:rPr>
                <w:rFonts w:ascii="Arial" w:cs="Arial" w:eastAsia="Arial" w:hAnsi="Arial"/>
                <w:sz w:val="18"/>
                <w:szCs w:val="18"/>
                <w:color w:val="auto"/>
                <w:w w:val="88"/>
              </w:rPr>
              <w:t>11.25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7140" w:type="dxa"/>
            <w:vAlign w:val="bottom"/>
            <w:tcBorders>
              <w:top w:val="single" w:sz="8" w:color="CFF0FC"/>
            </w:tcBorders>
          </w:tcPr>
          <w:p>
            <w:pPr>
              <w:ind w:left="20"/>
              <w:spacing w:after="0" w:line="181" w:lineRule="exact"/>
              <w:rPr>
                <w:sz w:val="20"/>
                <w:szCs w:val="20"/>
                <w:color w:val="auto"/>
              </w:rPr>
            </w:pPr>
            <w:r>
              <w:rPr>
                <w:rFonts w:ascii="Arial" w:cs="Arial" w:eastAsia="Arial" w:hAnsi="Arial"/>
                <w:sz w:val="18"/>
                <w:szCs w:val="18"/>
                <w:color w:val="auto"/>
              </w:rPr>
              <w:t>Non-vested RSUs—March 31, 2022</w:t>
            </w:r>
          </w:p>
        </w:tc>
        <w:tc>
          <w:tcPr>
            <w:tcW w:w="14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8"/>
                <w:szCs w:val="18"/>
                <w:color w:val="auto"/>
              </w:rPr>
              <w:t>32,681,158</w:t>
            </w:r>
          </w:p>
        </w:tc>
        <w:tc>
          <w:tcPr>
            <w:tcW w:w="1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1480" w:type="dxa"/>
            <w:vAlign w:val="bottom"/>
            <w:tcBorders>
              <w:top w:val="single" w:sz="8" w:color="CFF0FC"/>
            </w:tcBorders>
          </w:tcPr>
          <w:p>
            <w:pPr>
              <w:jc w:val="center"/>
              <w:ind w:left="991"/>
              <w:spacing w:after="0" w:line="181" w:lineRule="exact"/>
              <w:rPr>
                <w:sz w:val="20"/>
                <w:szCs w:val="20"/>
                <w:color w:val="auto"/>
              </w:rPr>
            </w:pPr>
            <w:r>
              <w:rPr>
                <w:rFonts w:ascii="Arial" w:cs="Arial" w:eastAsia="Arial" w:hAnsi="Arial"/>
                <w:sz w:val="18"/>
                <w:szCs w:val="18"/>
                <w:color w:val="auto"/>
                <w:w w:val="88"/>
              </w:rPr>
              <w:t>10.50</w:t>
            </w:r>
          </w:p>
        </w:tc>
        <w:tc>
          <w:tcPr>
            <w:tcW w:w="6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-157480</wp:posOffset>
            </wp:positionV>
            <wp:extent cx="5969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—As of March 31, 2022, 6,031,714 shares of common stock are reserved for sale under the ESPP.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reserved for sale under the ESPP increases on January 1 by the lesser of 1% of the total numbers of shares outstanding or a lesser amount as determined by the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no shares had been sold under the ESPP.</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60325</wp:posOffset>
            </wp:positionV>
            <wp:extent cx="71589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720"/>
          </w:cols>
          <w:pgMar w:left="840" w:top="432" w:right="339" w:bottom="1440" w:gutter="0" w:footer="0" w:header="0"/>
        </w:sectPr>
      </w:pPr>
    </w:p>
    <w:bookmarkStart w:id="25" w:name="page26"/>
    <w:bookmarkEnd w:id="25"/>
    <w:p>
      <w:pPr>
        <w:ind w:left="520" w:right="480"/>
        <w:spacing w:after="0" w:line="31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—Stock-based compensation expense has been recorded in the accompanying condensed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income (loss) as follows for the three months ended March 31, 2022 and 2021 (in thousands):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28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7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72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6"/>
                <w:szCs w:val="16"/>
                <w:color w:val="auto"/>
              </w:rPr>
            </w:pPr>
          </w:p>
        </w:tc>
        <w:tc>
          <w:tcPr>
            <w:tcW w:w="126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22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Cost of revenues</w:t>
            </w:r>
          </w:p>
        </w:tc>
        <w:tc>
          <w:tcPr>
            <w:tcW w:w="1020" w:type="dxa"/>
            <w:vAlign w:val="bottom"/>
            <w:tcBorders>
              <w:top w:val="single" w:sz="8" w:color="auto"/>
            </w:tcBorders>
            <w:shd w:val="clear" w:color="auto" w:fill="CFF0FC"/>
          </w:tcPr>
          <w:p>
            <w:pPr>
              <w:jc w:val="right"/>
              <w:ind w:right="811"/>
              <w:spacing w:after="0" w:line="194"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849</w:t>
            </w:r>
          </w:p>
        </w:tc>
        <w:tc>
          <w:tcPr>
            <w:tcW w:w="24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ind w:right="831"/>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219</w:t>
            </w:r>
          </w:p>
        </w:tc>
        <w:tc>
          <w:tcPr>
            <w:tcW w:w="60" w:type="dxa"/>
            <w:vAlign w:val="bottom"/>
            <w:shd w:val="clear" w:color="auto" w:fill="CFF0FC"/>
          </w:tcPr>
          <w:p>
            <w:pPr>
              <w:spacing w:after="0"/>
              <w:rPr>
                <w:sz w:val="16"/>
                <w:szCs w:val="16"/>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3,530</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575</w:t>
            </w:r>
          </w:p>
        </w:tc>
        <w:tc>
          <w:tcPr>
            <w:tcW w:w="60" w:type="dxa"/>
            <w:vAlign w:val="bottom"/>
          </w:tcPr>
          <w:p>
            <w:pPr>
              <w:spacing w:after="0"/>
              <w:rPr>
                <w:sz w:val="17"/>
                <w:szCs w:val="17"/>
                <w:color w:val="auto"/>
              </w:rPr>
            </w:pPr>
          </w:p>
        </w:tc>
      </w:tr>
      <w:tr>
        <w:trPr>
          <w:trHeight w:val="200"/>
        </w:trPr>
        <w:tc>
          <w:tcPr>
            <w:tcW w:w="722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4,830</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555</w:t>
            </w:r>
          </w:p>
        </w:tc>
        <w:tc>
          <w:tcPr>
            <w:tcW w:w="60" w:type="dxa"/>
            <w:vAlign w:val="bottom"/>
            <w:shd w:val="clear" w:color="auto" w:fill="CFF0FC"/>
          </w:tcPr>
          <w:p>
            <w:pPr>
              <w:spacing w:after="0"/>
              <w:rPr>
                <w:sz w:val="17"/>
                <w:szCs w:val="17"/>
                <w:color w:val="auto"/>
              </w:rPr>
            </w:pPr>
          </w:p>
        </w:tc>
      </w:tr>
      <w:tr>
        <w:trPr>
          <w:trHeight w:val="200"/>
        </w:trPr>
        <w:tc>
          <w:tcPr>
            <w:tcW w:w="7220" w:type="dxa"/>
            <w:vAlign w:val="bottom"/>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14,435</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11,305</w:t>
            </w:r>
          </w:p>
        </w:tc>
        <w:tc>
          <w:tcPr>
            <w:tcW w:w="60" w:type="dxa"/>
            <w:vAlign w:val="bottom"/>
          </w:tcPr>
          <w:p>
            <w:pPr>
              <w:spacing w:after="0"/>
              <w:rPr>
                <w:sz w:val="17"/>
                <w:szCs w:val="17"/>
                <w:color w:val="auto"/>
              </w:rPr>
            </w:pPr>
          </w:p>
        </w:tc>
      </w:tr>
      <w:tr>
        <w:trPr>
          <w:trHeight w:val="234"/>
        </w:trPr>
        <w:tc>
          <w:tcPr>
            <w:tcW w:w="7220" w:type="dxa"/>
            <w:vAlign w:val="bottom"/>
            <w:tcBorders>
              <w:bottom w:val="single" w:sz="8" w:color="CFF0FC"/>
            </w:tcBorders>
            <w:shd w:val="clear" w:color="auto" w:fill="CFF0FC"/>
          </w:tcPr>
          <w:p>
            <w:pPr>
              <w:ind w:left="200"/>
              <w:spacing w:after="0" w:line="194" w:lineRule="exact"/>
              <w:rPr>
                <w:sz w:val="20"/>
                <w:szCs w:val="20"/>
                <w:color w:val="auto"/>
              </w:rPr>
            </w:pPr>
            <w:r>
              <w:rPr>
                <w:rFonts w:ascii="Arial" w:cs="Arial" w:eastAsia="Arial" w:hAnsi="Arial"/>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11"/>
              <w:spacing w:after="0" w:line="194"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8"/>
              </w:rPr>
              <w:t>23,644</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1"/>
              <w:spacing w:after="0" w:line="194"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0"/>
              </w:rPr>
              <w:t>12,654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-24765</wp:posOffset>
            </wp:positionV>
            <wp:extent cx="425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-7620</wp:posOffset>
            </wp:positionV>
            <wp:extent cx="425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-24765</wp:posOffset>
            </wp:positionV>
            <wp:extent cx="425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-7620</wp:posOffset>
            </wp:positionV>
            <wp:extent cx="425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6" w:lineRule="exact"/>
        <w:rPr>
          <w:sz w:val="20"/>
          <w:szCs w:val="20"/>
          <w:color w:val="auto"/>
        </w:rPr>
      </w:pPr>
    </w:p>
    <w:p>
      <w:pPr>
        <w:ind w:left="520" w:right="100"/>
        <w:spacing w:after="0" w:line="259" w:lineRule="auto"/>
        <w:rPr>
          <w:sz w:val="20"/>
          <w:szCs w:val="20"/>
          <w:color w:val="auto"/>
        </w:rPr>
      </w:pPr>
      <w:r>
        <w:rPr>
          <w:rFonts w:ascii="Arial" w:cs="Arial" w:eastAsia="Arial" w:hAnsi="Arial"/>
          <w:sz w:val="18"/>
          <w:szCs w:val="18"/>
          <w:color w:val="auto"/>
        </w:rPr>
        <w:t>As of March 31, 2022, there was $214.7 million of unrecognized stock compensation expense related to non-vested time-based awards which is expected to be recognized over a weighted-average period of 3.6 years. As of March 31, 2022, there was $105.6 million of unrecognized stock-based compensation expense related to non-vested performance-based awards.</w:t>
      </w:r>
    </w:p>
    <w:p>
      <w:pPr>
        <w:spacing w:after="0" w:line="288" w:lineRule="exact"/>
        <w:rPr>
          <w:sz w:val="20"/>
          <w:szCs w:val="20"/>
          <w:color w:val="auto"/>
        </w:rPr>
      </w:pPr>
    </w:p>
    <w:p>
      <w:pPr>
        <w:ind w:left="520" w:hanging="513"/>
        <w:spacing w:after="0"/>
        <w:tabs>
          <w:tab w:leader="none" w:pos="5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04" w:lineRule="exact"/>
        <w:rPr>
          <w:rFonts w:ascii="Arial" w:cs="Arial" w:eastAsia="Arial" w:hAnsi="Arial"/>
          <w:sz w:val="18"/>
          <w:szCs w:val="18"/>
          <w:b w:val="1"/>
          <w:bCs w:val="1"/>
          <w:color w:val="auto"/>
        </w:rPr>
      </w:pPr>
    </w:p>
    <w:p>
      <w:pPr>
        <w:ind w:left="52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Upon consummation of the Business Combination (see Note 3), the Company assumed the outstanding Public Warrants and Private Warrants issued by Dragoneer.</w:t>
      </w:r>
    </w:p>
    <w:p>
      <w:pPr>
        <w:spacing w:after="0" w:line="6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As of March 31, 2022 and December 31, 2021, the Company had 17,800,000 Private Warrants outstanding and no Public Warrants outstanding.</w:t>
      </w:r>
    </w:p>
    <w:p>
      <w:pPr>
        <w:spacing w:after="0" w:line="123" w:lineRule="exact"/>
        <w:rPr>
          <w:rFonts w:ascii="Arial" w:cs="Arial" w:eastAsia="Arial" w:hAnsi="Arial"/>
          <w:sz w:val="18"/>
          <w:szCs w:val="18"/>
          <w:b w:val="1"/>
          <w:bCs w:val="1"/>
          <w:color w:val="auto"/>
        </w:rPr>
      </w:pPr>
    </w:p>
    <w:p>
      <w:pPr>
        <w:ind w:left="520" w:right="2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Public Warrants were only able to be exercised for a whole number of shares of the Company’s common stock. All Public Warrants had an exercise price of $11.50 per share, subject to adjustment, beginning on August 29, 2021, and were to expire on July 30, 2026 or earlier upon redemption or liquidation.</w:t>
      </w:r>
    </w:p>
    <w:p>
      <w:pPr>
        <w:spacing w:after="0" w:line="79" w:lineRule="exact"/>
        <w:rPr>
          <w:rFonts w:ascii="Arial" w:cs="Arial" w:eastAsia="Arial" w:hAnsi="Arial"/>
          <w:sz w:val="18"/>
          <w:szCs w:val="18"/>
          <w:b w:val="1"/>
          <w:bCs w:val="1"/>
          <w:color w:val="auto"/>
        </w:rPr>
      </w:pPr>
    </w:p>
    <w:p>
      <w:pPr>
        <w:ind w:left="520" w:right="18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Redemptions of warrants when the price per share equals or exceeds $18.00</w:t>
      </w:r>
      <w:r>
        <w:rPr>
          <w:rFonts w:ascii="Arial" w:cs="Arial" w:eastAsia="Arial" w:hAnsi="Arial"/>
          <w:sz w:val="18"/>
          <w:szCs w:val="18"/>
          <w:color w:val="auto"/>
        </w:rPr>
        <w:t>—At any time while the warrants were exercisable, the Company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redeem not less than all of the outstanding warrants (except as described with respect to the Private Warrants):</w:t>
      </w:r>
    </w:p>
    <w:p>
      <w:pPr>
        <w:spacing w:after="0" w:line="67" w:lineRule="exact"/>
        <w:rPr>
          <w:rFonts w:ascii="Arial" w:cs="Arial" w:eastAsia="Arial" w:hAnsi="Arial"/>
          <w:sz w:val="18"/>
          <w:szCs w:val="18"/>
          <w:b w:val="1"/>
          <w:bCs w:val="1"/>
          <w:color w:val="auto"/>
        </w:rPr>
      </w:pPr>
    </w:p>
    <w:p>
      <w:pPr>
        <w:ind w:left="1260" w:hanging="370"/>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00" w:lineRule="exact"/>
        <w:rPr>
          <w:rFonts w:ascii="Arial" w:cs="Arial" w:eastAsia="Arial" w:hAnsi="Arial"/>
          <w:sz w:val="18"/>
          <w:szCs w:val="18"/>
          <w:color w:val="auto"/>
        </w:rPr>
      </w:pPr>
    </w:p>
    <w:p>
      <w:pPr>
        <w:ind w:left="1260" w:hanging="370"/>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00" w:lineRule="exact"/>
        <w:rPr>
          <w:rFonts w:ascii="Arial" w:cs="Arial" w:eastAsia="Arial" w:hAnsi="Arial"/>
          <w:sz w:val="18"/>
          <w:szCs w:val="18"/>
          <w:color w:val="auto"/>
        </w:rPr>
      </w:pPr>
    </w:p>
    <w:p>
      <w:pPr>
        <w:ind w:left="1260" w:right="80" w:hanging="370"/>
        <w:spacing w:after="0" w:line="255"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shares equals or exceeds $18.00 per share (as adjusted) on the trading day prior to the date on which the Company sends the notice of redemption to the warrant holders.</w:t>
      </w:r>
    </w:p>
    <w:p>
      <w:pPr>
        <w:spacing w:after="0" w:line="68" w:lineRule="exact"/>
        <w:rPr>
          <w:sz w:val="20"/>
          <w:szCs w:val="20"/>
          <w:color w:val="auto"/>
        </w:rPr>
      </w:pPr>
    </w:p>
    <w:p>
      <w:pPr>
        <w:ind w:left="520" w:right="140"/>
        <w:spacing w:after="0" w:line="255" w:lineRule="auto"/>
        <w:rPr>
          <w:sz w:val="20"/>
          <w:szCs w:val="20"/>
          <w:color w:val="auto"/>
        </w:rPr>
      </w:pPr>
      <w:r>
        <w:rPr>
          <w:rFonts w:ascii="Arial" w:cs="Arial" w:eastAsia="Arial" w:hAnsi="Arial"/>
          <w:sz w:val="18"/>
          <w:szCs w:val="18"/>
          <w:color w:val="auto"/>
        </w:rPr>
        <w:t>When the warrants became redeemable by the Company, the Company could exercise its redemption right even if it was unable to register or qualify the underlying securities for sale under all applicable state securities laws.</w:t>
      </w:r>
    </w:p>
    <w:p>
      <w:pPr>
        <w:spacing w:after="0" w:line="68" w:lineRule="exact"/>
        <w:rPr>
          <w:sz w:val="20"/>
          <w:szCs w:val="20"/>
          <w:color w:val="auto"/>
        </w:rPr>
      </w:pPr>
    </w:p>
    <w:p>
      <w:pPr>
        <w:ind w:left="520" w:right="180"/>
        <w:spacing w:after="0" w:line="255" w:lineRule="auto"/>
        <w:rPr>
          <w:sz w:val="20"/>
          <w:szCs w:val="20"/>
          <w:color w:val="auto"/>
        </w:rPr>
      </w:pPr>
      <w:r>
        <w:rPr>
          <w:rFonts w:ascii="Arial" w:cs="Arial" w:eastAsia="Arial" w:hAnsi="Arial"/>
          <w:sz w:val="18"/>
          <w:szCs w:val="18"/>
          <w:i w:val="1"/>
          <w:iCs w:val="1"/>
          <w:color w:val="auto"/>
        </w:rPr>
        <w:t>Redemptions of warrants when the price per share equals or exceeds $10.00</w:t>
      </w:r>
      <w:r>
        <w:rPr>
          <w:rFonts w:ascii="Arial" w:cs="Arial" w:eastAsia="Arial" w:hAnsi="Arial"/>
          <w:sz w:val="18"/>
          <w:szCs w:val="18"/>
          <w:color w:val="auto"/>
        </w:rPr>
        <w:t>—At any time while the warrants were exercisable, the Company could</w:t>
      </w:r>
      <w:r>
        <w:rPr>
          <w:rFonts w:ascii="Arial" w:cs="Arial" w:eastAsia="Arial" w:hAnsi="Arial"/>
          <w:sz w:val="18"/>
          <w:szCs w:val="18"/>
          <w:i w:val="1"/>
          <w:iCs w:val="1"/>
          <w:color w:val="auto"/>
        </w:rPr>
        <w:t xml:space="preserve"> </w:t>
      </w:r>
      <w:r>
        <w:rPr>
          <w:rFonts w:ascii="Arial" w:cs="Arial" w:eastAsia="Arial" w:hAnsi="Arial"/>
          <w:sz w:val="18"/>
          <w:szCs w:val="18"/>
          <w:color w:val="auto"/>
        </w:rPr>
        <w:t>redeem not less than all of the outstanding warrants (except as described with respect to the Private Warrants):</w:t>
      </w:r>
    </w:p>
    <w:p>
      <w:pPr>
        <w:spacing w:after="0" w:line="68" w:lineRule="exact"/>
        <w:rPr>
          <w:sz w:val="20"/>
          <w:szCs w:val="20"/>
          <w:color w:val="auto"/>
        </w:rPr>
      </w:pPr>
    </w:p>
    <w:p>
      <w:pPr>
        <w:ind w:left="1260" w:hanging="370"/>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a price of $0.10 per warrant;</w:t>
      </w:r>
    </w:p>
    <w:p>
      <w:pPr>
        <w:spacing w:after="0" w:line="100" w:lineRule="exact"/>
        <w:rPr>
          <w:rFonts w:ascii="Arial" w:cs="Arial" w:eastAsia="Arial" w:hAnsi="Arial"/>
          <w:sz w:val="18"/>
          <w:szCs w:val="18"/>
          <w:color w:val="auto"/>
        </w:rPr>
      </w:pPr>
    </w:p>
    <w:p>
      <w:pPr>
        <w:ind w:left="1260" w:right="20" w:hanging="370"/>
        <w:spacing w:after="0" w:line="243"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provided holders will be able to exercise their warrants on a “cashless basis” prior to redemption and receive that number of shares determined by reference to an agreed table based on the redemption date and the fair market value of the Company’s common stock; and</w:t>
      </w:r>
    </w:p>
    <w:p>
      <w:pPr>
        <w:spacing w:after="0" w:line="79" w:lineRule="exact"/>
        <w:rPr>
          <w:rFonts w:ascii="Arial" w:cs="Arial" w:eastAsia="Arial" w:hAnsi="Arial"/>
          <w:sz w:val="18"/>
          <w:szCs w:val="18"/>
          <w:color w:val="auto"/>
        </w:rPr>
      </w:pPr>
    </w:p>
    <w:p>
      <w:pPr>
        <w:ind w:left="1260" w:right="140" w:hanging="370"/>
        <w:spacing w:after="0" w:line="255"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$10.00 per share (as adjusted) on the trading day prior to the date on which the Company sends the notice of redemption to the warrant holders.</w:t>
      </w:r>
    </w:p>
    <w:p>
      <w:pPr>
        <w:spacing w:after="0" w:line="68" w:lineRule="exact"/>
        <w:rPr>
          <w:sz w:val="20"/>
          <w:szCs w:val="20"/>
          <w:color w:val="auto"/>
        </w:rPr>
      </w:pPr>
    </w:p>
    <w:p>
      <w:pPr>
        <w:ind w:left="520" w:right="80"/>
        <w:spacing w:after="0" w:line="243" w:lineRule="auto"/>
        <w:rPr>
          <w:sz w:val="20"/>
          <w:szCs w:val="20"/>
          <w:color w:val="auto"/>
        </w:rPr>
      </w:pPr>
      <w:r>
        <w:rPr>
          <w:rFonts w:ascii="Arial" w:cs="Arial" w:eastAsia="Arial" w:hAnsi="Arial"/>
          <w:sz w:val="18"/>
          <w:szCs w:val="18"/>
          <w:color w:val="auto"/>
        </w:rPr>
        <w:t>On November 29, 2021, the Company announced that it had elected to redeem all of the outstanding Public Warrants on December 29, 2021. Each Public Warrant not exercised before 5:00 p.m. Eastern Daylight Time on December 29, 2021 was redeemed by the Company for $0.10 and the Public Warrants subsequently ceased trading on the New York Stock Exchange.</w:t>
      </w:r>
    </w:p>
    <w:p>
      <w:pPr>
        <w:spacing w:after="0" w:line="79" w:lineRule="exact"/>
        <w:rPr>
          <w:sz w:val="20"/>
          <w:szCs w:val="20"/>
          <w:color w:val="auto"/>
        </w:rPr>
      </w:pPr>
    </w:p>
    <w:p>
      <w:pPr>
        <w:ind w:left="520" w:right="160"/>
        <w:spacing w:after="0" w:line="239" w:lineRule="auto"/>
        <w:rPr>
          <w:sz w:val="20"/>
          <w:szCs w:val="20"/>
          <w:color w:val="auto"/>
        </w:rPr>
      </w:pPr>
      <w:r>
        <w:rPr>
          <w:rFonts w:ascii="Arial" w:cs="Arial" w:eastAsia="Arial" w:hAnsi="Arial"/>
          <w:sz w:val="18"/>
          <w:szCs w:val="18"/>
          <w:color w:val="auto"/>
        </w:rPr>
        <w:t>Of the 17,299,983 Public Warrants that were outstanding as of the closing of the Business Combination, 10,638 warrants were exercised for cash proceeds of $0.1 million and 15,876,341 were exercised on a cashless basis in exchange for an aggregate of 4,826,339 shares of common stock. The Company paid $0.1 million to redeem the remaining 1,413,004 unexercised Public Warrants. As of December 31, 2021, there were no Public Warrants outstanding.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51435</wp:posOffset>
            </wp:positionV>
            <wp:extent cx="71589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left="513" w:right="200"/>
        <w:spacing w:after="0" w:line="279" w:lineRule="auto"/>
        <w:rPr>
          <w:sz w:val="20"/>
          <w:szCs w:val="20"/>
          <w:color w:val="auto"/>
        </w:rPr>
      </w:pPr>
      <w:r>
        <w:rPr>
          <w:rFonts w:ascii="Arial" w:cs="Arial" w:eastAsia="Arial" w:hAnsi="Arial"/>
          <w:sz w:val="16"/>
          <w:szCs w:val="16"/>
          <w:color w:val="auto"/>
        </w:rPr>
        <w:t>The Private Warrants are identical to the Public Warrants underlying the shares sold in Dragoneer’s initial public offering. Additionally, the Private Warrants are exercisable on a cashless basis and are non-redeemable, except as described above,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pacing w:after="0" w:line="53" w:lineRule="exact"/>
        <w:rPr>
          <w:sz w:val="20"/>
          <w:szCs w:val="20"/>
          <w:color w:val="auto"/>
        </w:rPr>
      </w:pPr>
    </w:p>
    <w:p>
      <w:pPr>
        <w:ind w:left="513" w:right="460"/>
        <w:spacing w:after="0" w:line="265" w:lineRule="auto"/>
        <w:rPr>
          <w:sz w:val="20"/>
          <w:szCs w:val="20"/>
          <w:color w:val="auto"/>
        </w:rPr>
      </w:pPr>
      <w:r>
        <w:rPr>
          <w:rFonts w:ascii="Arial" w:cs="Arial" w:eastAsia="Arial" w:hAnsi="Arial"/>
          <w:sz w:val="17"/>
          <w:szCs w:val="17"/>
          <w:color w:val="auto"/>
        </w:rPr>
        <w:t>Private Warrants may only be exercised for a whole number of shares of the Company’s common stock. Each whole Private Warrant entitles the registered holder to purchase one share of the Company’s common stock. All warrants have an exercise price of $11.50 per share, subject to adjustment, beginning on August 29, 2021, and will expire on July 30, 2026 or earlier upon redemption or liquidation.</w:t>
      </w:r>
    </w:p>
    <w:p>
      <w:pPr>
        <w:spacing w:after="0" w:line="60" w:lineRule="exact"/>
        <w:rPr>
          <w:sz w:val="20"/>
          <w:szCs w:val="20"/>
          <w:color w:val="auto"/>
        </w:rPr>
      </w:pPr>
    </w:p>
    <w:p>
      <w:pPr>
        <w:ind w:left="513"/>
        <w:spacing w:after="0"/>
        <w:rPr>
          <w:sz w:val="20"/>
          <w:szCs w:val="20"/>
          <w:color w:val="auto"/>
        </w:rPr>
      </w:pPr>
      <w:r>
        <w:rPr>
          <w:rFonts w:ascii="Arial" w:cs="Arial" w:eastAsia="Arial" w:hAnsi="Arial"/>
          <w:sz w:val="18"/>
          <w:szCs w:val="18"/>
          <w:color w:val="auto"/>
        </w:rPr>
        <w:t>There were no exercises or redemptions of the Private Warrants during the three months ended March 31, 2022.</w:t>
      </w:r>
    </w:p>
    <w:p>
      <w:pPr>
        <w:spacing w:after="0" w:line="100" w:lineRule="exact"/>
        <w:rPr>
          <w:sz w:val="20"/>
          <w:szCs w:val="20"/>
          <w:color w:val="auto"/>
        </w:rPr>
      </w:pPr>
    </w:p>
    <w:p>
      <w:pPr>
        <w:ind w:left="513" w:right="780"/>
        <w:spacing w:after="0" w:line="255" w:lineRule="auto"/>
        <w:rPr>
          <w:sz w:val="20"/>
          <w:szCs w:val="20"/>
          <w:color w:val="auto"/>
        </w:rPr>
      </w:pPr>
      <w:r>
        <w:rPr>
          <w:rFonts w:ascii="Arial" w:cs="Arial" w:eastAsia="Arial" w:hAnsi="Arial"/>
          <w:sz w:val="18"/>
          <w:szCs w:val="18"/>
          <w:color w:val="auto"/>
        </w:rPr>
        <w:t>The Company recognized income of $2.1 million as a change in fair value of warrant liabilities in the condensed consolidated statements of operations and comprehensive income (loss) for the three months ended March 31, 2022.</w:t>
      </w:r>
    </w:p>
    <w:p>
      <w:pPr>
        <w:spacing w:after="0" w:line="68" w:lineRule="exact"/>
        <w:rPr>
          <w:sz w:val="20"/>
          <w:szCs w:val="20"/>
          <w:color w:val="auto"/>
        </w:rPr>
      </w:pPr>
    </w:p>
    <w:p>
      <w:pPr>
        <w:ind w:left="513"/>
        <w:spacing w:after="0"/>
        <w:rPr>
          <w:sz w:val="20"/>
          <w:szCs w:val="20"/>
          <w:color w:val="auto"/>
        </w:rPr>
      </w:pPr>
      <w:r>
        <w:rPr>
          <w:rFonts w:ascii="Arial" w:cs="Arial" w:eastAsia="Arial" w:hAnsi="Arial"/>
          <w:sz w:val="18"/>
          <w:szCs w:val="18"/>
          <w:color w:val="auto"/>
        </w:rPr>
        <w:t>At March 31, 2022 and December 31, 2021, the Company’s warrant liability was $60.3 and $62.5 million, respectively.</w:t>
      </w:r>
    </w:p>
    <w:p>
      <w:pPr>
        <w:spacing w:after="0" w:line="310" w:lineRule="exact"/>
        <w:rPr>
          <w:sz w:val="20"/>
          <w:szCs w:val="20"/>
          <w:color w:val="auto"/>
        </w:rPr>
      </w:pPr>
    </w:p>
    <w:p>
      <w:pPr>
        <w:ind w:left="513" w:hanging="513"/>
        <w:spacing w:after="0"/>
        <w:tabs>
          <w:tab w:leader="none" w:pos="51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00" w:lineRule="exact"/>
        <w:rPr>
          <w:rFonts w:ascii="Arial" w:cs="Arial" w:eastAsia="Arial" w:hAnsi="Arial"/>
          <w:sz w:val="18"/>
          <w:szCs w:val="18"/>
          <w:b w:val="1"/>
          <w:bCs w:val="1"/>
          <w:color w:val="auto"/>
        </w:rPr>
      </w:pPr>
    </w:p>
    <w:p>
      <w:pPr>
        <w:ind w:left="513" w:right="220"/>
        <w:spacing w:after="0" w:line="246" w:lineRule="auto"/>
        <w:rPr>
          <w:rFonts w:ascii="Arial" w:cs="Arial" w:eastAsia="Arial" w:hAnsi="Arial"/>
          <w:sz w:val="18"/>
          <w:szCs w:val="18"/>
          <w:b w:val="1"/>
          <w:bCs w:val="1"/>
          <w:color w:val="auto"/>
        </w:rPr>
      </w:pPr>
      <w:r>
        <w:rPr>
          <w:rFonts w:ascii="Arial" w:cs="Arial" w:eastAsia="Arial" w:hAnsi="Arial"/>
          <w:sz w:val="18"/>
          <w:szCs w:val="18"/>
          <w:b w:val="1"/>
          <w:bCs w:val="1"/>
          <w:color w:val="auto"/>
        </w:rPr>
        <w:t>Purchase Obligations</w:t>
      </w:r>
      <w:r>
        <w:rPr>
          <w:rFonts w:ascii="Arial" w:cs="Arial" w:eastAsia="Arial" w:hAnsi="Arial"/>
          <w:sz w:val="18"/>
          <w:szCs w:val="18"/>
          <w:color w:val="auto"/>
        </w:rPr>
        <w:t>—The Company has long-term agreements with suppliers and other parties related to licensing data used in its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outsourced data center, disaster recovery, and software as a service that expire at various dates through 2031. As of March 31, 2022, there were no material changes from the amounts disclosed as of December 31, 2021.</w:t>
      </w:r>
    </w:p>
    <w:p>
      <w:pPr>
        <w:spacing w:after="0" w:line="71" w:lineRule="exact"/>
        <w:rPr>
          <w:rFonts w:ascii="Arial" w:cs="Arial" w:eastAsia="Arial" w:hAnsi="Arial"/>
          <w:sz w:val="18"/>
          <w:szCs w:val="18"/>
          <w:b w:val="1"/>
          <w:bCs w:val="1"/>
          <w:color w:val="auto"/>
        </w:rPr>
      </w:pPr>
    </w:p>
    <w:p>
      <w:pPr>
        <w:ind w:left="513" w:right="100"/>
        <w:spacing w:after="0" w:line="256" w:lineRule="auto"/>
        <w:rPr>
          <w:rFonts w:ascii="Arial" w:cs="Arial" w:eastAsia="Arial" w:hAnsi="Arial"/>
          <w:sz w:val="18"/>
          <w:szCs w:val="18"/>
          <w:b w:val="1"/>
          <w:bCs w:val="1"/>
          <w:color w:val="auto"/>
        </w:rPr>
      </w:pPr>
      <w:r>
        <w:rPr>
          <w:rFonts w:ascii="Arial" w:cs="Arial" w:eastAsia="Arial" w:hAnsi="Arial"/>
          <w:sz w:val="17"/>
          <w:szCs w:val="17"/>
          <w:b w:val="1"/>
          <w:bCs w:val="1"/>
          <w:color w:val="auto"/>
        </w:rPr>
        <w:t>Guarantees—</w:t>
      </w:r>
      <w:r>
        <w:rPr>
          <w:rFonts w:ascii="Arial" w:cs="Arial" w:eastAsia="Arial" w:hAnsi="Arial"/>
          <w:sz w:val="17"/>
          <w:szCs w:val="17"/>
          <w:color w:val="auto"/>
        </w:rPr>
        <w:t>The Company’s services and solutions are typically warranted to perform in a manner consistent with general industry standards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70" w:lineRule="exact"/>
        <w:rPr>
          <w:rFonts w:ascii="Arial" w:cs="Arial" w:eastAsia="Arial" w:hAnsi="Arial"/>
          <w:sz w:val="18"/>
          <w:szCs w:val="18"/>
          <w:b w:val="1"/>
          <w:bCs w:val="1"/>
          <w:color w:val="auto"/>
        </w:rPr>
      </w:pPr>
    </w:p>
    <w:p>
      <w:pPr>
        <w:ind w:left="513" w:right="4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To date, the Company has not incurred any material costs as a result of such indemnifications or commitments and has not accrued any liabilities related to such obligations in the accompanying consolidated financial statements.</w:t>
      </w:r>
    </w:p>
    <w:p>
      <w:pPr>
        <w:spacing w:after="0" w:line="63" w:lineRule="exact"/>
        <w:rPr>
          <w:rFonts w:ascii="Arial" w:cs="Arial" w:eastAsia="Arial" w:hAnsi="Arial"/>
          <w:sz w:val="18"/>
          <w:szCs w:val="18"/>
          <w:b w:val="1"/>
          <w:bCs w:val="1"/>
          <w:color w:val="auto"/>
        </w:rPr>
      </w:pPr>
    </w:p>
    <w:p>
      <w:pPr>
        <w:ind w:left="513" w:right="4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Employment Agreements</w:t>
      </w:r>
      <w:r>
        <w:rPr>
          <w:rFonts w:ascii="Arial" w:cs="Arial" w:eastAsia="Arial" w:hAnsi="Arial"/>
          <w:sz w:val="18"/>
          <w:szCs w:val="18"/>
          <w:color w:val="auto"/>
        </w:rPr>
        <w:t>—The Company is a party to employment agreements with key employees that provide for compensation and certain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These agreements also provide for severance and bonus payments under certain circumstances.</w:t>
      </w:r>
    </w:p>
    <w:p>
      <w:pPr>
        <w:spacing w:after="0" w:line="274" w:lineRule="exact"/>
        <w:rPr>
          <w:rFonts w:ascii="Arial" w:cs="Arial" w:eastAsia="Arial" w:hAnsi="Arial"/>
          <w:sz w:val="18"/>
          <w:szCs w:val="18"/>
          <w:b w:val="1"/>
          <w:bCs w:val="1"/>
          <w:color w:val="auto"/>
        </w:rPr>
      </w:pPr>
    </w:p>
    <w:p>
      <w:pPr>
        <w:ind w:left="513" w:hanging="513"/>
        <w:spacing w:after="0"/>
        <w:tabs>
          <w:tab w:leader="none" w:pos="51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 AND CONTINGENCIES</w:t>
      </w:r>
    </w:p>
    <w:p>
      <w:pPr>
        <w:spacing w:after="0" w:line="104" w:lineRule="exact"/>
        <w:rPr>
          <w:rFonts w:ascii="Arial" w:cs="Arial" w:eastAsia="Arial" w:hAnsi="Arial"/>
          <w:sz w:val="18"/>
          <w:szCs w:val="18"/>
          <w:b w:val="1"/>
          <w:bCs w:val="1"/>
          <w:color w:val="auto"/>
        </w:rPr>
      </w:pPr>
    </w:p>
    <w:p>
      <w:pPr>
        <w:ind w:left="513" w:right="20"/>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62" w:lineRule="exact"/>
        <w:rPr>
          <w:rFonts w:ascii="Arial" w:cs="Arial" w:eastAsia="Arial" w:hAnsi="Arial"/>
          <w:sz w:val="18"/>
          <w:szCs w:val="18"/>
          <w:b w:val="1"/>
          <w:bCs w:val="1"/>
          <w:color w:val="auto"/>
        </w:rPr>
      </w:pPr>
    </w:p>
    <w:p>
      <w:pPr>
        <w:ind w:left="513" w:hanging="513"/>
        <w:spacing w:after="0"/>
        <w:tabs>
          <w:tab w:leader="none" w:pos="51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04" w:lineRule="exact"/>
        <w:rPr>
          <w:rFonts w:ascii="Arial" w:cs="Arial" w:eastAsia="Arial" w:hAnsi="Arial"/>
          <w:sz w:val="18"/>
          <w:szCs w:val="18"/>
          <w:b w:val="1"/>
          <w:bCs w:val="1"/>
          <w:color w:val="auto"/>
        </w:rPr>
      </w:pPr>
    </w:p>
    <w:p>
      <w:pPr>
        <w:ind w:left="513"/>
        <w:spacing w:after="0"/>
        <w:rPr>
          <w:rFonts w:ascii="Arial" w:cs="Arial" w:eastAsia="Arial" w:hAnsi="Arial"/>
          <w:sz w:val="18"/>
          <w:szCs w:val="18"/>
          <w:b w:val="1"/>
          <w:bCs w:val="1"/>
          <w:color w:val="auto"/>
        </w:rPr>
      </w:pPr>
      <w:r>
        <w:rPr>
          <w:rFonts w:ascii="Arial" w:cs="Arial" w:eastAsia="Arial" w:hAnsi="Arial"/>
          <w:sz w:val="17"/>
          <w:szCs w:val="17"/>
          <w:color w:val="auto"/>
        </w:rPr>
        <w:t>The Company has engaged in transactions within the ordinary course of business with entities affiliated with its principal equity owners.</w:t>
      </w:r>
    </w:p>
    <w:p>
      <w:pPr>
        <w:spacing w:after="0" w:line="111" w:lineRule="exact"/>
        <w:rPr>
          <w:rFonts w:ascii="Arial" w:cs="Arial" w:eastAsia="Arial" w:hAnsi="Arial"/>
          <w:sz w:val="18"/>
          <w:szCs w:val="18"/>
          <w:b w:val="1"/>
          <w:bCs w:val="1"/>
          <w:color w:val="auto"/>
        </w:rPr>
      </w:pPr>
    </w:p>
    <w:p>
      <w:pPr>
        <w:ind w:left="513"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recognized revenue from a customer that is affiliated with one of its principal equity owners. The Company recognized revenue of $0.1 million from the related party customer during the three months ended March 31, 2022. The amount of revenue recognized during the three months ended March 31, 2021 and the associated receivable from the customer at March 31, 2022 and December 31, 2021 were de minimis.</w:t>
      </w:r>
    </w:p>
    <w:p>
      <w:pPr>
        <w:spacing w:after="0" w:line="43" w:lineRule="exact"/>
        <w:rPr>
          <w:rFonts w:ascii="Arial" w:cs="Arial" w:eastAsia="Arial" w:hAnsi="Arial"/>
          <w:sz w:val="18"/>
          <w:szCs w:val="18"/>
          <w:b w:val="1"/>
          <w:bCs w:val="1"/>
          <w:color w:val="auto"/>
        </w:rPr>
      </w:pPr>
    </w:p>
    <w:p>
      <w:pPr>
        <w:ind w:left="513" w:right="22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expenses for employee health insurance benefits with an entity affiliated with one of its principal equity owners. During the three months ended March 31, 2022 and March 31, 2021, the Company incurred expenses of $0.8 and $0.7 million, respectively. The associated payable as of March 31, 2022 and December 31, 2021 was $0.2 million.</w:t>
      </w:r>
    </w:p>
    <w:p>
      <w:pPr>
        <w:spacing w:after="0" w:line="79" w:lineRule="exact"/>
        <w:rPr>
          <w:rFonts w:ascii="Arial" w:cs="Arial" w:eastAsia="Arial" w:hAnsi="Arial"/>
          <w:sz w:val="18"/>
          <w:szCs w:val="18"/>
          <w:b w:val="1"/>
          <w:bCs w:val="1"/>
          <w:color w:val="auto"/>
        </w:rPr>
      </w:pPr>
    </w:p>
    <w:p>
      <w:pPr>
        <w:ind w:left="513"/>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incurred expenses for human resource support services with an entity affiliated with one of its principal equity owners. During the three months ended March 31, 2022 and 2021, the Company incurred associated expenses of $0.1 million. The associated payable for the human resource support services was de minimis at March 31, 2022 and December 31, 2021.</w:t>
      </w:r>
    </w:p>
    <w:p>
      <w:pPr>
        <w:spacing w:after="0" w:line="186"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89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33"/>
          </w:cols>
          <w:pgMar w:left="327" w:top="432" w:right="339" w:bottom="1440" w:gutter="0" w:footer="0" w:header="0"/>
        </w:sectPr>
      </w:pPr>
    </w:p>
    <w:bookmarkStart w:id="27" w:name="page28"/>
    <w:bookmarkEnd w:id="27"/>
    <w:p>
      <w:pPr>
        <w:ind w:left="520" w:right="120"/>
        <w:spacing w:after="0" w:line="239" w:lineRule="auto"/>
        <w:rPr>
          <w:sz w:val="20"/>
          <w:szCs w:val="20"/>
          <w:color w:val="auto"/>
        </w:rPr>
      </w:pPr>
      <w:r>
        <w:rPr>
          <w:rFonts w:ascii="Arial" w:cs="Arial" w:eastAsia="Arial" w:hAnsi="Arial"/>
          <w:sz w:val="18"/>
          <w:szCs w:val="18"/>
          <w:color w:val="auto"/>
        </w:rPr>
        <w:t>The Company incurred expenses for sales tax processing services and license fees for tax information with an entity affiliated with one of its board members. During the three months ended March 31, 2022, the Company incurred expenses with the affiliated entity of $0.2 million. During the three months ended March 31, 2021, the amount of expense recognized was de minimis. The associated payable for tax processing services was $0.1 million at March 31, 2022. There was no associated payable at December 31, 2021.</w:t>
      </w:r>
    </w:p>
    <w:p>
      <w:pPr>
        <w:spacing w:after="0" w:line="84" w:lineRule="exact"/>
        <w:rPr>
          <w:sz w:val="20"/>
          <w:szCs w:val="20"/>
          <w:color w:val="auto"/>
        </w:rPr>
      </w:pPr>
    </w:p>
    <w:p>
      <w:pPr>
        <w:ind w:left="520" w:right="20"/>
        <w:spacing w:after="0" w:line="239" w:lineRule="auto"/>
        <w:rPr>
          <w:sz w:val="20"/>
          <w:szCs w:val="20"/>
          <w:color w:val="auto"/>
        </w:rPr>
      </w:pPr>
      <w:r>
        <w:rPr>
          <w:rFonts w:ascii="Arial" w:cs="Arial" w:eastAsia="Arial" w:hAnsi="Arial"/>
          <w:sz w:val="18"/>
          <w:szCs w:val="18"/>
          <w:color w:val="auto"/>
        </w:rPr>
        <w:t>The Company reimburses its principal equity owners for services and any related travel and out-of-pocket expenses. During the three months ended March 31, 2022, the Company's expenses for services, travel and out-of-pocket expenses were de minimis. During the three months ended March 31, 2021, the Company incurred expenses for reimbursement for services, travel, and out-of-pocket expenses of $0.1 million. The associated payable was de minimis as of March 31, 2022 and December 31, 2021.</w:t>
      </w:r>
    </w:p>
    <w:p>
      <w:pPr>
        <w:spacing w:after="0" w:line="294" w:lineRule="exact"/>
        <w:rPr>
          <w:sz w:val="20"/>
          <w:szCs w:val="20"/>
          <w:color w:val="auto"/>
        </w:rPr>
      </w:pPr>
    </w:p>
    <w:p>
      <w:pPr>
        <w:ind w:left="520" w:hanging="513"/>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04" w:lineRule="exact"/>
        <w:rPr>
          <w:rFonts w:ascii="Arial" w:cs="Arial" w:eastAsia="Arial" w:hAnsi="Arial"/>
          <w:sz w:val="18"/>
          <w:szCs w:val="18"/>
          <w:b w:val="1"/>
          <w:bCs w:val="1"/>
          <w:color w:val="auto"/>
        </w:rPr>
      </w:pPr>
    </w:p>
    <w:p>
      <w:pPr>
        <w:ind w:left="520" w:right="10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basic earnings per share by dividing the net income (loss)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82" w:lineRule="exact"/>
        <w:rPr>
          <w:rFonts w:ascii="Arial" w:cs="Arial" w:eastAsia="Arial" w:hAnsi="Arial"/>
          <w:sz w:val="18"/>
          <w:szCs w:val="18"/>
          <w:b w:val="1"/>
          <w:bCs w:val="1"/>
          <w:color w:val="auto"/>
        </w:rPr>
      </w:pPr>
    </w:p>
    <w:p>
      <w:pPr>
        <w:ind w:left="52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8,625,000 Sponsor Vesting Shares that are issued and outstanding at March 31, 2022 are excluded from the weighted average number of shares of common stock outstanding until the vesting requirement is met and the restriction is removed.</w:t>
      </w:r>
    </w:p>
    <w:p>
      <w:pPr>
        <w:spacing w:after="0" w:line="67" w:lineRule="exact"/>
        <w:rPr>
          <w:rFonts w:ascii="Arial" w:cs="Arial" w:eastAsia="Arial" w:hAnsi="Arial"/>
          <w:sz w:val="18"/>
          <w:szCs w:val="18"/>
          <w:b w:val="1"/>
          <w:bCs w:val="1"/>
          <w:color w:val="auto"/>
        </w:rPr>
      </w:pPr>
    </w:p>
    <w:p>
      <w:pPr>
        <w:ind w:left="520" w:righ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a reconciliation of the numerator and denominator used to compute basic and diluted earnings per share of common stock (in thousands, except for share and per share data).</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For the Three Months Ended</w:t>
            </w:r>
          </w:p>
        </w:tc>
      </w:tr>
      <w:tr>
        <w:trPr>
          <w:trHeight w:val="219"/>
        </w:trPr>
        <w:tc>
          <w:tcPr>
            <w:tcW w:w="7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7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line="194"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r>
      <w:tr>
        <w:trPr>
          <w:trHeight w:val="194"/>
        </w:trPr>
        <w:tc>
          <w:tcPr>
            <w:tcW w:w="718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00"/>
        </w:trPr>
        <w:tc>
          <w:tcPr>
            <w:tcW w:w="7180" w:type="dxa"/>
            <w:vAlign w:val="bottom"/>
          </w:tcPr>
          <w:p>
            <w:pPr>
              <w:ind w:left="20"/>
              <w:spacing w:after="0" w:line="201"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1"/>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11,975</w:t>
            </w:r>
          </w:p>
        </w:tc>
        <w:tc>
          <w:tcPr>
            <w:tcW w:w="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(5,084 )</w:t>
            </w:r>
          </w:p>
        </w:tc>
      </w:tr>
      <w:tr>
        <w:trPr>
          <w:trHeight w:val="200"/>
        </w:trPr>
        <w:tc>
          <w:tcPr>
            <w:tcW w:w="71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718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shares of common stock - basic</w:t>
            </w:r>
          </w:p>
        </w:tc>
        <w:tc>
          <w:tcPr>
            <w:tcW w:w="36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603,104,839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505,072,914</w:t>
            </w:r>
          </w:p>
        </w:tc>
        <w:tc>
          <w:tcPr>
            <w:tcW w:w="80" w:type="dxa"/>
            <w:vAlign w:val="bottom"/>
          </w:tcPr>
          <w:p>
            <w:pPr>
              <w:spacing w:after="0"/>
              <w:rPr>
                <w:sz w:val="17"/>
                <w:szCs w:val="17"/>
                <w:color w:val="auto"/>
              </w:rPr>
            </w:pPr>
          </w:p>
        </w:tc>
      </w:tr>
      <w:tr>
        <w:trPr>
          <w:trHeight w:val="200"/>
        </w:trPr>
        <w:tc>
          <w:tcPr>
            <w:tcW w:w="71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Dilutive effect of stock-based awards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37,923,571</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0"/>
              <w:spacing w:after="0" w:line="201" w:lineRule="exact"/>
              <w:rPr>
                <w:sz w:val="20"/>
                <w:szCs w:val="20"/>
                <w:color w:val="auto"/>
              </w:rPr>
            </w:pPr>
            <w:r>
              <w:rPr>
                <w:rFonts w:ascii="Arial" w:cs="Arial" w:eastAsia="Arial" w:hAnsi="Arial"/>
                <w:sz w:val="18"/>
                <w:szCs w:val="18"/>
                <w:color w:val="auto"/>
              </w:rPr>
              <w:t>—</w:t>
            </w:r>
          </w:p>
        </w:tc>
      </w:tr>
      <w:tr>
        <w:trPr>
          <w:trHeight w:val="194"/>
        </w:trPr>
        <w:tc>
          <w:tcPr>
            <w:tcW w:w="7180" w:type="dxa"/>
            <w:vAlign w:val="bottom"/>
            <w:tcBorders>
              <w:top w:val="single" w:sz="8" w:color="CFF0FC"/>
            </w:tcBorders>
          </w:tcPr>
          <w:p>
            <w:pPr>
              <w:ind w:left="20"/>
              <w:spacing w:after="0" w:line="194" w:lineRule="exact"/>
              <w:rPr>
                <w:sz w:val="20"/>
                <w:szCs w:val="20"/>
                <w:color w:val="auto"/>
              </w:rPr>
            </w:pPr>
            <w:r>
              <w:rPr>
                <w:rFonts w:ascii="Arial" w:cs="Arial" w:eastAsia="Arial" w:hAnsi="Arial"/>
                <w:sz w:val="18"/>
                <w:szCs w:val="18"/>
                <w:color w:val="auto"/>
              </w:rPr>
              <w:t>Weighted average shares of common stock - diluted</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641,028,410</w:t>
            </w:r>
          </w:p>
        </w:tc>
        <w:tc>
          <w:tcPr>
            <w:tcW w:w="220" w:type="dxa"/>
            <w:vAlign w:val="bottom"/>
            <w:tcBorders>
              <w:top w:val="single" w:sz="8" w:color="CFF0FC"/>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505,072,914</w:t>
            </w:r>
          </w:p>
        </w:tc>
        <w:tc>
          <w:tcPr>
            <w:tcW w:w="80" w:type="dxa"/>
            <w:vAlign w:val="bottom"/>
            <w:tcBorders>
              <w:top w:val="single" w:sz="8" w:color="CFF0FC"/>
            </w:tcBorders>
          </w:tcPr>
          <w:p>
            <w:pPr>
              <w:spacing w:after="0"/>
              <w:rPr>
                <w:sz w:val="16"/>
                <w:szCs w:val="16"/>
                <w:color w:val="auto"/>
              </w:rPr>
            </w:pPr>
          </w:p>
        </w:tc>
      </w:tr>
      <w:tr>
        <w:trPr>
          <w:trHeight w:val="200"/>
        </w:trPr>
        <w:tc>
          <w:tcPr>
            <w:tcW w:w="71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Net income (loss) per share:</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0"/>
        </w:trPr>
        <w:tc>
          <w:tcPr>
            <w:tcW w:w="7180" w:type="dxa"/>
            <w:vAlign w:val="bottom"/>
          </w:tcPr>
          <w:p>
            <w:pPr>
              <w:ind w:left="200"/>
              <w:spacing w:after="0" w:line="201" w:lineRule="exact"/>
              <w:rPr>
                <w:sz w:val="20"/>
                <w:szCs w:val="20"/>
                <w:color w:val="auto"/>
              </w:rPr>
            </w:pPr>
            <w:r>
              <w:rPr>
                <w:rFonts w:ascii="Arial" w:cs="Arial" w:eastAsia="Arial" w:hAnsi="Arial"/>
                <w:sz w:val="18"/>
                <w:szCs w:val="18"/>
                <w:color w:val="auto"/>
              </w:rPr>
              <w:t>Basic</w:t>
            </w:r>
          </w:p>
        </w:tc>
        <w:tc>
          <w:tcPr>
            <w:tcW w:w="360" w:type="dxa"/>
            <w:vAlign w:val="bottom"/>
          </w:tcPr>
          <w:p>
            <w:pPr>
              <w:jc w:val="right"/>
              <w:ind w:right="151"/>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0.02</w:t>
            </w:r>
          </w:p>
        </w:tc>
        <w:tc>
          <w:tcPr>
            <w:tcW w:w="64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(0.01 )</w:t>
            </w:r>
          </w:p>
        </w:tc>
      </w:tr>
      <w:tr>
        <w:trPr>
          <w:trHeight w:val="200"/>
        </w:trPr>
        <w:tc>
          <w:tcPr>
            <w:tcW w:w="718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51"/>
              <w:spacing w:after="0" w:line="201" w:lineRule="exact"/>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0.02</w:t>
            </w:r>
          </w:p>
        </w:tc>
        <w:tc>
          <w:tcPr>
            <w:tcW w:w="640" w:type="dxa"/>
            <w:vAlign w:val="bottom"/>
            <w:gridSpan w:val="2"/>
            <w:shd w:val="clear" w:color="auto" w:fill="CFF0FC"/>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(0.01 )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5950585</wp:posOffset>
            </wp:positionH>
            <wp:positionV relativeFrom="paragraph">
              <wp:posOffset>-513715</wp:posOffset>
            </wp:positionV>
            <wp:extent cx="4254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-513715</wp:posOffset>
            </wp:positionV>
            <wp:extent cx="508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166" w:lineRule="exact"/>
        <w:rPr>
          <w:sz w:val="20"/>
          <w:szCs w:val="20"/>
          <w:color w:val="auto"/>
        </w:rPr>
      </w:pPr>
    </w:p>
    <w:p>
      <w:pPr>
        <w:ind w:left="520" w:right="80"/>
        <w:spacing w:after="0" w:line="255" w:lineRule="auto"/>
        <w:rPr>
          <w:sz w:val="20"/>
          <w:szCs w:val="20"/>
          <w:color w:val="auto"/>
        </w:rPr>
      </w:pPr>
      <w:r>
        <w:rPr>
          <w:rFonts w:ascii="Arial" w:cs="Arial" w:eastAsia="Arial" w:hAnsi="Arial"/>
          <w:sz w:val="18"/>
          <w:szCs w:val="18"/>
          <w:color w:val="auto"/>
        </w:rPr>
        <w:t>Common stock equivalent shares of approximately 110,393 and 18,091,415 were excluded from the computation of diluted per share amounts for the three months ended March 31, 2022 and 2021, respectively, because their effect was anti-dilutive.</w:t>
      </w:r>
    </w:p>
    <w:p>
      <w:pPr>
        <w:spacing w:after="0" w:line="278" w:lineRule="exact"/>
        <w:rPr>
          <w:sz w:val="20"/>
          <w:szCs w:val="20"/>
          <w:color w:val="auto"/>
        </w:rPr>
      </w:pPr>
    </w:p>
    <w:p>
      <w:pPr>
        <w:ind w:left="520" w:hanging="513"/>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INFORMATION ABOUT GEOGRAPHIC AREAS</w:t>
      </w:r>
    </w:p>
    <w:p>
      <w:pPr>
        <w:spacing w:after="0" w:line="104" w:lineRule="exact"/>
        <w:rPr>
          <w:rFonts w:ascii="Arial" w:cs="Arial" w:eastAsia="Arial" w:hAnsi="Arial"/>
          <w:sz w:val="18"/>
          <w:szCs w:val="18"/>
          <w:b w:val="1"/>
          <w:bCs w:val="1"/>
          <w:color w:val="auto"/>
        </w:rPr>
      </w:pPr>
    </w:p>
    <w:p>
      <w:pPr>
        <w:ind w:left="520" w:right="160"/>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one operating segment.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7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400" w:type="dxa"/>
            <w:vAlign w:val="bottom"/>
            <w:gridSpan w:val="5"/>
          </w:tcPr>
          <w:p>
            <w:pPr>
              <w:jc w:val="right"/>
              <w:ind w:right="511"/>
              <w:spacing w:after="0"/>
              <w:rPr>
                <w:sz w:val="20"/>
                <w:szCs w:val="20"/>
                <w:color w:val="auto"/>
              </w:rPr>
            </w:pPr>
            <w:r>
              <w:rPr>
                <w:rFonts w:ascii="Arial" w:cs="Arial" w:eastAsia="Arial" w:hAnsi="Arial"/>
                <w:sz w:val="18"/>
                <w:szCs w:val="18"/>
                <w:b w:val="1"/>
                <w:bCs w:val="1"/>
                <w:color w:val="auto"/>
              </w:rPr>
              <w:t>For the Three Months Ended</w:t>
            </w:r>
          </w:p>
        </w:tc>
        <w:tc>
          <w:tcPr>
            <w:tcW w:w="60" w:type="dxa"/>
            <w:vAlign w:val="bottom"/>
          </w:tcPr>
          <w:p>
            <w:pPr>
              <w:spacing w:after="0"/>
              <w:rPr>
                <w:sz w:val="18"/>
                <w:szCs w:val="18"/>
                <w:color w:val="auto"/>
              </w:rPr>
            </w:pPr>
          </w:p>
        </w:tc>
      </w:tr>
      <w:tr>
        <w:trPr>
          <w:trHeight w:val="219"/>
        </w:trPr>
        <w:tc>
          <w:tcPr>
            <w:tcW w:w="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4"/>
        </w:trPr>
        <w:tc>
          <w:tcPr>
            <w:tcW w:w="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line="194"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6"/>
                <w:szCs w:val="16"/>
                <w:color w:val="auto"/>
              </w:rPr>
            </w:pPr>
          </w:p>
        </w:tc>
      </w:tr>
      <w:tr>
        <w:trPr>
          <w:trHeight w:val="194"/>
        </w:trPr>
        <w:tc>
          <w:tcPr>
            <w:tcW w:w="580" w:type="dxa"/>
            <w:vAlign w:val="bottom"/>
          </w:tcPr>
          <w:p>
            <w:pPr>
              <w:spacing w:after="0"/>
              <w:rPr>
                <w:sz w:val="16"/>
                <w:szCs w:val="16"/>
                <w:color w:val="auto"/>
              </w:rPr>
            </w:pPr>
          </w:p>
        </w:tc>
        <w:tc>
          <w:tcPr>
            <w:tcW w:w="310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United States</w:t>
            </w:r>
          </w:p>
        </w:tc>
        <w:tc>
          <w:tcPr>
            <w:tcW w:w="410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791"/>
              <w:spacing w:after="0" w:line="194"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86"/>
              </w:rPr>
              <w:t>184,839</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31"/>
              <w:spacing w:after="0" w:line="194"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155,986</w:t>
            </w:r>
          </w:p>
        </w:tc>
        <w:tc>
          <w:tcPr>
            <w:tcW w:w="60" w:type="dxa"/>
            <w:vAlign w:val="bottom"/>
            <w:shd w:val="clear" w:color="auto" w:fill="CFF0FC"/>
          </w:tcPr>
          <w:p>
            <w:pPr>
              <w:spacing w:after="0"/>
              <w:rPr>
                <w:sz w:val="16"/>
                <w:szCs w:val="16"/>
                <w:color w:val="auto"/>
              </w:rPr>
            </w:pPr>
          </w:p>
        </w:tc>
      </w:tr>
      <w:tr>
        <w:trPr>
          <w:trHeight w:val="200"/>
        </w:trPr>
        <w:tc>
          <w:tcPr>
            <w:tcW w:w="580" w:type="dxa"/>
            <w:vAlign w:val="bottom"/>
          </w:tcPr>
          <w:p>
            <w:pPr>
              <w:spacing w:after="0"/>
              <w:rPr>
                <w:sz w:val="17"/>
                <w:szCs w:val="17"/>
                <w:color w:val="auto"/>
              </w:rPr>
            </w:pPr>
          </w:p>
        </w:tc>
        <w:tc>
          <w:tcPr>
            <w:tcW w:w="3100" w:type="dxa"/>
            <w:vAlign w:val="bottom"/>
          </w:tcPr>
          <w:p>
            <w:pPr>
              <w:ind w:left="20"/>
              <w:spacing w:after="0" w:line="201" w:lineRule="exact"/>
              <w:rPr>
                <w:sz w:val="20"/>
                <w:szCs w:val="20"/>
                <w:color w:val="auto"/>
              </w:rPr>
            </w:pPr>
            <w:r>
              <w:rPr>
                <w:rFonts w:ascii="Arial" w:cs="Arial" w:eastAsia="Arial" w:hAnsi="Arial"/>
                <w:sz w:val="18"/>
                <w:szCs w:val="18"/>
                <w:color w:val="auto"/>
              </w:rPr>
              <w:t>China</w:t>
            </w:r>
          </w:p>
        </w:tc>
        <w:tc>
          <w:tcPr>
            <w:tcW w:w="4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1,984</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1,803</w:t>
            </w:r>
          </w:p>
        </w:tc>
        <w:tc>
          <w:tcPr>
            <w:tcW w:w="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100" w:type="dxa"/>
            <w:vAlign w:val="bottom"/>
            <w:tcBorders>
              <w:bottom w:val="single" w:sz="8" w:color="CFF0FC"/>
            </w:tcBorders>
            <w:shd w:val="clear" w:color="auto" w:fill="CFF0FC"/>
          </w:tcPr>
          <w:p>
            <w:pPr>
              <w:ind w:left="200"/>
              <w:spacing w:after="0" w:line="181" w:lineRule="exact"/>
              <w:rPr>
                <w:sz w:val="20"/>
                <w:szCs w:val="20"/>
                <w:color w:val="auto"/>
              </w:rPr>
            </w:pPr>
            <w:r>
              <w:rPr>
                <w:rFonts w:ascii="Arial" w:cs="Arial" w:eastAsia="Arial" w:hAnsi="Arial"/>
                <w:sz w:val="18"/>
                <w:szCs w:val="18"/>
                <w:color w:val="auto"/>
              </w:rPr>
              <w:t>Total revenues</w:t>
            </w:r>
          </w:p>
        </w:tc>
        <w:tc>
          <w:tcPr>
            <w:tcW w:w="41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1"/>
              <w:spacing w:after="0" w:line="181"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86"/>
              </w:rPr>
              <w:t>186,823</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1"/>
              <w:spacing w:after="0" w:line="181"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157,789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06"/>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100" w:type="dxa"/>
            <w:vAlign w:val="bottom"/>
          </w:tcPr>
          <w:p>
            <w:pPr>
              <w:jc w:val="right"/>
              <w:ind w:right="1971"/>
              <w:spacing w:after="0"/>
              <w:rPr>
                <w:sz w:val="20"/>
                <w:szCs w:val="20"/>
                <w:color w:val="auto"/>
              </w:rPr>
            </w:pPr>
            <w:r>
              <w:rPr>
                <w:rFonts w:ascii="Arial" w:cs="Arial" w:eastAsia="Arial" w:hAnsi="Arial"/>
                <w:sz w:val="18"/>
                <w:szCs w:val="18"/>
                <w:color w:val="auto"/>
              </w:rPr>
              <w:t>28</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5942330</wp:posOffset>
            </wp:positionH>
            <wp:positionV relativeFrom="paragraph">
              <wp:posOffset>-491490</wp:posOffset>
            </wp:positionV>
            <wp:extent cx="425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-474345</wp:posOffset>
            </wp:positionV>
            <wp:extent cx="425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-491490</wp:posOffset>
            </wp:positionV>
            <wp:extent cx="425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-474345</wp:posOffset>
            </wp:positionV>
            <wp:extent cx="425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tbl>
      <w:tblPr>
        <w:tblLayout w:type="fixed"/>
        <w:tblInd w:w="520" w:type="dxa"/>
        <w:tblCellMar>
          <w:top w:w="0" w:type="dxa"/>
          <w:left w:w="0" w:type="dxa"/>
          <w:bottom w:w="0" w:type="dxa"/>
          <w:right w:w="0" w:type="dxa"/>
        </w:tblCellMar>
      </w:tblPr>
      <w:tr>
        <w:trPr>
          <w:trHeight w:val="227"/>
        </w:trPr>
        <w:tc>
          <w:tcPr>
            <w:tcW w:w="7200" w:type="dxa"/>
            <w:vAlign w:val="bottom"/>
            <w:gridSpan w:val="2"/>
          </w:tcPr>
          <w:p>
            <w:pPr>
              <w:spacing w:after="0"/>
              <w:rPr>
                <w:sz w:val="20"/>
                <w:szCs w:val="20"/>
                <w:color w:val="auto"/>
              </w:rPr>
            </w:pPr>
            <w:r>
              <w:rPr>
                <w:rFonts w:ascii="Arial" w:cs="Arial" w:eastAsia="Arial" w:hAnsi="Arial"/>
                <w:sz w:val="18"/>
                <w:szCs w:val="18"/>
                <w:color w:val="auto"/>
              </w:rPr>
              <w:t>Software, equipment and property, net by geographic area are as follows (in thousands):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0"/>
        </w:trPr>
        <w:tc>
          <w:tcPr>
            <w:tcW w:w="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11"/>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December 31,</w:t>
            </w:r>
          </w:p>
        </w:tc>
        <w:tc>
          <w:tcPr>
            <w:tcW w:w="60" w:type="dxa"/>
            <w:vAlign w:val="bottom"/>
          </w:tcPr>
          <w:p>
            <w:pPr>
              <w:spacing w:after="0"/>
              <w:rPr>
                <w:sz w:val="24"/>
                <w:szCs w:val="24"/>
                <w:color w:val="auto"/>
              </w:rPr>
            </w:pPr>
          </w:p>
        </w:tc>
      </w:tr>
      <w:tr>
        <w:trPr>
          <w:trHeight w:val="219"/>
        </w:trPr>
        <w:tc>
          <w:tcPr>
            <w:tcW w:w="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4"/>
        </w:trPr>
        <w:tc>
          <w:tcPr>
            <w:tcW w:w="60" w:type="dxa"/>
            <w:vAlign w:val="bottom"/>
          </w:tcPr>
          <w:p>
            <w:pPr>
              <w:spacing w:after="0"/>
              <w:rPr>
                <w:sz w:val="16"/>
                <w:szCs w:val="16"/>
                <w:color w:val="auto"/>
              </w:rPr>
            </w:pPr>
          </w:p>
        </w:tc>
        <w:tc>
          <w:tcPr>
            <w:tcW w:w="714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139,749</w:t>
            </w: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135,784</w:t>
            </w:r>
          </w:p>
        </w:tc>
        <w:tc>
          <w:tcPr>
            <w:tcW w:w="60" w:type="dxa"/>
            <w:vAlign w:val="bottom"/>
            <w:shd w:val="clear" w:color="auto" w:fill="CFF0FC"/>
          </w:tcPr>
          <w:p>
            <w:pPr>
              <w:spacing w:after="0"/>
              <w:rPr>
                <w:sz w:val="16"/>
                <w:szCs w:val="16"/>
                <w:color w:val="auto"/>
              </w:rPr>
            </w:pPr>
          </w:p>
        </w:tc>
      </w:tr>
      <w:tr>
        <w:trPr>
          <w:trHeight w:val="200"/>
        </w:trPr>
        <w:tc>
          <w:tcPr>
            <w:tcW w:w="60" w:type="dxa"/>
            <w:vAlign w:val="bottom"/>
          </w:tcPr>
          <w:p>
            <w:pPr>
              <w:spacing w:after="0"/>
              <w:rPr>
                <w:sz w:val="17"/>
                <w:szCs w:val="17"/>
                <w:color w:val="auto"/>
              </w:rPr>
            </w:pPr>
          </w:p>
        </w:tc>
        <w:tc>
          <w:tcPr>
            <w:tcW w:w="7140" w:type="dxa"/>
            <w:vAlign w:val="bottom"/>
          </w:tcPr>
          <w:p>
            <w:pPr>
              <w:ind w:left="20"/>
              <w:spacing w:after="0" w:line="201" w:lineRule="exact"/>
              <w:rPr>
                <w:sz w:val="20"/>
                <w:szCs w:val="20"/>
                <w:color w:val="auto"/>
              </w:rPr>
            </w:pPr>
            <w:r>
              <w:rPr>
                <w:rFonts w:ascii="Arial" w:cs="Arial" w:eastAsia="Arial" w:hAnsi="Arial"/>
                <w:sz w:val="18"/>
                <w:szCs w:val="18"/>
                <w:color w:val="auto"/>
              </w:rPr>
              <w:t>China</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52</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61</w:t>
            </w:r>
          </w:p>
        </w:tc>
        <w:tc>
          <w:tcPr>
            <w:tcW w:w="60" w:type="dxa"/>
            <w:vAlign w:val="bottom"/>
          </w:tcPr>
          <w:p>
            <w:pPr>
              <w:spacing w:after="0"/>
              <w:rPr>
                <w:sz w:val="17"/>
                <w:szCs w:val="17"/>
                <w:color w:val="auto"/>
              </w:rPr>
            </w:pPr>
          </w:p>
        </w:tc>
      </w:tr>
      <w:tr>
        <w:trPr>
          <w:trHeight w:val="234"/>
        </w:trPr>
        <w:tc>
          <w:tcPr>
            <w:tcW w:w="60" w:type="dxa"/>
            <w:vAlign w:val="bottom"/>
          </w:tcPr>
          <w:p>
            <w:pPr>
              <w:spacing w:after="0"/>
              <w:rPr>
                <w:sz w:val="20"/>
                <w:szCs w:val="20"/>
                <w:color w:val="auto"/>
              </w:rPr>
            </w:pPr>
          </w:p>
        </w:tc>
        <w:tc>
          <w:tcPr>
            <w:tcW w:w="7140" w:type="dxa"/>
            <w:vAlign w:val="bottom"/>
            <w:tcBorders>
              <w:bottom w:val="single" w:sz="8" w:color="CFF0FC"/>
            </w:tcBorders>
            <w:shd w:val="clear" w:color="auto" w:fill="CFF0FC"/>
          </w:tcPr>
          <w:p>
            <w:pPr>
              <w:ind w:left="200"/>
              <w:spacing w:after="0" w:line="181" w:lineRule="exact"/>
              <w:rPr>
                <w:sz w:val="20"/>
                <w:szCs w:val="20"/>
                <w:color w:val="auto"/>
              </w:rPr>
            </w:pPr>
            <w:r>
              <w:rPr>
                <w:rFonts w:ascii="Arial" w:cs="Arial" w:eastAsia="Arial" w:hAnsi="Arial"/>
                <w:sz w:val="18"/>
                <w:szCs w:val="18"/>
                <w:color w:val="auto"/>
              </w:rPr>
              <w:t>Total software, equipment and property-net</w:t>
            </w:r>
          </w:p>
        </w:tc>
        <w:tc>
          <w:tcPr>
            <w:tcW w:w="260" w:type="dxa"/>
            <w:vAlign w:val="bottom"/>
            <w:tcBorders>
              <w:bottom w:val="single" w:sz="8" w:color="auto"/>
            </w:tcBorders>
            <w:shd w:val="clear" w:color="auto" w:fill="CFF0FC"/>
          </w:tcPr>
          <w:p>
            <w:pPr>
              <w:jc w:val="right"/>
              <w:ind w:right="51"/>
              <w:spacing w:after="0" w:line="181"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139,801</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8"/>
                <w:szCs w:val="18"/>
                <w:color w:val="auto"/>
              </w:rPr>
              <w:t>135,845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5899785</wp:posOffset>
            </wp:positionH>
            <wp:positionV relativeFrom="paragraph">
              <wp:posOffset>-24765</wp:posOffset>
            </wp:positionV>
            <wp:extent cx="425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5899785</wp:posOffset>
            </wp:positionH>
            <wp:positionV relativeFrom="paragraph">
              <wp:posOffset>-7620</wp:posOffset>
            </wp:positionV>
            <wp:extent cx="425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-24765</wp:posOffset>
            </wp:positionV>
            <wp:extent cx="42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-7620</wp:posOffset>
            </wp:positionV>
            <wp:extent cx="425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520" w:hanging="513"/>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GAIN ON SALE OF COST METHOD INVESTMENT</w:t>
      </w:r>
    </w:p>
    <w:p>
      <w:pPr>
        <w:spacing w:after="0" w:line="104" w:lineRule="exact"/>
        <w:rPr>
          <w:rFonts w:ascii="Arial" w:cs="Arial" w:eastAsia="Arial" w:hAnsi="Arial"/>
          <w:sz w:val="18"/>
          <w:szCs w:val="18"/>
          <w:b w:val="1"/>
          <w:bCs w:val="1"/>
          <w:color w:val="auto"/>
        </w:rPr>
      </w:pPr>
    </w:p>
    <w:p>
      <w:pPr>
        <w:ind w:left="520" w:right="240"/>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During February 2022, the Company received cash proceeds of $3.9 million in exchange for its equity interest in an investee as a result of the acquisition of the investee. The Company had been accounting for its investment using the cost method and recognized a gain of $3.6 million upon receipt of the cash. The investment’s carrying value was $0.3 million and was included within other assets on the accompanying condensed consolidated balance sheet at December 31, 2021. The Company no longer has any ownership interest in the investee.</w:t>
      </w:r>
    </w:p>
    <w:p>
      <w:pPr>
        <w:spacing w:after="0" w:line="262" w:lineRule="exact"/>
        <w:rPr>
          <w:rFonts w:ascii="Arial" w:cs="Arial" w:eastAsia="Arial" w:hAnsi="Arial"/>
          <w:sz w:val="18"/>
          <w:szCs w:val="18"/>
          <w:b w:val="1"/>
          <w:bCs w:val="1"/>
          <w:color w:val="auto"/>
        </w:rPr>
      </w:pPr>
    </w:p>
    <w:p>
      <w:pPr>
        <w:ind w:left="520" w:hanging="513"/>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4" w:lineRule="exact"/>
        <w:rPr>
          <w:rFonts w:ascii="Arial" w:cs="Arial" w:eastAsia="Arial" w:hAnsi="Arial"/>
          <w:sz w:val="18"/>
          <w:szCs w:val="18"/>
          <w:b w:val="1"/>
          <w:bCs w:val="1"/>
          <w:color w:val="auto"/>
        </w:rPr>
      </w:pPr>
    </w:p>
    <w:p>
      <w:pPr>
        <w:jc w:val="both"/>
        <w:ind w:left="520"/>
        <w:spacing w:after="0" w:line="237" w:lineRule="auto"/>
        <w:rPr>
          <w:rFonts w:ascii="Arial" w:cs="Arial" w:eastAsia="Arial" w:hAnsi="Arial"/>
          <w:sz w:val="18"/>
          <w:szCs w:val="18"/>
          <w:b w:val="1"/>
          <w:bCs w:val="1"/>
          <w:color w:val="auto"/>
        </w:rPr>
      </w:pPr>
      <w:r>
        <w:rPr>
          <w:rFonts w:ascii="Arial" w:cs="Arial" w:eastAsia="Arial" w:hAnsi="Arial"/>
          <w:sz w:val="18"/>
          <w:szCs w:val="18"/>
          <w:i w:val="1"/>
          <w:iCs w:val="1"/>
          <w:color w:val="auto"/>
        </w:rPr>
        <w:t>Secondary Offering</w:t>
      </w:r>
      <w:r>
        <w:rPr>
          <w:rFonts w:ascii="Arial" w:cs="Arial" w:eastAsia="Arial" w:hAnsi="Arial"/>
          <w:sz w:val="18"/>
          <w:szCs w:val="18"/>
          <w:color w:val="auto"/>
        </w:rPr>
        <w:t>—During April 2022, certain existing shareholders completed a secondary offering where the selling shareholders sold 20,000,000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at a price to the public of $9.70 per share. In addition, the selling shareholders granted the underwriters a 30-day option to purchase up to an additional 3,000,000 shares of the Company’s common stock at the same per share price. The Company did not receive any of the proceeds from the sale of the shares by the existing stockholders. In connection with the offering, the Company incurred costs of $0.9 million during the three months ended March 31, 2022, included within general and administrative expenses on the condensed consolidated statement of operations and comprehensive income (loss).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“Cautionary Note Regarding Forward-Looking Statements” and “Risk Factors” as set forth elsewhere in this Quarterly Report on Form 10-Q.</w:t>
      </w:r>
    </w:p>
    <w:p>
      <w:pPr>
        <w:spacing w:after="0" w:line="177"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i w:val="1"/>
          <w:iCs w:val="1"/>
          <w:color w:val="auto"/>
        </w:rPr>
        <w:t>Unless otherwise indicated or the context otherwise requires, references to “CCC,” the “Company,” “we,” “us,” “our” and other similar terms refer to Cypress Holdings Inc. and its consolidated subsidiaries prior to the Business Combination and to CCC Intelligent Solutions Holdings Inc. and its consolidated subsidiaries after giving effect to the Business Combination.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Founded in 1980, CCC is a leading provider of innovative cloud, mobile, AI, telematics, hyperscale technologies and applications for the property and casualty (“P&amp;C”) insurance economy. Our SaaS platform connects trading partners, facilitates commerce, and supports mission-critical, AI-enabled digital workflows. Leveraging decades of deep domain experience, our industry-leading platform processes more than $100 billion in annual transaction value across this ecosystem, digitizing workflows and connecting more than 30,000 companies across the P&amp;C insurance economy, including insurance carriers, collision repairers, parts suppliers, automotive manufacturers, financial institutions and others.</w:t>
      </w:r>
    </w:p>
    <w:p>
      <w:pPr>
        <w:spacing w:after="0" w:line="177" w:lineRule="exact"/>
        <w:rPr>
          <w:sz w:val="20"/>
          <w:szCs w:val="20"/>
          <w:color w:val="auto"/>
        </w:rPr>
      </w:pPr>
    </w:p>
    <w:p>
      <w:pPr>
        <w:ind w:right="220" w:firstLine="509"/>
        <w:spacing w:after="0" w:line="253" w:lineRule="auto"/>
        <w:rPr>
          <w:sz w:val="20"/>
          <w:szCs w:val="20"/>
          <w:color w:val="auto"/>
        </w:rPr>
      </w:pPr>
      <w:r>
        <w:rPr>
          <w:rFonts w:ascii="Arial" w:cs="Arial" w:eastAsia="Arial" w:hAnsi="Arial"/>
          <w:sz w:val="17"/>
          <w:szCs w:val="17"/>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Direct Repair Programs connect auto insurers and collision repair shops to create business value for both parties, and require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18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believe we have become a leading insurance and repair SaaS provider in the U.S. by increasing the depth and breadth of our SaaS offerings over many years. Our insurance solutions help insurance carriers manage mission-critical workflows, from claims to underwriting, while building smart, dynamic experiences for their own customers. Our software integrates seamlessly with both legacy and modern systems alike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over 27,000 repair facilities through our multi-tenant cloud platform. We believe our software is the architectural backbone of insurance DRP programs and is the primary driver of material revenue for our collision shop customers and a source of material efficiencies for our insurance carrier customers.</w:t>
      </w:r>
    </w:p>
    <w:p>
      <w:pPr>
        <w:spacing w:after="0" w:line="16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automotive manufacturers, and financial institutions.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188"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have processed more than $1 trillion of historical data across our network, allowing us to build proprietary data assets that leverage insurance claims, vehicle repair, automotive parts and other vehicle-specific information. We are uniquely positioned to provide data-driven insights, analytics, and AI-enhanced workflows that strengthen our solutions and improve business outcomes for our customers. Our suite of AI solutions increases automation across existing insurer processes including vehicle damage detection, claim triage, repair estimating, intelligent claims review, and subrogation. We deliver real-world AI with more than 95 U.S. auto insurers actively using AI-powered solutions in production environments. We have processed more than 9 million unique claims using CCC deep learning AI as of December 31, 2021, an increase of more than 80 percent over December 31,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0" w:name="page31"/>
    <w:bookmarkEnd w:id="30"/>
    <w:p>
      <w:pPr>
        <w:ind w:right="240" w:firstLine="509"/>
        <w:spacing w:after="0" w:line="238" w:lineRule="auto"/>
        <w:rPr>
          <w:sz w:val="20"/>
          <w:szCs w:val="20"/>
          <w:color w:val="auto"/>
        </w:rPr>
      </w:pPr>
      <w:r>
        <w:rPr>
          <w:rFonts w:ascii="Arial" w:cs="Arial" w:eastAsia="Arial" w:hAnsi="Arial"/>
          <w:sz w:val="18"/>
          <w:szCs w:val="18"/>
          <w:color w:val="auto"/>
        </w:rPr>
        <w:t>One of the primary obstacles facing the P&amp;C insurance economy is increasing complexity. Complexity in the P&amp;C insurance economy is driven by technological advancements, Internet of Things (“IoT”) data, new business models, and changing customer expectations. We believe digitization plays a critical role in managing this growing complexity while meeting customer expectations. Our technology investments are focused on digitizing complex processes and interactions across our ecosystem, and we believe we are well positioned to power the P&amp;C insurance economy of the future with our data, network, and platform.</w:t>
      </w:r>
    </w:p>
    <w:p>
      <w:pPr>
        <w:spacing w:after="0" w:line="18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While our position in the P&amp;C insurance economy is grounded in the automotive insurance sector, the largest insurance sector in the U.S. representing nearly half of Direct Written Premiums (“DWP”), we believe our integrations and cloud platform are capable of driving innovation across the entire P&amp;C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w:t>
      </w:r>
    </w:p>
    <w:p>
      <w:pPr>
        <w:spacing w:after="0" w:line="17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18 of the top 20 automotive insurance carriers in the U.S., based on DWP, and hundreds of regional carriers. We have more than 30,000 total customers, including over 27,000 automotive collision repair facilities (including repairers and other entities that estimate damaged vehicles), thousands of automotive dealers, 13 of the top 15 automotive manufacturers, based on new vehicle sales, and numerous other companies that participate in the P&amp;C insurance economy.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 and Operating Metrics</w:t>
      </w:r>
    </w:p>
    <w:p>
      <w:pPr>
        <w:spacing w:after="0" w:line="104" w:lineRule="exact"/>
        <w:rPr>
          <w:sz w:val="20"/>
          <w:szCs w:val="20"/>
          <w:color w:val="auto"/>
        </w:rPr>
      </w:pPr>
    </w:p>
    <w:p>
      <w:pPr>
        <w:jc w:val="both"/>
        <w:ind w:right="160" w:firstLine="509"/>
        <w:spacing w:after="0" w:line="243" w:lineRule="auto"/>
        <w:rPr>
          <w:sz w:val="20"/>
          <w:szCs w:val="20"/>
          <w:color w:val="auto"/>
        </w:rPr>
      </w:pPr>
      <w:r>
        <w:rPr>
          <w:rFonts w:ascii="Arial" w:cs="Arial" w:eastAsia="Arial" w:hAnsi="Arial"/>
          <w:sz w:val="18"/>
          <w:szCs w:val="18"/>
          <w:color w:val="auto"/>
        </w:rPr>
        <w:t>In addition to our GAAP and non-GAAP financial measures, we rely on Software Net Dollar Retention Rate (“Software NDR”) and Software Gross Dollar Retention Rate (“Software GDR”) to measure and evaluate our business to make strategic decisions. Software NDR and Software GDR may not be comparable to or calculated in the same way as other similarly titled measures used by other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NDR</w:t>
      </w:r>
    </w:p>
    <w:p>
      <w:pPr>
        <w:spacing w:after="0" w:line="100"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 in the solutions purchased, changes in pricing and transaction volume, but does not reflect revenue for new customers added.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also excludes CCC Casualty which are largely usage and professional service based solutions.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1440" w:type="dxa"/>
            <w:vAlign w:val="bottom"/>
          </w:tcPr>
          <w:p>
            <w:pPr>
              <w:ind w:left="100"/>
              <w:spacing w:after="0"/>
              <w:rPr>
                <w:sz w:val="20"/>
                <w:szCs w:val="20"/>
                <w:color w:val="auto"/>
              </w:rPr>
            </w:pPr>
            <w:r>
              <w:rPr>
                <w:rFonts w:ascii="Arial" w:cs="Arial" w:eastAsia="Arial" w:hAnsi="Arial"/>
                <w:sz w:val="18"/>
                <w:szCs w:val="18"/>
                <w:b w:val="1"/>
                <w:bCs w:val="1"/>
                <w:color w:val="auto"/>
              </w:rPr>
              <w:t>Quarter Ending</w:t>
            </w:r>
          </w:p>
        </w:tc>
        <w:tc>
          <w:tcPr>
            <w:tcW w:w="158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580" w:type="dxa"/>
            <w:vAlign w:val="bottom"/>
            <w:gridSpan w:val="2"/>
          </w:tcPr>
          <w:p>
            <w:pPr>
              <w:jc w:val="center"/>
              <w:ind w:left="51"/>
              <w:spacing w:after="0"/>
              <w:rPr>
                <w:sz w:val="20"/>
                <w:szCs w:val="20"/>
                <w:color w:val="auto"/>
              </w:rPr>
            </w:pPr>
            <w:r>
              <w:rPr>
                <w:rFonts w:ascii="Arial" w:cs="Arial" w:eastAsia="Arial" w:hAnsi="Arial"/>
                <w:sz w:val="18"/>
                <w:szCs w:val="18"/>
                <w:b w:val="1"/>
                <w:bCs w:val="1"/>
                <w:color w:val="auto"/>
                <w:w w:val="89"/>
              </w:rPr>
              <w:t>2021</w:t>
            </w:r>
          </w:p>
        </w:tc>
      </w:tr>
      <w:tr>
        <w:trPr>
          <w:trHeight w:val="194"/>
        </w:trPr>
        <w:tc>
          <w:tcPr>
            <w:tcW w:w="664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Software NDR</w:t>
            </w:r>
          </w:p>
        </w:tc>
        <w:tc>
          <w:tcPr>
            <w:tcW w:w="1440" w:type="dxa"/>
            <w:vAlign w:val="bottom"/>
            <w:tcBorders>
              <w:top w:val="single" w:sz="8" w:color="auto"/>
            </w:tcBorders>
            <w:shd w:val="clear" w:color="auto" w:fill="CFF0FC"/>
          </w:tcPr>
          <w:p>
            <w:pPr>
              <w:spacing w:after="0" w:line="194" w:lineRule="exact"/>
              <w:rPr>
                <w:sz w:val="20"/>
                <w:szCs w:val="20"/>
                <w:color w:val="auto"/>
              </w:rPr>
            </w:pPr>
            <w:r>
              <w:rPr>
                <w:rFonts w:ascii="Arial" w:cs="Arial" w:eastAsia="Arial" w:hAnsi="Arial"/>
                <w:sz w:val="18"/>
                <w:szCs w:val="18"/>
                <w:color w:val="auto"/>
              </w:rPr>
              <w:t>March 31</w:t>
            </w:r>
          </w:p>
        </w:tc>
        <w:tc>
          <w:tcPr>
            <w:tcW w:w="160" w:type="dxa"/>
            <w:vAlign w:val="bottom"/>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right"/>
              <w:ind w:right="411"/>
              <w:spacing w:after="0" w:line="194" w:lineRule="exact"/>
              <w:rPr>
                <w:sz w:val="20"/>
                <w:szCs w:val="20"/>
                <w:color w:val="auto"/>
              </w:rPr>
            </w:pPr>
            <w:r>
              <w:rPr>
                <w:rFonts w:ascii="Arial" w:cs="Arial" w:eastAsia="Arial" w:hAnsi="Arial"/>
                <w:sz w:val="18"/>
                <w:szCs w:val="18"/>
                <w:color w:val="auto"/>
              </w:rPr>
              <w:t>114%</w:t>
            </w:r>
          </w:p>
        </w:tc>
        <w:tc>
          <w:tcPr>
            <w:tcW w:w="160" w:type="dxa"/>
            <w:vAlign w:val="bottom"/>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center"/>
              <w:spacing w:after="0" w:line="194" w:lineRule="exact"/>
              <w:rPr>
                <w:sz w:val="20"/>
                <w:szCs w:val="20"/>
                <w:color w:val="auto"/>
              </w:rPr>
            </w:pPr>
            <w:r>
              <w:rPr>
                <w:rFonts w:ascii="Arial" w:cs="Arial" w:eastAsia="Arial" w:hAnsi="Arial"/>
                <w:sz w:val="18"/>
                <w:szCs w:val="18"/>
                <w:color w:val="auto"/>
                <w:w w:val="91"/>
              </w:rPr>
              <w:t>106%</w:t>
            </w:r>
          </w:p>
        </w:tc>
      </w:tr>
      <w:tr>
        <w:trPr>
          <w:trHeight w:val="200"/>
        </w:trPr>
        <w:tc>
          <w:tcPr>
            <w:tcW w:w="664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gridSpan w:val="2"/>
          </w:tcPr>
          <w:p>
            <w:pPr>
              <w:jc w:val="center"/>
              <w:ind w:left="71"/>
              <w:spacing w:after="0" w:line="201" w:lineRule="exact"/>
              <w:rPr>
                <w:sz w:val="20"/>
                <w:szCs w:val="20"/>
                <w:color w:val="auto"/>
              </w:rPr>
            </w:pPr>
            <w:r>
              <w:rPr>
                <w:rFonts w:ascii="Arial" w:cs="Arial" w:eastAsia="Arial" w:hAnsi="Arial"/>
                <w:sz w:val="18"/>
                <w:szCs w:val="18"/>
                <w:color w:val="auto"/>
                <w:w w:val="91"/>
              </w:rPr>
              <w:t>110%</w:t>
            </w:r>
          </w:p>
        </w:tc>
      </w:tr>
      <w:tr>
        <w:trPr>
          <w:trHeight w:val="200"/>
        </w:trPr>
        <w:tc>
          <w:tcPr>
            <w:tcW w:w="66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September 30</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center"/>
              <w:ind w:left="71"/>
              <w:spacing w:after="0" w:line="201" w:lineRule="exact"/>
              <w:rPr>
                <w:sz w:val="20"/>
                <w:szCs w:val="20"/>
                <w:color w:val="auto"/>
              </w:rPr>
            </w:pPr>
            <w:r>
              <w:rPr>
                <w:rFonts w:ascii="Arial" w:cs="Arial" w:eastAsia="Arial" w:hAnsi="Arial"/>
                <w:sz w:val="18"/>
                <w:szCs w:val="18"/>
                <w:color w:val="auto"/>
                <w:w w:val="91"/>
              </w:rPr>
              <w:t>113%</w:t>
            </w:r>
          </w:p>
        </w:tc>
      </w:tr>
      <w:tr>
        <w:trPr>
          <w:trHeight w:val="227"/>
        </w:trPr>
        <w:tc>
          <w:tcPr>
            <w:tcW w:w="664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gridSpan w:val="2"/>
          </w:tcPr>
          <w:p>
            <w:pPr>
              <w:jc w:val="center"/>
              <w:ind w:left="71"/>
              <w:spacing w:after="0"/>
              <w:rPr>
                <w:sz w:val="20"/>
                <w:szCs w:val="20"/>
                <w:color w:val="auto"/>
              </w:rPr>
            </w:pPr>
            <w:r>
              <w:rPr>
                <w:rFonts w:ascii="Arial" w:cs="Arial" w:eastAsia="Arial" w:hAnsi="Arial"/>
                <w:sz w:val="18"/>
                <w:szCs w:val="18"/>
                <w:color w:val="auto"/>
                <w:w w:val="91"/>
              </w:rPr>
              <w:t>115%</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GDR</w:t>
      </w:r>
    </w:p>
    <w:p>
      <w:pPr>
        <w:spacing w:after="0" w:line="100"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1" w:name="page32"/>
    <w:bookmarkEnd w:id="31"/>
    <w:p>
      <w:pPr>
        <w:ind w:right="80"/>
        <w:spacing w:after="0" w:line="266" w:lineRule="auto"/>
        <w:rPr>
          <w:sz w:val="20"/>
          <w:szCs w:val="20"/>
          <w:color w:val="auto"/>
        </w:rPr>
      </w:pPr>
      <w:r>
        <w:rPr>
          <w:rFonts w:ascii="Arial" w:cs="Arial" w:eastAsia="Arial" w:hAnsi="Arial"/>
          <w:sz w:val="16"/>
          <w:szCs w:val="16"/>
          <w:color w:val="auto"/>
        </w:rPr>
        <w:t>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which represent less than 5% of total revenue within these sales channels). Our Software GDR includes carriers and shops who subscribe to our auto physical damage solutions, which account for most of the Company’s revenue, and excludes revenue from diagnostic providers, smaller emerging solutions with international subsidiaries or other ecosystem solutions, such as parts suppliers and other automotive manufacturers, and excludes CCC’s casualty solutions which are largely usage and professional service based solutions.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1440" w:type="dxa"/>
            <w:vAlign w:val="bottom"/>
          </w:tcPr>
          <w:p>
            <w:pPr>
              <w:ind w:left="100"/>
              <w:spacing w:after="0"/>
              <w:rPr>
                <w:sz w:val="20"/>
                <w:szCs w:val="20"/>
                <w:color w:val="auto"/>
              </w:rPr>
            </w:pPr>
            <w:r>
              <w:rPr>
                <w:rFonts w:ascii="Arial" w:cs="Arial" w:eastAsia="Arial" w:hAnsi="Arial"/>
                <w:sz w:val="18"/>
                <w:szCs w:val="18"/>
                <w:b w:val="1"/>
                <w:bCs w:val="1"/>
                <w:color w:val="auto"/>
              </w:rPr>
              <w:t>Quarter Ending</w:t>
            </w:r>
          </w:p>
        </w:tc>
        <w:tc>
          <w:tcPr>
            <w:tcW w:w="1580" w:type="dxa"/>
            <w:vAlign w:val="bottom"/>
            <w:gridSpan w:val="2"/>
          </w:tcPr>
          <w:p>
            <w:pPr>
              <w:jc w:val="right"/>
              <w:ind w:right="451"/>
              <w:spacing w:after="0"/>
              <w:rPr>
                <w:sz w:val="20"/>
                <w:szCs w:val="20"/>
                <w:color w:val="auto"/>
              </w:rPr>
            </w:pPr>
            <w:r>
              <w:rPr>
                <w:rFonts w:ascii="Arial" w:cs="Arial" w:eastAsia="Arial" w:hAnsi="Arial"/>
                <w:sz w:val="18"/>
                <w:szCs w:val="18"/>
                <w:b w:val="1"/>
                <w:bCs w:val="1"/>
                <w:color w:val="auto"/>
              </w:rPr>
              <w:t>2022</w:t>
            </w:r>
          </w:p>
        </w:tc>
        <w:tc>
          <w:tcPr>
            <w:tcW w:w="1580" w:type="dxa"/>
            <w:vAlign w:val="bottom"/>
            <w:gridSpan w:val="2"/>
          </w:tcPr>
          <w:p>
            <w:pPr>
              <w:jc w:val="center"/>
              <w:ind w:left="51"/>
              <w:spacing w:after="0"/>
              <w:rPr>
                <w:sz w:val="20"/>
                <w:szCs w:val="20"/>
                <w:color w:val="auto"/>
              </w:rPr>
            </w:pPr>
            <w:r>
              <w:rPr>
                <w:rFonts w:ascii="Arial" w:cs="Arial" w:eastAsia="Arial" w:hAnsi="Arial"/>
                <w:sz w:val="18"/>
                <w:szCs w:val="18"/>
                <w:b w:val="1"/>
                <w:bCs w:val="1"/>
                <w:color w:val="auto"/>
                <w:w w:val="89"/>
              </w:rPr>
              <w:t>2021</w:t>
            </w:r>
          </w:p>
        </w:tc>
      </w:tr>
      <w:tr>
        <w:trPr>
          <w:trHeight w:val="194"/>
        </w:trPr>
        <w:tc>
          <w:tcPr>
            <w:tcW w:w="664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Software GDR</w:t>
            </w:r>
          </w:p>
        </w:tc>
        <w:tc>
          <w:tcPr>
            <w:tcW w:w="1440" w:type="dxa"/>
            <w:vAlign w:val="bottom"/>
            <w:tcBorders>
              <w:top w:val="single" w:sz="8" w:color="auto"/>
            </w:tcBorders>
            <w:shd w:val="clear" w:color="auto" w:fill="CFF0FC"/>
          </w:tcPr>
          <w:p>
            <w:pPr>
              <w:spacing w:after="0" w:line="194" w:lineRule="exact"/>
              <w:rPr>
                <w:sz w:val="20"/>
                <w:szCs w:val="20"/>
                <w:color w:val="auto"/>
              </w:rPr>
            </w:pPr>
            <w:r>
              <w:rPr>
                <w:rFonts w:ascii="Arial" w:cs="Arial" w:eastAsia="Arial" w:hAnsi="Arial"/>
                <w:sz w:val="18"/>
                <w:szCs w:val="18"/>
                <w:color w:val="auto"/>
              </w:rPr>
              <w:t>March 31</w:t>
            </w:r>
          </w:p>
        </w:tc>
        <w:tc>
          <w:tcPr>
            <w:tcW w:w="160" w:type="dxa"/>
            <w:vAlign w:val="bottom"/>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right"/>
              <w:ind w:right="451"/>
              <w:spacing w:after="0" w:line="194" w:lineRule="exact"/>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jc w:val="center"/>
              <w:spacing w:after="0" w:line="194" w:lineRule="exact"/>
              <w:rPr>
                <w:sz w:val="20"/>
                <w:szCs w:val="20"/>
                <w:color w:val="auto"/>
              </w:rPr>
            </w:pPr>
            <w:r>
              <w:rPr>
                <w:rFonts w:ascii="Arial" w:cs="Arial" w:eastAsia="Arial" w:hAnsi="Arial"/>
                <w:sz w:val="18"/>
                <w:szCs w:val="18"/>
                <w:color w:val="auto"/>
                <w:w w:val="88"/>
              </w:rPr>
              <w:t>98%</w:t>
            </w:r>
          </w:p>
        </w:tc>
      </w:tr>
      <w:tr>
        <w:trPr>
          <w:trHeight w:val="200"/>
        </w:trPr>
        <w:tc>
          <w:tcPr>
            <w:tcW w:w="664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gridSpan w:val="2"/>
          </w:tcPr>
          <w:p>
            <w:pPr>
              <w:jc w:val="center"/>
              <w:ind w:left="51"/>
              <w:spacing w:after="0" w:line="201" w:lineRule="exact"/>
              <w:rPr>
                <w:sz w:val="20"/>
                <w:szCs w:val="20"/>
                <w:color w:val="auto"/>
              </w:rPr>
            </w:pPr>
            <w:r>
              <w:rPr>
                <w:rFonts w:ascii="Arial" w:cs="Arial" w:eastAsia="Arial" w:hAnsi="Arial"/>
                <w:sz w:val="18"/>
                <w:szCs w:val="18"/>
                <w:color w:val="auto"/>
                <w:w w:val="88"/>
              </w:rPr>
              <w:t>98%</w:t>
            </w:r>
          </w:p>
        </w:tc>
      </w:tr>
      <w:tr>
        <w:trPr>
          <w:trHeight w:val="200"/>
        </w:trPr>
        <w:tc>
          <w:tcPr>
            <w:tcW w:w="66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September 30</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center"/>
              <w:ind w:left="51"/>
              <w:spacing w:after="0" w:line="201" w:lineRule="exact"/>
              <w:rPr>
                <w:sz w:val="20"/>
                <w:szCs w:val="20"/>
                <w:color w:val="auto"/>
              </w:rPr>
            </w:pPr>
            <w:r>
              <w:rPr>
                <w:rFonts w:ascii="Arial" w:cs="Arial" w:eastAsia="Arial" w:hAnsi="Arial"/>
                <w:sz w:val="18"/>
                <w:szCs w:val="18"/>
                <w:color w:val="auto"/>
                <w:w w:val="88"/>
              </w:rPr>
              <w:t>98%</w:t>
            </w:r>
          </w:p>
        </w:tc>
      </w:tr>
      <w:tr>
        <w:trPr>
          <w:trHeight w:val="227"/>
        </w:trPr>
        <w:tc>
          <w:tcPr>
            <w:tcW w:w="664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80" w:type="dxa"/>
            <w:vAlign w:val="bottom"/>
            <w:gridSpan w:val="2"/>
          </w:tcPr>
          <w:p>
            <w:pPr>
              <w:jc w:val="center"/>
              <w:ind w:left="51"/>
              <w:spacing w:after="0"/>
              <w:rPr>
                <w:sz w:val="20"/>
                <w:szCs w:val="20"/>
                <w:color w:val="auto"/>
              </w:rPr>
            </w:pPr>
            <w:r>
              <w:rPr>
                <w:rFonts w:ascii="Arial" w:cs="Arial" w:eastAsia="Arial" w:hAnsi="Arial"/>
                <w:sz w:val="18"/>
                <w:szCs w:val="18"/>
                <w:color w:val="auto"/>
                <w:w w:val="88"/>
              </w:rPr>
              <w:t>98%</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i w:val="1"/>
          <w:iCs w:val="1"/>
          <w:color w:val="auto"/>
        </w:rPr>
        <w:t>Business Acquisition</w:t>
      </w:r>
      <w:r>
        <w:rPr>
          <w:rFonts w:ascii="Arial" w:cs="Arial" w:eastAsia="Arial" w:hAnsi="Arial"/>
          <w:sz w:val="16"/>
          <w:szCs w:val="16"/>
          <w:color w:val="auto"/>
        </w:rPr>
        <w:t>—On February 8, 2022, the Company completed its acquisition of Safekeep, Inc. (“Safekeep”), a privately held company that leverages</w:t>
      </w:r>
      <w:r>
        <w:rPr>
          <w:rFonts w:ascii="Arial" w:cs="Arial" w:eastAsia="Arial" w:hAnsi="Arial"/>
          <w:sz w:val="16"/>
          <w:szCs w:val="16"/>
          <w:i w:val="1"/>
          <w:iCs w:val="1"/>
          <w:color w:val="auto"/>
        </w:rPr>
        <w:t xml:space="preserve"> </w:t>
      </w:r>
      <w:r>
        <w:rPr>
          <w:rFonts w:ascii="Arial" w:cs="Arial" w:eastAsia="Arial" w:hAnsi="Arial"/>
          <w:sz w:val="16"/>
          <w:szCs w:val="16"/>
          <w:color w:val="auto"/>
        </w:rPr>
        <w:t>AI to streamline and improve subrogation management across auto, property, workers’ compensation and other insurance lines of business.</w:t>
      </w:r>
    </w:p>
    <w:p>
      <w:pPr>
        <w:spacing w:after="0" w:line="2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In exchange for all the outstanding shares of Safekeep, the Company paid total cash consideration of $32.3 million upon closing, subject to adjustment for certain post-closing indemnities. As additional consideration for the shares, the acquisition agreement includes a contingent earnout for additional cash consideration based on the achievement of certain revenue targets during the year ending December 31, 2024.</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see Note 4 to the condensed consolidated financial statements included elsewhere in this Quarterly Report on Form 10-Q.</w:t>
      </w:r>
    </w:p>
    <w:p>
      <w:pPr>
        <w:spacing w:after="0" w:line="1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auto"/>
        </w:rPr>
        <w:t>Secondary Offering</w:t>
      </w:r>
      <w:r>
        <w:rPr>
          <w:rFonts w:ascii="Arial" w:cs="Arial" w:eastAsia="Arial" w:hAnsi="Arial"/>
          <w:sz w:val="18"/>
          <w:szCs w:val="18"/>
          <w:color w:val="auto"/>
        </w:rPr>
        <w:t>—During April 2022, certain existing shareholders completed a secondary offering where the selling shareholders sold 20,000,000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at a price to the public of $9.70 per share. In addition, the selling shareholders granted the underwriters a 30-day option to purchase up to an additional 3,000,000 shares of the Company’s common stock at the same per share price. The Company did not receive proceeds from the sale of these shares by the existing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04"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Revenue is derived from the sale of software subscriptions and other revenue, primarily professional services. Software subscription revenues are comprised of fees from customers for the right to use the hosted software over the contract period without taking possession of the software. These revenues are billed on either a subscription or transactional basis with subscription revenue recognized ratably over the contract period and transactional revenue recognized when the transaction for the related service occurs. We generally invoice software subscription agreements monthly either in advance or in arrears, over the subscription period. Software subscription revenue accounted for $179.8 million and $152.0 million, or 96% and 96%, of total revenue during the three months ended March 31, 2022 and 2021, respectively.</w:t>
      </w:r>
    </w:p>
    <w:p>
      <w:pPr>
        <w:spacing w:after="0" w:line="190"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Other revenues include fees from customers for the Company’s professional services and non-software services and are recognized in the period the service is performed.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of acquired technologies</w:t>
      </w:r>
    </w:p>
    <w:p>
      <w:pPr>
        <w:spacing w:after="0" w:line="100" w:lineRule="exact"/>
        <w:rPr>
          <w:sz w:val="20"/>
          <w:szCs w:val="20"/>
          <w:color w:val="auto"/>
        </w:rPr>
      </w:pPr>
    </w:p>
    <w:p>
      <w:pPr>
        <w:ind w:right="780" w:firstLine="509"/>
        <w:spacing w:after="0" w:line="284" w:lineRule="auto"/>
        <w:rPr>
          <w:sz w:val="20"/>
          <w:szCs w:val="20"/>
          <w:color w:val="auto"/>
        </w:rPr>
      </w:pPr>
      <w:r>
        <w:rPr>
          <w:rFonts w:ascii="Arial" w:cs="Arial" w:eastAsia="Arial" w:hAnsi="Arial"/>
          <w:sz w:val="17"/>
          <w:szCs w:val="17"/>
          <w:color w:val="auto"/>
        </w:rPr>
        <w:t>These costs include costs of software subscription and professional services revenue. Our cost of software subscription revenue is primarily comprised of cloud infrastructure costs, software production costs, information technology (“IT”) security costs, license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right="80"/>
        <w:spacing w:after="0" w:line="265" w:lineRule="auto"/>
        <w:rPr>
          <w:sz w:val="20"/>
          <w:szCs w:val="20"/>
          <w:color w:val="auto"/>
        </w:rPr>
      </w:pPr>
      <w:r>
        <w:rPr>
          <w:rFonts w:ascii="Arial" w:cs="Arial" w:eastAsia="Arial" w:hAnsi="Arial"/>
          <w:sz w:val="17"/>
          <w:szCs w:val="17"/>
          <w:color w:val="auto"/>
        </w:rPr>
        <w:t>and royalty fees paid to third parties and personnel-related expenses, including salaries, other direct personnel-related costs and stock-based compensation, and depreciation expense. We expect cost of revenue, exclusive of amortization of acquired intangibles, to increase in absolute dollars as we continue to hire personnel, require additional cloud infrastructure and incur higher royalty fees in support of our revenue growth.</w:t>
      </w:r>
    </w:p>
    <w:p>
      <w:pPr>
        <w:spacing w:after="0" w:line="1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cost of other revenue is primarily comprised of personnel-related expenses for our customer support teams and contractors, including salaries, direct personnel-related costs and stock-based compensation, and fees paid to third parties. We expect our cost of other revenue to increase in absolute dollars in support of our revenue growth.</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amortize to cost of revenue the capitalized costs of technologies acquired in connection with historical acquisitions.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are categorized into the following categories: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00" w:lineRule="exact"/>
        <w:rPr>
          <w:sz w:val="20"/>
          <w:szCs w:val="20"/>
          <w:color w:val="auto"/>
        </w:rPr>
      </w:pPr>
    </w:p>
    <w:p>
      <w:pPr>
        <w:jc w:val="both"/>
        <w:ind w:right="500" w:firstLine="509"/>
        <w:spacing w:after="0" w:line="265" w:lineRule="auto"/>
        <w:rPr>
          <w:sz w:val="20"/>
          <w:szCs w:val="20"/>
          <w:color w:val="auto"/>
        </w:rPr>
      </w:pPr>
      <w:r>
        <w:rPr>
          <w:rFonts w:ascii="Arial" w:cs="Arial" w:eastAsia="Arial" w:hAnsi="Arial"/>
          <w:sz w:val="17"/>
          <w:szCs w:val="17"/>
          <w:color w:val="auto"/>
        </w:rPr>
        <w:t>Our research and development expenses consist primarily of personnel-related costs, including stock-based compensation, and costs of external development resources involved in the engineering, design and development of new solutions, as well as expenses associated with significant ongoing improvements to existing solutions. Research and development expenses also include costs for certain IT expenses.</w:t>
      </w:r>
    </w:p>
    <w:p>
      <w:pPr>
        <w:spacing w:after="0" w:line="16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Research and development costs, other than software development costs qualifying for capitalization, are expensed as incurred. Capitalized software development costs consist primarily of personnel-related costs.</w:t>
      </w:r>
    </w:p>
    <w:p>
      <w:pPr>
        <w:spacing w:after="0" w:line="175" w:lineRule="exact"/>
        <w:rPr>
          <w:sz w:val="20"/>
          <w:szCs w:val="20"/>
          <w:color w:val="auto"/>
        </w:rPr>
      </w:pPr>
    </w:p>
    <w:p>
      <w:pPr>
        <w:jc w:val="both"/>
        <w:ind w:right="560" w:firstLine="509"/>
        <w:spacing w:after="0" w:line="243" w:lineRule="auto"/>
        <w:rPr>
          <w:sz w:val="20"/>
          <w:szCs w:val="20"/>
          <w:color w:val="auto"/>
        </w:rPr>
      </w:pPr>
      <w:r>
        <w:rPr>
          <w:rFonts w:ascii="Arial" w:cs="Arial" w:eastAsia="Arial" w:hAnsi="Arial"/>
          <w:sz w:val="18"/>
          <w:szCs w:val="18"/>
          <w:color w:val="auto"/>
        </w:rPr>
        <w:t>We expect research and development expenses, excluding stock-based compensation, to increase in absolute dollars as we continue to dedicate substantial resources to develop, improve and expand the functionality of our solutions. We also expect an increase in the rate of capitalization of our investments in research and development for the foreseeable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100"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Our selling and marketing expenses consist primarily of personnel-related costs for our sales and marketing functions, including sales commissions and stock-based compensation. Additionally, selling and marketing expenses include advertising costs, marketing costs and event costs, including the Company’s annual industry conference, generally held annually in the second quarter.</w:t>
      </w:r>
    </w:p>
    <w:p>
      <w:pPr>
        <w:spacing w:after="0" w:line="18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expect our selling and marketing expenses, excluding stock-based compensation, to increase on an absolute dollar basis as we continue to increase investments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0"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Our general and administrative expenses consist primarily of personnel-related costs, including stock-based compensation, for our executive management and administrative employees, including finance and accounting, human resources, information technology, facilities and legal functions. Additionally, general and administrative expenses include professional service fees, insurance premiums, and other corporate expenses that are not allocated to the above expense categories.</w:t>
      </w:r>
    </w:p>
    <w:p>
      <w:pPr>
        <w:spacing w:after="0" w:line="19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expect our general and administrative expenses, excluding stock-based compensation, to increase in absolute dollars as we continue to expand our operations, hire additional personnel, and incur costs as a public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10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amortization of intangible assets consists of the capitalized costs of customer relationships and favorable lease terms acquired in connection with historical acquisitions.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Non-operating income (expense) is categorized into the following categories: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0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Interest expense comprises interest expense accrued or paid on our indebtedness. We expect interest expense to vary each reporting period depending on the amount of outstanding indebtedness and prevailing interest rates.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Change in Fair Value of Interest Rate Swaps</w:t>
      </w:r>
    </w:p>
    <w:p>
      <w:pPr>
        <w:spacing w:after="0" w:line="100" w:lineRule="exact"/>
        <w:rPr>
          <w:sz w:val="20"/>
          <w:szCs w:val="20"/>
          <w:color w:val="auto"/>
        </w:rPr>
      </w:pPr>
    </w:p>
    <w:p>
      <w:pPr>
        <w:ind w:right="300" w:firstLine="509"/>
        <w:spacing w:after="0" w:line="255" w:lineRule="auto"/>
        <w:rPr>
          <w:sz w:val="20"/>
          <w:szCs w:val="20"/>
          <w:color w:val="auto"/>
        </w:rPr>
      </w:pPr>
      <w:r>
        <w:rPr>
          <w:rFonts w:ascii="Arial" w:cs="Arial" w:eastAsia="Arial" w:hAnsi="Arial"/>
          <w:sz w:val="18"/>
          <w:szCs w:val="18"/>
          <w:color w:val="auto"/>
        </w:rPr>
        <w:t>Gain (loss) on change in fair value of interest rate swaps comprises fair value adjustments of our interest rate swap agreements at the end of each reporting period.</w:t>
      </w:r>
    </w:p>
    <w:p>
      <w:pPr>
        <w:spacing w:after="0" w:line="17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September 2021, we extinguished the interest rate swaps and do not expect to recognize any gain or loss on the change in fair value of interest rate swaps in subsequent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Cost Method Investment</w:t>
      </w:r>
    </w:p>
    <w:p>
      <w:pPr>
        <w:spacing w:after="0" w:line="100"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Gain on sale of cost method investment comprises the gain recognized at the time of sale for the Company's cost method investment. Subsequent to the sale in February 2022, the Company no longer has investments accounted for using the cost method.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10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Change in fair value of warrant liabilities comprises fair value adjustments of the Private Warrants assumed in connection with the Business Combination. We expect the change in fair value of warrant liabilities to vary each reporting period depending on the fair value adjustments and number of exercises of outstanding Private Warrants during each reporting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00"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Other income (expense), net consists primarily of interest income on the Company’s cash balances and foreign currency transaction gains and losses related to the impact of transactions denominated in a foreign currency.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10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Income tax benefit consists of U.S. and state income taxes and income taxes in certain foreign jurisdictions in which we conduct business. Earnings from our non-U.S. activities are subject to local country income tax and may be subject to current U.S. income tax. Due to cumulative losses, we maintain a full valuation allowance for deferred tax assets for our operations in foreign jurisdictions. We expect to maintain this full valuation allowance for the foreseeable future.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to the Three Months Ended March 31, 2021</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646"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9"/>
        </w:trPr>
        <w:tc>
          <w:tcPr>
            <w:tcW w:w="5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 except share and per share data)</w:t>
            </w:r>
          </w:p>
        </w:tc>
        <w:tc>
          <w:tcPr>
            <w:tcW w:w="140" w:type="dxa"/>
            <w:vAlign w:val="bottom"/>
          </w:tcPr>
          <w:p>
            <w:pPr>
              <w:spacing w:after="0"/>
              <w:rPr>
                <w:sz w:val="19"/>
                <w:szCs w:val="19"/>
                <w:color w:val="auto"/>
              </w:rPr>
            </w:pPr>
          </w:p>
        </w:tc>
        <w:tc>
          <w:tcPr>
            <w:tcW w:w="2880" w:type="dxa"/>
            <w:vAlign w:val="bottom"/>
            <w:gridSpan w:val="5"/>
          </w:tcPr>
          <w:p>
            <w:pPr>
              <w:jc w:val="right"/>
              <w:ind w:right="311"/>
              <w:spacing w:after="0"/>
              <w:rPr>
                <w:sz w:val="20"/>
                <w:szCs w:val="20"/>
                <w:color w:val="auto"/>
              </w:rPr>
            </w:pPr>
            <w:r>
              <w:rPr>
                <w:rFonts w:ascii="Arial" w:cs="Arial" w:eastAsia="Arial" w:hAnsi="Arial"/>
                <w:sz w:val="18"/>
                <w:szCs w:val="18"/>
                <w:b w:val="1"/>
                <w:bCs w:val="1"/>
                <w:color w:val="auto"/>
                <w:w w:val="92"/>
              </w:rPr>
              <w:t>Three Months Ended March 31,</w:t>
            </w:r>
          </w:p>
        </w:tc>
        <w:tc>
          <w:tcPr>
            <w:tcW w:w="34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0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71"/>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71"/>
              <w:spacing w:after="0" w:line="194"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71"/>
              <w:spacing w:after="0" w:line="194"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351"/>
              <w:spacing w:after="0" w:line="194"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980" w:type="dxa"/>
            <w:vAlign w:val="bottom"/>
            <w:tcBorders>
              <w:top w:val="single" w:sz="8" w:color="auto"/>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Revenues</w:t>
            </w:r>
          </w:p>
        </w:tc>
        <w:tc>
          <w:tcPr>
            <w:tcW w:w="5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186,823</w:t>
            </w:r>
          </w:p>
        </w:tc>
        <w:tc>
          <w:tcPr>
            <w:tcW w:w="22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157,789</w:t>
            </w:r>
          </w:p>
        </w:tc>
        <w:tc>
          <w:tcPr>
            <w:tcW w:w="2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29,034</w:t>
            </w:r>
          </w:p>
        </w:tc>
        <w:tc>
          <w:tcPr>
            <w:tcW w:w="2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60"/>
        </w:trPr>
        <w:tc>
          <w:tcPr>
            <w:tcW w:w="5500" w:type="dxa"/>
            <w:vAlign w:val="bottom"/>
            <w:gridSpan w:val="2"/>
          </w:tcPr>
          <w:p>
            <w:pPr>
              <w:ind w:left="380"/>
              <w:spacing w:after="0" w:line="160" w:lineRule="exact"/>
              <w:rPr>
                <w:sz w:val="20"/>
                <w:szCs w:val="20"/>
                <w:color w:val="auto"/>
              </w:rPr>
            </w:pPr>
            <w:r>
              <w:rPr>
                <w:rFonts w:ascii="Arial" w:cs="Arial" w:eastAsia="Arial" w:hAnsi="Arial"/>
                <w:sz w:val="18"/>
                <w:szCs w:val="18"/>
                <w:color w:val="auto"/>
              </w:rPr>
              <w:t>Cost of revenues, exclusive of amortization of</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42,701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38,013</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4,688</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4"/>
        </w:trPr>
        <w:tc>
          <w:tcPr>
            <w:tcW w:w="5500" w:type="dxa"/>
            <w:vAlign w:val="bottom"/>
            <w:gridSpan w:val="2"/>
          </w:tcPr>
          <w:p>
            <w:pPr>
              <w:ind w:left="500"/>
              <w:spacing w:after="0"/>
              <w:rPr>
                <w:sz w:val="20"/>
                <w:szCs w:val="20"/>
                <w:color w:val="auto"/>
              </w:rPr>
            </w:pPr>
            <w:r>
              <w:rPr>
                <w:rFonts w:ascii="Arial" w:cs="Arial" w:eastAsia="Arial" w:hAnsi="Arial"/>
                <w:sz w:val="18"/>
                <w:szCs w:val="18"/>
                <w:color w:val="auto"/>
              </w:rPr>
              <w:t>acquired technologies</w:t>
            </w: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00" w:type="dxa"/>
            <w:vAlign w:val="bottom"/>
            <w:tcBorders>
              <w:bottom w:val="single" w:sz="8" w:color="CFF0FC"/>
            </w:tcBorders>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Amortization of acquired technologies</w:t>
            </w: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6,695</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6,580</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115</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4"/>
        </w:trPr>
        <w:tc>
          <w:tcPr>
            <w:tcW w:w="5500" w:type="dxa"/>
            <w:vAlign w:val="bottom"/>
            <w:gridSpan w:val="2"/>
          </w:tcPr>
          <w:p>
            <w:pPr>
              <w:ind w:left="20"/>
              <w:spacing w:after="0" w:line="193"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49,396</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44,593</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4,803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194"/>
        </w:trPr>
        <w:tc>
          <w:tcPr>
            <w:tcW w:w="5500" w:type="dxa"/>
            <w:vAlign w:val="bottom"/>
            <w:gridSpan w:val="2"/>
            <w:shd w:val="clear" w:color="auto" w:fill="CFF0FC"/>
          </w:tcPr>
          <w:p>
            <w:pPr>
              <w:ind w:left="20"/>
              <w:spacing w:after="0" w:line="194"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137,427</w:t>
            </w: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113,196</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24,231</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line="194" w:lineRule="exact"/>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0"/>
        </w:trPr>
        <w:tc>
          <w:tcPr>
            <w:tcW w:w="5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380"/>
              <w:spacing w:after="0" w:line="20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35,681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30,624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5,057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0"/>
        </w:trPr>
        <w:tc>
          <w:tcPr>
            <w:tcW w:w="5500" w:type="dxa"/>
            <w:vAlign w:val="bottom"/>
            <w:gridSpan w:val="2"/>
          </w:tcPr>
          <w:p>
            <w:pPr>
              <w:ind w:left="380"/>
              <w:spacing w:after="0" w:line="200"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26,802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19,417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7,385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380"/>
              <w:spacing w:after="0" w:line="20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44,207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37,839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6,368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0"/>
        </w:trPr>
        <w:tc>
          <w:tcPr>
            <w:tcW w:w="55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18,080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18,077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194"/>
        </w:trPr>
        <w:tc>
          <w:tcPr>
            <w:tcW w:w="5500" w:type="dxa"/>
            <w:vAlign w:val="bottom"/>
            <w:tcBorders>
              <w:bottom w:val="single" w:sz="8" w:color="CFF0FC"/>
            </w:tcBorders>
            <w:gridSpan w:val="2"/>
            <w:shd w:val="clear" w:color="auto" w:fill="CFF0FC"/>
          </w:tcPr>
          <w:p>
            <w:pPr>
              <w:ind w:left="20"/>
              <w:spacing w:after="0" w:line="194"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124,770</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105,957</w:t>
            </w:r>
          </w:p>
        </w:tc>
        <w:tc>
          <w:tcPr>
            <w:tcW w:w="2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18,813</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194"/>
        </w:trPr>
        <w:tc>
          <w:tcPr>
            <w:tcW w:w="550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12,657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8"/>
                <w:szCs w:val="18"/>
                <w:color w:val="auto"/>
              </w:rPr>
              <w:t>7,239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Arial" w:cs="Arial" w:eastAsia="Arial" w:hAnsi="Arial"/>
                <w:sz w:val="18"/>
                <w:szCs w:val="18"/>
                <w:color w:val="auto"/>
              </w:rPr>
              <w:t>5,418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74.8 %</w:t>
            </w: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20"/>
              <w:spacing w:after="0" w:line="201"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7"/>
                <w:szCs w:val="17"/>
                <w:color w:val="auto"/>
              </w:rPr>
            </w:pPr>
          </w:p>
        </w:tc>
        <w:tc>
          <w:tcPr>
            <w:tcW w:w="1360" w:type="dxa"/>
            <w:vAlign w:val="bottom"/>
            <w:gridSpan w:val="2"/>
          </w:tcPr>
          <w:p>
            <w:pPr>
              <w:jc w:val="right"/>
              <w:ind w:right="51"/>
              <w:spacing w:after="0" w:line="201" w:lineRule="exact"/>
              <w:rPr>
                <w:sz w:val="20"/>
                <w:szCs w:val="20"/>
                <w:color w:val="auto"/>
              </w:rPr>
            </w:pPr>
            <w:r>
              <w:rPr>
                <w:rFonts w:ascii="Arial" w:cs="Arial" w:eastAsia="Arial" w:hAnsi="Arial"/>
                <w:sz w:val="18"/>
                <w:szCs w:val="18"/>
                <w:color w:val="auto"/>
              </w:rPr>
              <w:t>(7,341 )</w:t>
            </w:r>
          </w:p>
        </w:tc>
        <w:tc>
          <w:tcPr>
            <w:tcW w:w="240" w:type="dxa"/>
            <w:vAlign w:val="bottom"/>
          </w:tcPr>
          <w:p>
            <w:pPr>
              <w:spacing w:after="0"/>
              <w:rPr>
                <w:sz w:val="17"/>
                <w:szCs w:val="17"/>
                <w:color w:val="auto"/>
              </w:rPr>
            </w:pPr>
          </w:p>
        </w:tc>
        <w:tc>
          <w:tcPr>
            <w:tcW w:w="128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(18,766 )</w:t>
            </w:r>
          </w:p>
        </w:tc>
        <w:tc>
          <w:tcPr>
            <w:tcW w:w="3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11,425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160"/>
        </w:trPr>
        <w:tc>
          <w:tcPr>
            <w:tcW w:w="5500" w:type="dxa"/>
            <w:vAlign w:val="bottom"/>
            <w:gridSpan w:val="2"/>
            <w:shd w:val="clear" w:color="auto" w:fill="CFF0FC"/>
          </w:tcPr>
          <w:p>
            <w:pPr>
              <w:ind w:left="380"/>
              <w:spacing w:after="0" w:line="160" w:lineRule="exact"/>
              <w:rPr>
                <w:sz w:val="20"/>
                <w:szCs w:val="20"/>
                <w:color w:val="auto"/>
              </w:rPr>
            </w:pPr>
            <w:r>
              <w:rPr>
                <w:rFonts w:ascii="Arial" w:cs="Arial" w:eastAsia="Arial" w:hAnsi="Arial"/>
                <w:sz w:val="18"/>
                <w:szCs w:val="18"/>
                <w:color w:val="auto"/>
              </w:rPr>
              <w:t>Gain on change in fair value of interest rate</w:t>
            </w:r>
          </w:p>
        </w:tc>
        <w:tc>
          <w:tcPr>
            <w:tcW w:w="140" w:type="dxa"/>
            <w:vAlign w:val="bottom"/>
            <w:shd w:val="clear" w:color="auto" w:fill="CFF0FC"/>
          </w:tcPr>
          <w:p>
            <w:pPr>
              <w:spacing w:after="0"/>
              <w:rPr>
                <w:sz w:val="13"/>
                <w:szCs w:val="13"/>
                <w:color w:val="auto"/>
              </w:rPr>
            </w:pPr>
          </w:p>
        </w:tc>
        <w:tc>
          <w:tcPr>
            <w:tcW w:w="1360" w:type="dxa"/>
            <w:vAlign w:val="bottom"/>
            <w:gridSpan w:val="2"/>
            <w:vMerge w:val="restart"/>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(3,277 )</w:t>
            </w:r>
          </w:p>
        </w:tc>
        <w:tc>
          <w:tcPr>
            <w:tcW w:w="30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4"/>
        </w:trPr>
        <w:tc>
          <w:tcPr>
            <w:tcW w:w="5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swaps</w:t>
            </w:r>
          </w:p>
        </w:tc>
        <w:tc>
          <w:tcPr>
            <w:tcW w:w="140" w:type="dxa"/>
            <w:vAlign w:val="bottom"/>
            <w:shd w:val="clear" w:color="auto" w:fill="CFF0FC"/>
          </w:tcPr>
          <w:p>
            <w:pPr>
              <w:spacing w:after="0"/>
              <w:rPr>
                <w:sz w:val="18"/>
                <w:szCs w:val="18"/>
                <w:color w:val="auto"/>
              </w:rPr>
            </w:pPr>
          </w:p>
        </w:tc>
        <w:tc>
          <w:tcPr>
            <w:tcW w:w="136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2,136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2,136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31"/>
              <w:spacing w:after="0" w:line="201"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Gain on sale of cost method investment</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3,578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1"/>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3,578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0"/>
        </w:trPr>
        <w:tc>
          <w:tcPr>
            <w:tcW w:w="55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(5 )</w:t>
            </w:r>
          </w:p>
        </w:tc>
        <w:tc>
          <w:tcPr>
            <w:tcW w:w="30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94"/>
        </w:trPr>
        <w:tc>
          <w:tcPr>
            <w:tcW w:w="5500" w:type="dxa"/>
            <w:vAlign w:val="bottom"/>
            <w:gridSpan w:val="2"/>
            <w:shd w:val="clear" w:color="auto" w:fill="CFF0FC"/>
          </w:tcPr>
          <w:p>
            <w:pPr>
              <w:ind w:left="20"/>
              <w:spacing w:after="0" w:line="194" w:lineRule="exact"/>
              <w:rPr>
                <w:sz w:val="20"/>
                <w:szCs w:val="20"/>
                <w:color w:val="auto"/>
              </w:rPr>
            </w:pPr>
            <w:r>
              <w:rPr>
                <w:rFonts w:ascii="Arial" w:cs="Arial" w:eastAsia="Arial" w:hAnsi="Arial"/>
                <w:sz w:val="18"/>
                <w:szCs w:val="18"/>
                <w:color w:val="auto"/>
              </w:rPr>
              <w:t>Total other income (expense)</w:t>
            </w:r>
          </w:p>
        </w:tc>
        <w:tc>
          <w:tcPr>
            <w:tcW w:w="14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(1,545</w:t>
            </w:r>
          </w:p>
        </w:tc>
        <w:tc>
          <w:tcPr>
            <w:tcW w:w="220" w:type="dxa"/>
            <w:vAlign w:val="bottom"/>
            <w:shd w:val="clear" w:color="auto" w:fill="CFF0FC"/>
          </w:tcPr>
          <w:p>
            <w:pPr>
              <w:jc w:val="right"/>
              <w:ind w:right="51"/>
              <w:spacing w:after="0" w:line="194"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(15,402</w:t>
            </w:r>
          </w:p>
        </w:tc>
        <w:tc>
          <w:tcPr>
            <w:tcW w:w="240" w:type="dxa"/>
            <w:vAlign w:val="bottom"/>
            <w:shd w:val="clear" w:color="auto" w:fill="CFF0FC"/>
          </w:tcPr>
          <w:p>
            <w:pPr>
              <w:jc w:val="right"/>
              <w:ind w:right="71"/>
              <w:spacing w:after="0" w:line="194"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13,857</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spacing w:after="0" w:line="194" w:lineRule="exact"/>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200"/>
        </w:trPr>
        <w:tc>
          <w:tcPr>
            <w:tcW w:w="5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11,112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(8,163 )</w:t>
            </w:r>
          </w:p>
        </w:tc>
        <w:tc>
          <w:tcPr>
            <w:tcW w:w="3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19,275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131"/>
              <w:spacing w:after="0" w:line="201"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Income tax benefit</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863</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3,079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line="201" w:lineRule="exact"/>
              <w:rPr>
                <w:sz w:val="20"/>
                <w:szCs w:val="20"/>
                <w:color w:val="auto"/>
              </w:rPr>
            </w:pPr>
            <w:r>
              <w:rPr>
                <w:rFonts w:ascii="Arial" w:cs="Arial" w:eastAsia="Arial" w:hAnsi="Arial"/>
                <w:sz w:val="18"/>
                <w:szCs w:val="18"/>
                <w:color w:val="auto"/>
              </w:rPr>
              <w:t>(2,216 )</w:t>
            </w:r>
          </w:p>
        </w:tc>
        <w:tc>
          <w:tcPr>
            <w:tcW w:w="3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31"/>
              <w:spacing w:after="0" w:line="201"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CFF0FC"/>
          </w:tcPr>
          <w:p>
            <w:pPr>
              <w:spacing w:after="0" w:line="20" w:lineRule="exact"/>
              <w:rPr>
                <w:sz w:val="1"/>
                <w:szCs w:val="1"/>
                <w:color w:val="auto"/>
              </w:rPr>
            </w:pPr>
          </w:p>
        </w:tc>
        <w:tc>
          <w:tcPr>
            <w:tcW w:w="1140" w:type="dxa"/>
            <w:vAlign w:val="bottom"/>
            <w:tcBorders>
              <w:bottom w:val="single" w:sz="8" w:color="auto"/>
            </w:tcBorders>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00" w:type="dxa"/>
            <w:vAlign w:val="bottom"/>
            <w:gridSpan w:val="2"/>
          </w:tcPr>
          <w:p>
            <w:pPr>
              <w:ind w:left="20"/>
              <w:spacing w:after="0" w:line="174" w:lineRule="exact"/>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line="181"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1" w:lineRule="exact"/>
              <w:rPr>
                <w:sz w:val="20"/>
                <w:szCs w:val="20"/>
                <w:color w:val="auto"/>
              </w:rPr>
            </w:pPr>
            <w:r>
              <w:rPr>
                <w:rFonts w:ascii="Arial" w:cs="Arial" w:eastAsia="Arial" w:hAnsi="Arial"/>
                <w:sz w:val="18"/>
                <w:szCs w:val="18"/>
                <w:color w:val="auto"/>
              </w:rPr>
              <w:t>11,975</w:t>
            </w:r>
          </w:p>
        </w:tc>
        <w:tc>
          <w:tcPr>
            <w:tcW w:w="220" w:type="dxa"/>
            <w:vAlign w:val="bottom"/>
          </w:tcPr>
          <w:p>
            <w:pPr>
              <w:spacing w:after="0"/>
              <w:rPr>
                <w:sz w:val="16"/>
                <w:szCs w:val="16"/>
                <w:color w:val="auto"/>
              </w:rPr>
            </w:pPr>
          </w:p>
        </w:tc>
        <w:tc>
          <w:tcPr>
            <w:tcW w:w="240" w:type="dxa"/>
            <w:vAlign w:val="bottom"/>
          </w:tcPr>
          <w:p>
            <w:pPr>
              <w:jc w:val="right"/>
              <w:ind w:right="51"/>
              <w:spacing w:after="0" w:line="174"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1"/>
              <w:spacing w:after="0" w:line="174" w:lineRule="exact"/>
              <w:rPr>
                <w:sz w:val="20"/>
                <w:szCs w:val="20"/>
                <w:color w:val="auto"/>
              </w:rPr>
            </w:pPr>
            <w:r>
              <w:rPr>
                <w:rFonts w:ascii="Arial" w:cs="Arial" w:eastAsia="Arial" w:hAnsi="Arial"/>
                <w:sz w:val="18"/>
                <w:szCs w:val="18"/>
                <w:color w:val="auto"/>
              </w:rPr>
              <w:t>(5,084 )</w:t>
            </w:r>
          </w:p>
        </w:tc>
        <w:tc>
          <w:tcPr>
            <w:tcW w:w="340" w:type="dxa"/>
            <w:vAlign w:val="bottom"/>
          </w:tcPr>
          <w:p>
            <w:pPr>
              <w:jc w:val="right"/>
              <w:ind w:right="151"/>
              <w:spacing w:after="0" w:line="174"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74" w:lineRule="exact"/>
              <w:rPr>
                <w:sz w:val="20"/>
                <w:szCs w:val="20"/>
                <w:color w:val="auto"/>
              </w:rPr>
            </w:pPr>
            <w:r>
              <w:rPr>
                <w:rFonts w:ascii="Arial" w:cs="Arial" w:eastAsia="Arial" w:hAnsi="Arial"/>
                <w:sz w:val="18"/>
                <w:szCs w:val="18"/>
                <w:color w:val="auto"/>
              </w:rPr>
              <w:t>17,059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gridSpan w:val="2"/>
          </w:tcPr>
          <w:p>
            <w:pPr>
              <w:jc w:val="right"/>
              <w:ind w:right="131"/>
              <w:spacing w:after="0" w:line="181"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500" w:type="dxa"/>
            <w:vAlign w:val="bottom"/>
            <w:gridSpan w:val="2"/>
            <w:shd w:val="clear" w:color="auto" w:fill="CFF0FC"/>
          </w:tcPr>
          <w:p>
            <w:pPr>
              <w:ind w:left="20"/>
              <w:spacing w:after="0" w:line="141" w:lineRule="exact"/>
              <w:rPr>
                <w:sz w:val="20"/>
                <w:szCs w:val="20"/>
                <w:color w:val="auto"/>
              </w:rPr>
            </w:pPr>
            <w:r>
              <w:rPr>
                <w:rFonts w:ascii="Arial" w:cs="Arial" w:eastAsia="Arial" w:hAnsi="Arial"/>
                <w:sz w:val="16"/>
                <w:szCs w:val="16"/>
                <w:color w:val="auto"/>
              </w:rPr>
              <w:t>Net income (loss) per share attributable to common</w:t>
            </w: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5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240" w:type="dxa"/>
            <w:vAlign w:val="bottom"/>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1"/>
              <w:spacing w:after="0" w:line="201" w:lineRule="exact"/>
              <w:rPr>
                <w:sz w:val="20"/>
                <w:szCs w:val="20"/>
                <w:color w:val="auto"/>
              </w:rPr>
            </w:pPr>
            <w:r>
              <w:rPr>
                <w:rFonts w:ascii="Arial" w:cs="Arial" w:eastAsia="Arial" w:hAnsi="Arial"/>
                <w:sz w:val="18"/>
                <w:szCs w:val="18"/>
                <w:color w:val="auto"/>
              </w:rPr>
              <w:t>(0.01 )</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0.02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1"/>
              <w:spacing w:after="0" w:line="201"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71"/>
              <w:spacing w:after="0" w:line="201" w:lineRule="exact"/>
              <w:rPr>
                <w:sz w:val="20"/>
                <w:szCs w:val="20"/>
                <w:color w:val="auto"/>
              </w:rPr>
            </w:pPr>
            <w:r>
              <w:rPr>
                <w:rFonts w:ascii="Arial" w:cs="Arial" w:eastAsia="Arial" w:hAnsi="Arial"/>
                <w:sz w:val="18"/>
                <w:szCs w:val="18"/>
                <w:color w:val="auto"/>
              </w:rPr>
              <w:t>(0.01 )</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500" w:type="dxa"/>
            <w:vAlign w:val="bottom"/>
            <w:gridSpan w:val="2"/>
          </w:tcPr>
          <w:p>
            <w:pPr>
              <w:ind w:left="20"/>
              <w:spacing w:after="0" w:line="160" w:lineRule="exact"/>
              <w:rPr>
                <w:sz w:val="20"/>
                <w:szCs w:val="20"/>
                <w:color w:val="auto"/>
              </w:rPr>
            </w:pPr>
            <w:r>
              <w:rPr>
                <w:rFonts w:ascii="Arial" w:cs="Arial" w:eastAsia="Arial" w:hAnsi="Arial"/>
                <w:sz w:val="18"/>
                <w:szCs w:val="18"/>
                <w:color w:val="auto"/>
              </w:rPr>
              <w:t>Weighted-average shares used in computing net</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gridSpan w:val="2"/>
          </w:tcPr>
          <w:p>
            <w:pPr>
              <w:ind w:left="160"/>
              <w:spacing w:after="0" w:line="174" w:lineRule="exact"/>
              <w:rPr>
                <w:sz w:val="20"/>
                <w:szCs w:val="20"/>
                <w:color w:val="auto"/>
              </w:rPr>
            </w:pPr>
            <w:r>
              <w:rPr>
                <w:rFonts w:ascii="Arial" w:cs="Arial" w:eastAsia="Arial" w:hAnsi="Arial"/>
                <w:sz w:val="18"/>
                <w:szCs w:val="18"/>
                <w:color w:val="auto"/>
              </w:rPr>
              <w:t>income (loss) per share attributable to common</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500" w:type="dxa"/>
            <w:vAlign w:val="bottom"/>
            <w:gridSpan w:val="2"/>
          </w:tcPr>
          <w:p>
            <w:pPr>
              <w:ind w:left="160"/>
              <w:spacing w:after="0"/>
              <w:rPr>
                <w:sz w:val="20"/>
                <w:szCs w:val="20"/>
                <w:color w:val="auto"/>
              </w:rPr>
            </w:pPr>
            <w:r>
              <w:rPr>
                <w:rFonts w:ascii="Arial" w:cs="Arial" w:eastAsia="Arial" w:hAnsi="Arial"/>
                <w:sz w:val="18"/>
                <w:szCs w:val="18"/>
                <w:color w:val="auto"/>
              </w:rPr>
              <w:t>stockholders: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0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603,104,839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505,072,914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641,028,410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505,072,914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-3719830</wp:posOffset>
            </wp:positionV>
            <wp:extent cx="596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-3719830</wp:posOffset>
            </wp:positionV>
            <wp:extent cx="5969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-3719830</wp:posOffset>
            </wp:positionV>
            <wp:extent cx="508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-2676525</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-2676525</wp:posOffset>
            </wp:positionV>
            <wp:extent cx="5969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-2676525</wp:posOffset>
            </wp:positionV>
            <wp:extent cx="508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800" cy="571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-1276985</wp:posOffset>
            </wp:positionV>
            <wp:extent cx="5969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6188075</wp:posOffset>
            </wp:positionH>
            <wp:positionV relativeFrom="paragraph">
              <wp:posOffset>-1276985</wp:posOffset>
            </wp:positionV>
            <wp:extent cx="508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340" w:lineRule="exact"/>
        <w:rPr>
          <w:sz w:val="20"/>
          <w:szCs w:val="20"/>
          <w:color w:val="auto"/>
        </w:rPr>
      </w:pPr>
    </w:p>
    <w:p>
      <w:pPr>
        <w:ind w:left="20" w:right="6840"/>
        <w:spacing w:after="0" w:line="193" w:lineRule="auto"/>
        <w:tabs>
          <w:tab w:leader="none" w:pos="248" w:val="left"/>
        </w:tabs>
        <w:numPr>
          <w:ilvl w:val="0"/>
          <w:numId w:val="32"/>
        </w:numPr>
        <w:rPr>
          <w:rFonts w:ascii="Arial" w:cs="Arial" w:eastAsia="Arial" w:hAnsi="Arial"/>
          <w:sz w:val="24"/>
          <w:szCs w:val="24"/>
          <w:color w:val="auto"/>
          <w:vertAlign w:val="superscript"/>
        </w:rPr>
      </w:pPr>
      <w:r>
        <w:rPr>
          <w:rFonts w:ascii="Arial" w:cs="Arial" w:eastAsia="Arial" w:hAnsi="Arial"/>
          <w:sz w:val="18"/>
          <w:szCs w:val="18"/>
          <w:color w:val="auto"/>
        </w:rPr>
        <w:t>Includes stock-based compensation expense as follows (in thousands):</w:t>
      </w:r>
    </w:p>
    <w:tbl>
      <w:tblPr>
        <w:tblLayout w:type="fixed"/>
        <w:tblInd w:w="0" w:type="dxa"/>
        <w:tblCellMar>
          <w:top w:w="0" w:type="dxa"/>
          <w:left w:w="0" w:type="dxa"/>
          <w:bottom w:w="0" w:type="dxa"/>
          <w:right w:w="0" w:type="dxa"/>
        </w:tblCellMar>
      </w:tblPr>
      <w:tr>
        <w:trPr>
          <w:trHeight w:val="200"/>
        </w:trPr>
        <w:tc>
          <w:tcPr>
            <w:tcW w:w="5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71"/>
              <w:spacing w:after="0" w:line="201" w:lineRule="exact"/>
              <w:rPr>
                <w:sz w:val="20"/>
                <w:szCs w:val="20"/>
                <w:color w:val="auto"/>
              </w:rPr>
            </w:pPr>
            <w:r>
              <w:rPr>
                <w:rFonts w:ascii="Arial" w:cs="Arial" w:eastAsia="Arial" w:hAnsi="Arial"/>
                <w:sz w:val="18"/>
                <w:szCs w:val="18"/>
                <w:b w:val="1"/>
                <w:bCs w:val="1"/>
                <w:color w:val="auto"/>
                <w:w w:val="92"/>
              </w:rPr>
              <w:t>Three Months Ended 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00" w:type="dxa"/>
            <w:vAlign w:val="bottom"/>
            <w:vMerge w:val="restart"/>
          </w:tcPr>
          <w:p>
            <w:pPr>
              <w:ind w:left="2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1"/>
              <w:spacing w:after="0" w:line="194"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line="194"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500" w:type="dxa"/>
            <w:vAlign w:val="bottom"/>
            <w:vMerge w:val="continue"/>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849</w:t>
            </w:r>
          </w:p>
        </w:tc>
        <w:tc>
          <w:tcPr>
            <w:tcW w:w="220" w:type="dxa"/>
            <w:vAlign w:val="bottom"/>
          </w:tcPr>
          <w:p>
            <w:pPr>
              <w:spacing w:after="0"/>
              <w:rPr>
                <w:sz w:val="16"/>
                <w:szCs w:val="16"/>
                <w:color w:val="auto"/>
              </w:rPr>
            </w:pPr>
          </w:p>
        </w:tc>
        <w:tc>
          <w:tcPr>
            <w:tcW w:w="280" w:type="dxa"/>
            <w:vAlign w:val="bottom"/>
          </w:tcPr>
          <w:p>
            <w:pPr>
              <w:jc w:val="right"/>
              <w:ind w:right="91"/>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50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3,530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Pr>
          <w:p>
            <w:pPr>
              <w:ind w:left="20"/>
              <w:spacing w:after="0" w:line="201"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4,830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555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00" w:type="dxa"/>
            <w:vAlign w:val="bottom"/>
            <w:tcBorders>
              <w:bottom w:val="single" w:sz="8" w:color="CFF0FC"/>
            </w:tcBorders>
            <w:shd w:val="clear" w:color="auto" w:fill="CFF0FC"/>
          </w:tcPr>
          <w:p>
            <w:pPr>
              <w:ind w:left="20"/>
              <w:spacing w:after="0" w:line="201" w:lineRule="exact"/>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14,435</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11,305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500" w:type="dxa"/>
            <w:vAlign w:val="bottom"/>
          </w:tcPr>
          <w:p>
            <w:pPr>
              <w:ind w:left="20"/>
              <w:spacing w:after="0" w:line="194" w:lineRule="exact"/>
              <w:rPr>
                <w:sz w:val="20"/>
                <w:szCs w:val="20"/>
                <w:color w:val="auto"/>
              </w:rPr>
            </w:pPr>
            <w:r>
              <w:rPr>
                <w:rFonts w:ascii="Arial" w:cs="Arial" w:eastAsia="Arial" w:hAnsi="Arial"/>
                <w:sz w:val="18"/>
                <w:szCs w:val="18"/>
                <w:color w:val="auto"/>
              </w:rPr>
              <w:t>Total stock-based compensation expense</w:t>
            </w:r>
          </w:p>
        </w:tc>
        <w:tc>
          <w:tcPr>
            <w:tcW w:w="140" w:type="dxa"/>
            <w:vAlign w:val="bottom"/>
          </w:tcPr>
          <w:p>
            <w:pPr>
              <w:jc w:val="right"/>
              <w:spacing w:after="0" w:line="194"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4" w:lineRule="exact"/>
              <w:rPr>
                <w:sz w:val="20"/>
                <w:szCs w:val="20"/>
                <w:color w:val="auto"/>
              </w:rPr>
            </w:pPr>
            <w:r>
              <w:rPr>
                <w:rFonts w:ascii="Arial" w:cs="Arial" w:eastAsia="Arial" w:hAnsi="Arial"/>
                <w:sz w:val="18"/>
                <w:szCs w:val="18"/>
                <w:color w:val="auto"/>
              </w:rPr>
              <w:t>23,644</w:t>
            </w:r>
          </w:p>
        </w:tc>
        <w:tc>
          <w:tcPr>
            <w:tcW w:w="500" w:type="dxa"/>
            <w:vAlign w:val="bottom"/>
            <w:gridSpan w:val="2"/>
          </w:tcPr>
          <w:p>
            <w:pPr>
              <w:jc w:val="right"/>
              <w:ind w:right="91"/>
              <w:spacing w:after="0" w:line="194"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4" w:lineRule="exact"/>
              <w:rPr>
                <w:sz w:val="20"/>
                <w:szCs w:val="20"/>
                <w:color w:val="auto"/>
              </w:rPr>
            </w:pPr>
            <w:r>
              <w:rPr>
                <w:rFonts w:ascii="Arial" w:cs="Arial" w:eastAsia="Arial" w:hAnsi="Arial"/>
                <w:sz w:val="18"/>
                <w:szCs w:val="18"/>
                <w:color w:val="auto"/>
              </w:rPr>
              <w:t>12,654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-157480</wp:posOffset>
            </wp:positionV>
            <wp:extent cx="5969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-157480</wp:posOffset>
            </wp:positionV>
            <wp:extent cx="5969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NM—Not Meaningful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0" w:lineRule="exact"/>
        <w:rPr>
          <w:sz w:val="20"/>
          <w:szCs w:val="20"/>
          <w:color w:val="auto"/>
        </w:rPr>
      </w:pPr>
    </w:p>
    <w:p>
      <w:pPr>
        <w:jc w:val="both"/>
        <w:ind w:right="240" w:firstLine="509"/>
        <w:spacing w:after="0" w:line="243" w:lineRule="auto"/>
        <w:rPr>
          <w:sz w:val="20"/>
          <w:szCs w:val="20"/>
          <w:color w:val="auto"/>
        </w:rPr>
      </w:pPr>
      <w:r>
        <w:rPr>
          <w:rFonts w:ascii="Arial" w:cs="Arial" w:eastAsia="Arial" w:hAnsi="Arial"/>
          <w:sz w:val="18"/>
          <w:szCs w:val="18"/>
          <w:color w:val="auto"/>
        </w:rPr>
        <w:t>Revenue increased by $29.0 million to $186.8 million, or 18.4%, for the three months ended March 31, 2022, compared to the three months ended March 31, 2021. The increase in revenue was primarily a result of 15% growth from existing customer upgrades and expanding solution offerings to these existing customers as well as 3% growth from new customers.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0"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Cost of revenues increased by $4.8 million to $49.4 million, or 10.8%, for the three months ended March 31, 2022, compared to the three months ended March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exclusive of amortization of acquired technologies</w:t>
      </w:r>
    </w:p>
    <w:p>
      <w:pPr>
        <w:spacing w:after="0" w:line="100" w:lineRule="exact"/>
        <w:rPr>
          <w:sz w:val="20"/>
          <w:szCs w:val="20"/>
          <w:color w:val="auto"/>
        </w:rPr>
      </w:pPr>
    </w:p>
    <w:p>
      <w:pPr>
        <w:jc w:val="both"/>
        <w:ind w:right="180" w:firstLine="509"/>
        <w:spacing w:after="0" w:line="265" w:lineRule="auto"/>
        <w:rPr>
          <w:sz w:val="20"/>
          <w:szCs w:val="20"/>
          <w:color w:val="auto"/>
        </w:rPr>
      </w:pPr>
      <w:r>
        <w:rPr>
          <w:rFonts w:ascii="Arial" w:cs="Arial" w:eastAsia="Arial" w:hAnsi="Arial"/>
          <w:sz w:val="17"/>
          <w:szCs w:val="17"/>
          <w:color w:val="auto"/>
        </w:rPr>
        <w:t>Cost of revenues, exclusive of amortization of acquired technologies, increased $4.7 million to $42.7 million, or 12.3%, for the three months ended March 31, 2022, compared to the three months ended March 31, 2021. The increase was due to a $1.6 million increase in personnel costs, including stock-based compensation, a $1.8 million increase in third party license and royalty fees and a $0.8 million increase in consulting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Technologies</w:t>
      </w:r>
    </w:p>
    <w:p>
      <w:pPr>
        <w:spacing w:after="0" w:line="10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Amortization of acquired technologies was $6.7 million for the three months ended March 31, 2022, compared to a $6.6 million for the three months ended March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Gross profit increased by $24.2 million to $137.4 million, or 21.4%, for the three months ended March 31, 2022, compared to the three months ended March 31, 2021. Our gross profit margin increased to 73.6% for the three months ended March 31, 2022 compared to 71.7% for the three months ended March 31, 2021. The increase in both gross profit and gross profit margin was due to increased software subscription revenues and economies of scale resulting from fixed cost arrangements.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00"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Research and development expense increased by $5.1 million to $35.7 million, or 16.5%, for the three months ended March 31, 2022, compared to the three months ended March 31, 2021. The increase was due to a $6.4 million increase in personnel costs, including stock-based compensation, a $1.0 million increase in consulting costs, and a $0.9 million increase in IT costs, partially offset by a $3.6 million increase in the amount of capitalized time on development projects.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00"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Selling and marketing expense increased by $7.4 million to $26.8 million, or 38.0%, for the three months ended March 31, 2022, compared to the three months ended March 31, 2021. The increase was primarily due to a $6.5 million increase in personnel costs, including stock-based compensation, sales incentives and employee travel costs, a $0.3 million increase in marketing and event costs and a $0.3 million increase in consulting costs.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General and administrative expense increased by $6.4 million to $44.2 million, or 16.8%, for the three months ended March 31, 2022, compared to the three months ended March 31, 2021. The increase was primarily due to a $3.7 million increase in personnel costs, including stock-based compensation, a $1.8 million increase in insurance costs and a $0.8 million increase in loss on disposal of software, equipment and property associated with the closure of the Company's previous headquarters in March 2022.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intangible assets was $18.1 million during the three months ended March 31, 2022 and 2021.</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0" w:lineRule="exact"/>
        <w:rPr>
          <w:sz w:val="20"/>
          <w:szCs w:val="20"/>
          <w:color w:val="auto"/>
        </w:rPr>
      </w:pPr>
    </w:p>
    <w:p>
      <w:pPr>
        <w:jc w:val="both"/>
        <w:ind w:right="320" w:firstLine="509"/>
        <w:spacing w:after="0" w:line="317" w:lineRule="auto"/>
        <w:rPr>
          <w:sz w:val="20"/>
          <w:szCs w:val="20"/>
          <w:color w:val="auto"/>
        </w:rPr>
      </w:pPr>
      <w:r>
        <w:rPr>
          <w:rFonts w:ascii="Arial" w:cs="Arial" w:eastAsia="Arial" w:hAnsi="Arial"/>
          <w:sz w:val="16"/>
          <w:szCs w:val="16"/>
          <w:color w:val="auto"/>
        </w:rPr>
        <w:t>Interest expense decreased by $11.4 million to $7.3 million, or 60.9%, for the three months ended March 31, 2022, compared to the three months ended March 31, 2021 primarily due to less outstanding long-term debt and a lower variable interest rate during the three months ended March 31,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Change in Fair Value of Interest Rate Swaps</w:t>
      </w:r>
    </w:p>
    <w:p>
      <w:pPr>
        <w:spacing w:after="0" w:line="10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gain recognized during the three months ended March 31, 2021 was due to the proximity of the maturity date of the swap agreements prior to the extinguishment of the interest rate swaps in September 2021.</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46"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Gain on Sale of Cost Method Investment</w:t>
      </w:r>
    </w:p>
    <w:p>
      <w:pPr>
        <w:spacing w:after="0" w:line="10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Gain on sale of cost method investment was $3.6 million for the three months ended March 31, 2022. The gain recognized was due to the $3.9 million payment received in exchange for its equity interest in an investee as a result of the acquisition of the investee. The Company did not recognize any gain or loss on sale of cost method investment during the three months ended March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10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Change in fair value of warrant liabilities was $2.1 million for the three months ended March 31, 2022. The warrant liabilities were recorded as part of the Business Combination and therefore did not exist during the three months ended March 31, 2021. The income from the change in fair value was due to the decrease in the estimated fair value of the Private Warrants, primarily from the lower price of the Company's common stock at March 31, 2022, compared to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0" w:lineRule="exact"/>
        <w:rPr>
          <w:sz w:val="20"/>
          <w:szCs w:val="20"/>
          <w:color w:val="auto"/>
        </w:rPr>
      </w:pPr>
    </w:p>
    <w:p>
      <w:pPr>
        <w:ind w:right="240" w:firstLine="509"/>
        <w:spacing w:after="0" w:line="265" w:lineRule="auto"/>
        <w:rPr>
          <w:sz w:val="20"/>
          <w:szCs w:val="20"/>
          <w:color w:val="auto"/>
        </w:rPr>
      </w:pPr>
      <w:r>
        <w:rPr>
          <w:rFonts w:ascii="Arial" w:cs="Arial" w:eastAsia="Arial" w:hAnsi="Arial"/>
          <w:sz w:val="17"/>
          <w:szCs w:val="17"/>
          <w:color w:val="auto"/>
        </w:rPr>
        <w:t>Income tax benefit was $0.9 million for the three months ended March 31, 2022, compared to $3.1 million for the three months ended March 31, 2021. The change in the income tax benefit was due to the Company having pretax income during the three months ended March 31, 2022, reduced by the tax benefits of discrete items, compared to a pretax loss during the three months ended March 31,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4"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In addition to our results determined in accordance with U.S. GAAP, we believe that Adjusted Gross Profit, Adjusted EBITDA, Adjusted Net Income and Adjusted Earnings Per Share,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00"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stock-based compensation and related employer payroll tax, which are not indicative of our recurring core business operating results. The Adjusted Gross Profit Margin is defined as Adjusted Gross Profit divided by Revenue. Gross Profit is the most directly comparable GAAP measure to Adjusted Gross Profit, and you should review the reconciliation of Gross Profit to Adjusted Gross Profit below and not rely on any single financial measure to evaluate our business.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Gross Profit to Adjusted Gross Profit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(amounts in thousands, except percentages)</w:t>
            </w:r>
          </w:p>
        </w:tc>
        <w:tc>
          <w:tcPr>
            <w:tcW w:w="380" w:type="dxa"/>
            <w:vAlign w:val="bottom"/>
          </w:tcPr>
          <w:p>
            <w:pPr>
              <w:spacing w:after="0"/>
              <w:rPr>
                <w:sz w:val="19"/>
                <w:szCs w:val="19"/>
                <w:color w:val="auto"/>
              </w:rPr>
            </w:pPr>
          </w:p>
        </w:tc>
        <w:tc>
          <w:tcPr>
            <w:tcW w:w="3580" w:type="dxa"/>
            <w:vAlign w:val="bottom"/>
            <w:gridSpan w:val="5"/>
          </w:tcPr>
          <w:p>
            <w:pPr>
              <w:jc w:val="right"/>
              <w:ind w:right="81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4"/>
        </w:trPr>
        <w:tc>
          <w:tcPr>
            <w:tcW w:w="7280" w:type="dxa"/>
            <w:vAlign w:val="bottom"/>
            <w:gridSpan w:val="2"/>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571"/>
              <w:spacing w:after="0" w:line="194" w:lineRule="exact"/>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551"/>
              <w:spacing w:after="0" w:line="19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080" w:type="dxa"/>
            <w:vAlign w:val="bottom"/>
            <w:tcBorders>
              <w:top w:val="single" w:sz="8" w:color="auto"/>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137,427</w:t>
            </w:r>
          </w:p>
        </w:tc>
        <w:tc>
          <w:tcPr>
            <w:tcW w:w="42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113,196</w:t>
            </w: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2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 acquired technologies</w:t>
            </w:r>
          </w:p>
        </w:tc>
        <w:tc>
          <w:tcPr>
            <w:tcW w:w="3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6,695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6,580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280" w:type="dxa"/>
            <w:vAlign w:val="bottom"/>
            <w:tcBorders>
              <w:bottom w:val="single" w:sz="8" w:color="CFF0FC"/>
            </w:tcBorders>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Stock-based compensation and related employer payroll tax</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933</w:t>
            </w:r>
          </w:p>
        </w:tc>
        <w:tc>
          <w:tcPr>
            <w:tcW w:w="4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1" w:lineRule="exact"/>
              <w:rPr>
                <w:sz w:val="20"/>
                <w:szCs w:val="20"/>
                <w:color w:val="auto"/>
              </w:rPr>
            </w:pPr>
            <w:r>
              <w:rPr>
                <w:rFonts w:ascii="Arial" w:cs="Arial" w:eastAsia="Arial" w:hAnsi="Arial"/>
                <w:sz w:val="18"/>
                <w:szCs w:val="18"/>
                <w:color w:val="auto"/>
              </w:rPr>
              <w:t>219</w:t>
            </w:r>
          </w:p>
        </w:tc>
        <w:tc>
          <w:tcPr>
            <w:tcW w:w="2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280" w:type="dxa"/>
            <w:vAlign w:val="bottom"/>
            <w:gridSpan w:val="2"/>
          </w:tcPr>
          <w:p>
            <w:pPr>
              <w:ind w:left="20"/>
              <w:spacing w:after="0" w:line="194" w:lineRule="exact"/>
              <w:rPr>
                <w:sz w:val="20"/>
                <w:szCs w:val="20"/>
                <w:color w:val="auto"/>
              </w:rPr>
            </w:pPr>
            <w:r>
              <w:rPr>
                <w:rFonts w:ascii="Arial" w:cs="Arial" w:eastAsia="Arial" w:hAnsi="Arial"/>
                <w:sz w:val="18"/>
                <w:szCs w:val="18"/>
                <w:color w:val="auto"/>
              </w:rPr>
              <w:t>Adjusted Gross Profit</w:t>
            </w:r>
          </w:p>
        </w:tc>
        <w:tc>
          <w:tcPr>
            <w:tcW w:w="380" w:type="dxa"/>
            <w:vAlign w:val="bottom"/>
            <w:tcBorders>
              <w:bottom w:val="single" w:sz="8" w:color="auto"/>
            </w:tcBorders>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145,055</w:t>
            </w:r>
          </w:p>
        </w:tc>
        <w:tc>
          <w:tcPr>
            <w:tcW w:w="420" w:type="dxa"/>
            <w:vAlign w:val="bottom"/>
          </w:tcPr>
          <w:p>
            <w:pPr>
              <w:spacing w:after="0"/>
              <w:rPr>
                <w:sz w:val="16"/>
                <w:szCs w:val="16"/>
                <w:color w:val="auto"/>
              </w:rPr>
            </w:pPr>
          </w:p>
        </w:tc>
        <w:tc>
          <w:tcPr>
            <w:tcW w:w="380" w:type="dxa"/>
            <w:vAlign w:val="bottom"/>
            <w:tcBorders>
              <w:bottom w:val="single" w:sz="8" w:color="auto"/>
            </w:tcBorders>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color w:val="auto"/>
              </w:rPr>
              <w:t>119,995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280" w:type="dxa"/>
            <w:vAlign w:val="bottom"/>
            <w:gridSpan w:val="2"/>
            <w:shd w:val="clear" w:color="auto" w:fill="CFF0FC"/>
          </w:tcPr>
          <w:p>
            <w:pPr>
              <w:ind w:left="20"/>
              <w:spacing w:after="0" w:line="181" w:lineRule="exact"/>
              <w:rPr>
                <w:sz w:val="20"/>
                <w:szCs w:val="20"/>
                <w:color w:val="auto"/>
              </w:rPr>
            </w:pPr>
            <w:r>
              <w:rPr>
                <w:rFonts w:ascii="Arial" w:cs="Arial" w:eastAsia="Arial" w:hAnsi="Arial"/>
                <w:sz w:val="18"/>
                <w:szCs w:val="18"/>
                <w:color w:val="auto"/>
              </w:rPr>
              <w:t>Gross Profit Margin</w:t>
            </w: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74</w:t>
            </w:r>
          </w:p>
        </w:tc>
        <w:tc>
          <w:tcPr>
            <w:tcW w:w="420" w:type="dxa"/>
            <w:vAlign w:val="bottom"/>
            <w:shd w:val="clear" w:color="auto" w:fill="CFF0FC"/>
          </w:tcPr>
          <w:p>
            <w:pPr>
              <w:jc w:val="right"/>
              <w:ind w:right="171"/>
              <w:spacing w:after="0" w:line="181" w:lineRule="exact"/>
              <w:rPr>
                <w:sz w:val="20"/>
                <w:szCs w:val="20"/>
                <w:color w:val="auto"/>
              </w:rPr>
            </w:pPr>
            <w:r>
              <w:rPr>
                <w:rFonts w:ascii="Arial" w:cs="Arial" w:eastAsia="Arial" w:hAnsi="Arial"/>
                <w:sz w:val="18"/>
                <w:szCs w:val="18"/>
                <w:color w:val="auto"/>
                <w:w w:val="87"/>
              </w:rPr>
              <w:t>%</w:t>
            </w:r>
          </w:p>
        </w:tc>
        <w:tc>
          <w:tcPr>
            <w:tcW w:w="3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jc w:val="right"/>
              <w:spacing w:after="0" w:line="181"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7"/>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Adjusted Gross Profit Margin</w:t>
            </w:r>
          </w:p>
        </w:tc>
        <w:tc>
          <w:tcPr>
            <w:tcW w:w="380" w:type="dxa"/>
            <w:vAlign w:val="bottom"/>
          </w:tcPr>
          <w:p>
            <w:pPr>
              <w:spacing w:after="0"/>
              <w:rPr>
                <w:sz w:val="19"/>
                <w:szCs w:val="19"/>
                <w:color w:val="auto"/>
              </w:rPr>
            </w:pPr>
          </w:p>
        </w:tc>
        <w:tc>
          <w:tcPr>
            <w:tcW w:w="1720" w:type="dxa"/>
            <w:vAlign w:val="bottom"/>
            <w:gridSpan w:val="2"/>
          </w:tcPr>
          <w:p>
            <w:pPr>
              <w:jc w:val="right"/>
              <w:ind w:right="171"/>
              <w:spacing w:after="0"/>
              <w:rPr>
                <w:sz w:val="20"/>
                <w:szCs w:val="20"/>
                <w:color w:val="auto"/>
              </w:rPr>
            </w:pPr>
            <w:r>
              <w:rPr>
                <w:rFonts w:ascii="Arial" w:cs="Arial" w:eastAsia="Arial" w:hAnsi="Arial"/>
                <w:sz w:val="18"/>
                <w:szCs w:val="18"/>
                <w:color w:val="auto"/>
              </w:rPr>
              <w:t>78 %</w:t>
            </w:r>
          </w:p>
        </w:tc>
        <w:tc>
          <w:tcPr>
            <w:tcW w:w="3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5687695</wp:posOffset>
            </wp:positionH>
            <wp:positionV relativeFrom="paragraph">
              <wp:posOffset>-428625</wp:posOffset>
            </wp:positionV>
            <wp:extent cx="14414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4145" cy="5715"/>
                    </a:xfrm>
                    <a:prstGeom prst="rect">
                      <a:avLst/>
                    </a:prstGeom>
                    <a:noFill/>
                  </pic:spPr>
                </pic:pic>
              </a:graphicData>
            </a:graphic>
          </wp:anchor>
        </w:drawing>
        <w:drawing>
          <wp:anchor simplePos="0" relativeHeight="251657728" behindDoc="1" locked="0" layoutInCell="0" allowOverlap="1">
            <wp:simplePos x="0" y="0"/>
            <wp:positionH relativeFrom="column">
              <wp:posOffset>7002145</wp:posOffset>
            </wp:positionH>
            <wp:positionV relativeFrom="paragraph">
              <wp:posOffset>-428625</wp:posOffset>
            </wp:positionV>
            <wp:extent cx="1358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5890" cy="5715"/>
                    </a:xfrm>
                    <a:prstGeom prst="rect">
                      <a:avLst/>
                    </a:prstGeom>
                    <a:noFill/>
                  </pic:spPr>
                </pic:pic>
              </a:graphicData>
            </a:graphic>
          </wp:anchor>
        </w:drawing>
      </w:r>
    </w:p>
    <w:p>
      <w:pPr>
        <w:spacing w:after="0" w:line="180"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For the three months ended March 31, 2022, Adjusted Gross Profit increased $25.1 million or 20.9%, while Adjusted Gross Profit Margin increased 2% to 78%. Each of these increases in Adjusted Gross Profit and Adjusted Gross Profit Margin were primarily due to an increase in software subscription revenue and economies of scale resulting from fixed cost arrangements.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0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believe that Adjusted EBITDA, as defined below, is useful in evaluating our operational performance distinct and apart from financing costs, certain expenses and non-operational expenses. Adjusted EBITDA is defined as net income (loss) adjusted for interest, taxes, depreciation, amortization, gain on change in fair value of interest rate swaps, change in fair value of warrant liabilities,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merger and acquisition ("M&amp;A") and integration costs and gain on sale of cost method investment. Net income (loss) is the most directly comparable GAAP measure to Adjusted EBITDA, and you should review the reconciliation of net loss to Adjusted EBITDA below and not rely on any single financial measure to evaluate our business.</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Adjusted EBITDA is intended as a supplemental measure of our performance that is neither required by, nor presented in accordance with, GAAP. You should be aware that when evaluating Adjusted EBITDA, we may incur future expenses similar to those excluded when calculating this measure. In addition, our presentation of this measure should not be construed as an inference that our future results will be unaffected by unusual or non-recurring items.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reconciles net income (loss) to Adjusted EBITDA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80" w:type="dxa"/>
            <w:vAlign w:val="bottom"/>
          </w:tcPr>
          <w:p>
            <w:pPr>
              <w:spacing w:after="0"/>
              <w:rPr>
                <w:sz w:val="19"/>
                <w:szCs w:val="19"/>
                <w:color w:val="auto"/>
              </w:rPr>
            </w:pPr>
          </w:p>
        </w:tc>
        <w:tc>
          <w:tcPr>
            <w:tcW w:w="3420" w:type="dxa"/>
            <w:vAlign w:val="bottom"/>
            <w:gridSpan w:val="5"/>
          </w:tcPr>
          <w:p>
            <w:pPr>
              <w:jc w:val="right"/>
              <w:ind w:right="671"/>
              <w:spacing w:after="0"/>
              <w:rPr>
                <w:sz w:val="20"/>
                <w:szCs w:val="20"/>
                <w:color w:val="auto"/>
              </w:rPr>
            </w:pPr>
            <w:r>
              <w:rPr>
                <w:rFonts w:ascii="Arial" w:cs="Arial" w:eastAsia="Arial" w:hAnsi="Arial"/>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194"/>
        </w:trPr>
        <w:tc>
          <w:tcPr>
            <w:tcW w:w="7440" w:type="dxa"/>
            <w:vAlign w:val="bottom"/>
            <w:gridSpan w:val="2"/>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611"/>
              <w:spacing w:after="0" w:line="194"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91"/>
              <w:spacing w:after="0" w:line="194"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00" w:type="dxa"/>
            <w:vAlign w:val="bottom"/>
            <w:tcBorders>
              <w:top w:val="single" w:sz="8" w:color="auto"/>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Net income (loss)</w:t>
            </w:r>
          </w:p>
        </w:tc>
        <w:tc>
          <w:tcPr>
            <w:tcW w:w="54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11,975</w:t>
            </w:r>
          </w:p>
        </w:tc>
        <w:tc>
          <w:tcPr>
            <w:tcW w:w="280" w:type="dxa"/>
            <w:vAlign w:val="bottom"/>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(5,084</w:t>
            </w:r>
          </w:p>
        </w:tc>
        <w:tc>
          <w:tcPr>
            <w:tcW w:w="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7,341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18,766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Income tax benefit</w:t>
            </w:r>
          </w:p>
        </w:tc>
        <w:tc>
          <w:tcPr>
            <w:tcW w:w="3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(863 )</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(3,079 )</w:t>
            </w: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18,080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18,077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40" w:type="dxa"/>
            <w:vAlign w:val="bottom"/>
            <w:gridSpan w:val="2"/>
            <w:shd w:val="clear" w:color="auto" w:fill="CFF0FC"/>
          </w:tcPr>
          <w:p>
            <w:pPr>
              <w:ind w:left="200"/>
              <w:spacing w:after="0" w:line="160" w:lineRule="exact"/>
              <w:rPr>
                <w:sz w:val="20"/>
                <w:szCs w:val="20"/>
                <w:color w:val="auto"/>
              </w:rPr>
            </w:pPr>
            <w:r>
              <w:rPr>
                <w:rFonts w:ascii="Arial" w:cs="Arial" w:eastAsia="Arial" w:hAnsi="Arial"/>
                <w:sz w:val="18"/>
                <w:szCs w:val="18"/>
                <w:color w:val="auto"/>
              </w:rPr>
              <w:t>Amortization of acquired technologies—Cost of</w:t>
            </w:r>
          </w:p>
        </w:tc>
        <w:tc>
          <w:tcPr>
            <w:tcW w:w="38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44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40" w:type="dxa"/>
            <w:vAlign w:val="bottom"/>
            <w:gridSpan w:val="2"/>
          </w:tcPr>
          <w:p>
            <w:pPr>
              <w:ind w:left="200"/>
              <w:spacing w:after="0" w:line="160" w:lineRule="exact"/>
              <w:rPr>
                <w:sz w:val="20"/>
                <w:szCs w:val="20"/>
                <w:color w:val="auto"/>
              </w:rPr>
            </w:pPr>
            <w:r>
              <w:rPr>
                <w:rFonts w:ascii="Arial" w:cs="Arial" w:eastAsia="Arial" w:hAnsi="Arial"/>
                <w:sz w:val="18"/>
                <w:szCs w:val="18"/>
                <w:color w:val="auto"/>
              </w:rPr>
              <w:t>Depreciation and amortization related to software,</w:t>
            </w:r>
          </w:p>
        </w:tc>
        <w:tc>
          <w:tcPr>
            <w:tcW w:w="3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6,807</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5,153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744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equipment and property</w:t>
            </w: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440" w:type="dxa"/>
            <w:vAlign w:val="bottom"/>
            <w:gridSpan w:val="2"/>
            <w:shd w:val="clear" w:color="auto" w:fill="CFF0FC"/>
          </w:tcPr>
          <w:p>
            <w:pPr>
              <w:ind w:left="20"/>
              <w:spacing w:after="0" w:line="194" w:lineRule="exact"/>
              <w:rPr>
                <w:sz w:val="20"/>
                <w:szCs w:val="20"/>
                <w:color w:val="auto"/>
              </w:rPr>
            </w:pPr>
            <w:r>
              <w:rPr>
                <w:rFonts w:ascii="Arial" w:cs="Arial" w:eastAsia="Arial" w:hAnsi="Arial"/>
                <w:sz w:val="18"/>
                <w:szCs w:val="18"/>
                <w:color w:val="auto"/>
              </w:rPr>
              <w:t>EBITDA</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50,035</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40,413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440" w:type="dxa"/>
            <w:vAlign w:val="bottom"/>
            <w:gridSpan w:val="2"/>
          </w:tcPr>
          <w:p>
            <w:pPr>
              <w:ind w:left="200"/>
              <w:spacing w:after="0" w:line="160" w:lineRule="exact"/>
              <w:rPr>
                <w:sz w:val="20"/>
                <w:szCs w:val="20"/>
                <w:color w:val="auto"/>
              </w:rPr>
            </w:pPr>
            <w:r>
              <w:rPr>
                <w:rFonts w:ascii="Arial" w:cs="Arial" w:eastAsia="Arial" w:hAnsi="Arial"/>
                <w:sz w:val="18"/>
                <w:szCs w:val="18"/>
                <w:color w:val="auto"/>
              </w:rPr>
              <w:t>Gain on change in fair value of interest rate</w:t>
            </w:r>
          </w:p>
        </w:tc>
        <w:tc>
          <w:tcPr>
            <w:tcW w:w="380" w:type="dxa"/>
            <w:vAlign w:val="bottom"/>
          </w:tcPr>
          <w:p>
            <w:pPr>
              <w:spacing w:after="0"/>
              <w:rPr>
                <w:sz w:val="13"/>
                <w:szCs w:val="13"/>
                <w:color w:val="auto"/>
              </w:rPr>
            </w:pPr>
          </w:p>
        </w:tc>
        <w:tc>
          <w:tcPr>
            <w:tcW w:w="16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(3,277 )</w:t>
            </w:r>
          </w:p>
        </w:tc>
        <w:tc>
          <w:tcPr>
            <w:tcW w:w="0" w:type="dxa"/>
            <w:vAlign w:val="bottom"/>
          </w:tcPr>
          <w:p>
            <w:pPr>
              <w:spacing w:after="0"/>
              <w:rPr>
                <w:sz w:val="1"/>
                <w:szCs w:val="1"/>
                <w:color w:val="auto"/>
              </w:rPr>
            </w:pPr>
          </w:p>
        </w:tc>
      </w:tr>
      <w:tr>
        <w:trPr>
          <w:trHeight w:val="214"/>
        </w:trPr>
        <w:tc>
          <w:tcPr>
            <w:tcW w:w="7440" w:type="dxa"/>
            <w:vAlign w:val="bottom"/>
            <w:gridSpan w:val="2"/>
          </w:tcPr>
          <w:p>
            <w:pPr>
              <w:ind w:left="340"/>
              <w:spacing w:after="0"/>
              <w:rPr>
                <w:sz w:val="20"/>
                <w:szCs w:val="20"/>
                <w:color w:val="auto"/>
              </w:rPr>
            </w:pPr>
            <w:r>
              <w:rPr>
                <w:rFonts w:ascii="Arial" w:cs="Arial" w:eastAsia="Arial" w:hAnsi="Arial"/>
                <w:sz w:val="18"/>
                <w:szCs w:val="18"/>
                <w:color w:val="auto"/>
              </w:rPr>
              <w:t>swaps</w:t>
            </w:r>
          </w:p>
        </w:tc>
        <w:tc>
          <w:tcPr>
            <w:tcW w:w="38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4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Change in fair value of warrant liabilities</w:t>
            </w:r>
          </w:p>
        </w:tc>
        <w:tc>
          <w:tcPr>
            <w:tcW w:w="38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20"/>
              <w:spacing w:after="0" w:line="201" w:lineRule="exact"/>
              <w:rPr>
                <w:sz w:val="20"/>
                <w:szCs w:val="20"/>
                <w:color w:val="auto"/>
              </w:rPr>
            </w:pPr>
            <w:r>
              <w:rPr>
                <w:rFonts w:ascii="Arial" w:cs="Arial" w:eastAsia="Arial" w:hAnsi="Arial"/>
                <w:sz w:val="18"/>
                <w:szCs w:val="18"/>
                <w:color w:val="auto"/>
              </w:rPr>
              <w:t>(2,136 )</w:t>
            </w: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Stock-based compensation expense and related employer payroll tax</w:t>
            </w:r>
          </w:p>
        </w:tc>
        <w:tc>
          <w:tcPr>
            <w:tcW w:w="3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24,656</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12,654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Business combination transaction costs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732</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Lease abandonment</w:t>
            </w:r>
          </w:p>
        </w:tc>
        <w:tc>
          <w:tcPr>
            <w:tcW w:w="3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1,222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909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Lease overlap costs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1,338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924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Net costs related to divestiture</w:t>
            </w:r>
          </w:p>
        </w:tc>
        <w:tc>
          <w:tcPr>
            <w:tcW w:w="38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772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4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M&amp;A and integration costs</w:t>
            </w:r>
          </w:p>
        </w:tc>
        <w:tc>
          <w:tcPr>
            <w:tcW w:w="3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1,407</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Gain on sale of cost method investment</w:t>
            </w:r>
          </w:p>
        </w:tc>
        <w:tc>
          <w:tcPr>
            <w:tcW w:w="380" w:type="dxa"/>
            <w:vAlign w:val="bottom"/>
          </w:tcPr>
          <w:p>
            <w:pPr>
              <w:spacing w:after="0"/>
              <w:rPr>
                <w:sz w:val="17"/>
                <w:szCs w:val="17"/>
                <w:color w:val="auto"/>
              </w:rPr>
            </w:pPr>
          </w:p>
        </w:tc>
        <w:tc>
          <w:tcPr>
            <w:tcW w:w="16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(3,578 )</w:t>
            </w:r>
          </w:p>
        </w:tc>
        <w:tc>
          <w:tcPr>
            <w:tcW w:w="380" w:type="dxa"/>
            <w:vAlign w:val="bottom"/>
          </w:tcPr>
          <w:p>
            <w:pPr>
              <w:spacing w:after="0"/>
              <w:rPr>
                <w:sz w:val="17"/>
                <w:szCs w:val="17"/>
                <w:color w:val="auto"/>
              </w:rPr>
            </w:pPr>
          </w:p>
        </w:tc>
        <w:tc>
          <w:tcPr>
            <w:tcW w:w="140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FF0FC"/>
            </w:tcBorders>
            <w:gridSpan w:val="2"/>
            <w:shd w:val="clear" w:color="auto" w:fill="CFF0FC"/>
          </w:tcPr>
          <w:p>
            <w:pPr>
              <w:ind w:left="20"/>
              <w:spacing w:after="0" w:line="194" w:lineRule="exact"/>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73,736</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55,397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5823585</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-24765</wp:posOffset>
            </wp:positionV>
            <wp:extent cx="508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-7620</wp:posOffset>
            </wp:positionV>
            <wp:extent cx="508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06" w:lineRule="exact"/>
        <w:rPr>
          <w:sz w:val="20"/>
          <w:szCs w:val="20"/>
          <w:color w:val="auto"/>
        </w:rPr>
      </w:pPr>
    </w:p>
    <w:p>
      <w:pPr>
        <w:ind w:right="60" w:firstLine="509"/>
        <w:spacing w:after="0" w:line="265" w:lineRule="auto"/>
        <w:rPr>
          <w:sz w:val="20"/>
          <w:szCs w:val="20"/>
          <w:color w:val="auto"/>
        </w:rPr>
      </w:pPr>
      <w:r>
        <w:rPr>
          <w:rFonts w:ascii="Arial" w:cs="Arial" w:eastAsia="Arial" w:hAnsi="Arial"/>
          <w:sz w:val="17"/>
          <w:szCs w:val="17"/>
          <w:color w:val="auto"/>
        </w:rPr>
        <w:t>Adjusted EBITDA increased $18.3 million, or 33.1%, for the three months ended March 31, 2022, compared to the three months ended March 31, 2021. This increase was driven primarily by increased software subscription revenues from expanding solution adoption among existing customers, existing customer upgrades and sales to new customers and economies of scale resulting from fixed cost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Earnings Per Share</w:t>
      </w:r>
    </w:p>
    <w:p>
      <w:pPr>
        <w:spacing w:after="0" w:line="10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gain on change in fair value of interest rate swaps, change in fair value of warrant liabilities, stock-based compensation expense and related employer payroll tax, business combination transaction costs, lease abandonment charges, lease overlap costs for the incremental expenses associated with the Company’s new corporate headquarters prior to termination of its existing headquarters’ lease, net costs related to divestiture, M&amp;A and integration costs and gain on sale of cost method investment. Net income (loss) is the most directly comparable GAAP measure to Adjusted Net Income, and you should review the reconciliation of net income (loss) to Adjusted Net Income below and not rely on any single financial measure to evaluate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38" w:name="page39"/>
    <w:bookmarkEnd w:id="38"/>
    <w:p>
      <w:pPr>
        <w:ind w:firstLine="509"/>
        <w:spacing w:after="0" w:line="239" w:lineRule="auto"/>
        <w:rPr>
          <w:sz w:val="20"/>
          <w:szCs w:val="20"/>
          <w:color w:val="auto"/>
        </w:rPr>
      </w:pPr>
      <w:r>
        <w:rPr>
          <w:rFonts w:ascii="Arial" w:cs="Arial" w:eastAsia="Arial" w:hAnsi="Arial"/>
          <w:sz w:val="18"/>
          <w:szCs w:val="18"/>
          <w:color w:val="auto"/>
        </w:rPr>
        <w:t>Adjusted Net Income and Adjusted Earnings Per Share are intended as supplemental measures of our performance that are neither required by, nor presented in accordance with, GAAP. You should be aware that when evaluating Adjusted Net Income and Adjusted Earnings Per Share, we may incur future expenses similar to those excluded when calculating these measures. In addition, our presentation of these measures should not be construed as an inference that our future results will be unaffected by unusual or non-recurring items.</w:t>
      </w:r>
    </w:p>
    <w:p>
      <w:pPr>
        <w:spacing w:after="0" w:line="19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following table reconciles net income (loss) to Adjusted Net Income and Adjusted Earnings per Share for the three months ended March 31,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400" w:type="dxa"/>
            <w:vAlign w:val="bottom"/>
          </w:tcPr>
          <w:p>
            <w:pPr>
              <w:spacing w:after="0"/>
              <w:rPr>
                <w:sz w:val="19"/>
                <w:szCs w:val="19"/>
                <w:color w:val="auto"/>
              </w:rPr>
            </w:pPr>
          </w:p>
        </w:tc>
        <w:tc>
          <w:tcPr>
            <w:tcW w:w="3440" w:type="dxa"/>
            <w:vAlign w:val="bottom"/>
            <w:gridSpan w:val="5"/>
          </w:tcPr>
          <w:p>
            <w:pPr>
              <w:jc w:val="right"/>
              <w:ind w:right="67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194"/>
        </w:trPr>
        <w:tc>
          <w:tcPr>
            <w:tcW w:w="7400" w:type="dxa"/>
            <w:vAlign w:val="bottom"/>
            <w:gridSpan w:val="2"/>
            <w:vMerge w:val="continue"/>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611"/>
              <w:spacing w:after="0" w:line="194"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591"/>
              <w:spacing w:after="0" w:line="194"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80" w:type="dxa"/>
            <w:vAlign w:val="bottom"/>
            <w:tcBorders>
              <w:top w:val="single" w:sz="8" w:color="auto"/>
            </w:tcBorders>
            <w:shd w:val="clear" w:color="auto" w:fill="CFF0FC"/>
          </w:tcPr>
          <w:p>
            <w:pPr>
              <w:ind w:left="20"/>
              <w:spacing w:after="0" w:line="194" w:lineRule="exact"/>
              <w:rPr>
                <w:sz w:val="20"/>
                <w:szCs w:val="20"/>
                <w:color w:val="auto"/>
              </w:rPr>
            </w:pPr>
            <w:r>
              <w:rPr>
                <w:rFonts w:ascii="Arial" w:cs="Arial" w:eastAsia="Arial" w:hAnsi="Arial"/>
                <w:sz w:val="18"/>
                <w:szCs w:val="18"/>
                <w:color w:val="auto"/>
              </w:rPr>
              <w:t>Net income (loss)</w:t>
            </w:r>
          </w:p>
        </w:tc>
        <w:tc>
          <w:tcPr>
            <w:tcW w:w="52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jc w:val="right"/>
              <w:ind w:right="211"/>
              <w:spacing w:after="0" w:line="19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11,975</w:t>
            </w:r>
          </w:p>
        </w:tc>
        <w:tc>
          <w:tcPr>
            <w:tcW w:w="280" w:type="dxa"/>
            <w:vAlign w:val="bottom"/>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jc w:val="right"/>
              <w:ind w:right="21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(5,084</w:t>
            </w:r>
          </w:p>
        </w:tc>
        <w:tc>
          <w:tcPr>
            <w:tcW w:w="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0"/>
        </w:trPr>
        <w:tc>
          <w:tcPr>
            <w:tcW w:w="74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18,080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18,077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400" w:type="dxa"/>
            <w:vAlign w:val="bottom"/>
            <w:gridSpan w:val="2"/>
            <w:shd w:val="clear" w:color="auto" w:fill="CFF0FC"/>
          </w:tcPr>
          <w:p>
            <w:pPr>
              <w:ind w:left="380"/>
              <w:spacing w:after="0" w:line="160" w:lineRule="exact"/>
              <w:rPr>
                <w:sz w:val="20"/>
                <w:szCs w:val="20"/>
                <w:color w:val="auto"/>
              </w:rPr>
            </w:pPr>
            <w:r>
              <w:rPr>
                <w:rFonts w:ascii="Arial" w:cs="Arial" w:eastAsia="Arial" w:hAnsi="Arial"/>
                <w:sz w:val="18"/>
                <w:szCs w:val="18"/>
                <w:color w:val="auto"/>
              </w:rPr>
              <w:t>Amortization of acquired technologies—</w:t>
            </w:r>
          </w:p>
        </w:tc>
        <w:tc>
          <w:tcPr>
            <w:tcW w:w="40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6,695</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4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FF0FC"/>
          </w:tcPr>
          <w:p>
            <w:pPr>
              <w:spacing w:after="0"/>
              <w:rPr>
                <w:sz w:val="18"/>
                <w:szCs w:val="18"/>
                <w:color w:val="auto"/>
              </w:rPr>
            </w:pPr>
          </w:p>
        </w:tc>
        <w:tc>
          <w:tcPr>
            <w:tcW w:w="13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400" w:type="dxa"/>
            <w:vAlign w:val="bottom"/>
            <w:gridSpan w:val="2"/>
          </w:tcPr>
          <w:p>
            <w:pPr>
              <w:ind w:left="380"/>
              <w:spacing w:after="0" w:line="160" w:lineRule="exact"/>
              <w:rPr>
                <w:sz w:val="20"/>
                <w:szCs w:val="20"/>
                <w:color w:val="auto"/>
              </w:rPr>
            </w:pPr>
            <w:r>
              <w:rPr>
                <w:rFonts w:ascii="Arial" w:cs="Arial" w:eastAsia="Arial" w:hAnsi="Arial"/>
                <w:sz w:val="18"/>
                <w:szCs w:val="18"/>
                <w:color w:val="auto"/>
              </w:rPr>
              <w:t>Gain on change in fair value of</w:t>
            </w:r>
          </w:p>
        </w:tc>
        <w:tc>
          <w:tcPr>
            <w:tcW w:w="400" w:type="dxa"/>
            <w:vAlign w:val="bottom"/>
          </w:tcPr>
          <w:p>
            <w:pPr>
              <w:spacing w:after="0"/>
              <w:rPr>
                <w:sz w:val="13"/>
                <w:szCs w:val="13"/>
                <w:color w:val="auto"/>
              </w:rPr>
            </w:pPr>
          </w:p>
        </w:tc>
        <w:tc>
          <w:tcPr>
            <w:tcW w:w="16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(3,277 )</w:t>
            </w:r>
          </w:p>
        </w:tc>
        <w:tc>
          <w:tcPr>
            <w:tcW w:w="0" w:type="dxa"/>
            <w:vAlign w:val="bottom"/>
          </w:tcPr>
          <w:p>
            <w:pPr>
              <w:spacing w:after="0"/>
              <w:rPr>
                <w:sz w:val="1"/>
                <w:szCs w:val="1"/>
                <w:color w:val="auto"/>
              </w:rPr>
            </w:pPr>
          </w:p>
        </w:tc>
      </w:tr>
      <w:tr>
        <w:trPr>
          <w:trHeight w:val="214"/>
        </w:trPr>
        <w:tc>
          <w:tcPr>
            <w:tcW w:w="7400" w:type="dxa"/>
            <w:vAlign w:val="bottom"/>
            <w:gridSpan w:val="2"/>
          </w:tcPr>
          <w:p>
            <w:pPr>
              <w:ind w:left="500"/>
              <w:spacing w:after="0"/>
              <w:rPr>
                <w:sz w:val="20"/>
                <w:szCs w:val="20"/>
                <w:color w:val="auto"/>
              </w:rPr>
            </w:pPr>
            <w:r>
              <w:rPr>
                <w:rFonts w:ascii="Arial" w:cs="Arial" w:eastAsia="Arial" w:hAnsi="Arial"/>
                <w:sz w:val="18"/>
                <w:szCs w:val="18"/>
                <w:color w:val="auto"/>
              </w:rPr>
              <w:t>interest rate swaps</w:t>
            </w:r>
          </w:p>
        </w:tc>
        <w:tc>
          <w:tcPr>
            <w:tcW w:w="4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Change in fair value of warrant liabilities</w:t>
            </w:r>
          </w:p>
        </w:tc>
        <w:tc>
          <w:tcPr>
            <w:tcW w:w="4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0"/>
              <w:spacing w:after="0" w:line="201" w:lineRule="exact"/>
              <w:rPr>
                <w:sz w:val="20"/>
                <w:szCs w:val="20"/>
                <w:color w:val="auto"/>
              </w:rPr>
            </w:pPr>
            <w:r>
              <w:rPr>
                <w:rFonts w:ascii="Arial" w:cs="Arial" w:eastAsia="Arial" w:hAnsi="Arial"/>
                <w:sz w:val="18"/>
                <w:szCs w:val="18"/>
                <w:color w:val="auto"/>
              </w:rPr>
              <w:t>(2,136 )</w:t>
            </w: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Stock-based compensation expense and related employer payroll tax</w:t>
            </w: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24,656</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12,654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Business combination transaction costs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732</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3,002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Lease abandonment</w:t>
            </w: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1,222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1,833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Lease overlap costs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1,338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Net costs related to divestiture</w:t>
            </w:r>
          </w:p>
        </w:tc>
        <w:tc>
          <w:tcPr>
            <w:tcW w:w="400" w:type="dxa"/>
            <w:vAlign w:val="bottom"/>
          </w:tcPr>
          <w:p>
            <w:pPr>
              <w:spacing w:after="0"/>
              <w:rPr>
                <w:sz w:val="17"/>
                <w:szCs w:val="17"/>
                <w:color w:val="auto"/>
              </w:rPr>
            </w:pP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772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M&amp;A and integration costs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1,407</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0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Gain on sale of cost method investment</w:t>
            </w:r>
          </w:p>
        </w:tc>
        <w:tc>
          <w:tcPr>
            <w:tcW w:w="400" w:type="dxa"/>
            <w:vAlign w:val="bottom"/>
          </w:tcPr>
          <w:p>
            <w:pPr>
              <w:spacing w:after="0"/>
              <w:rPr>
                <w:sz w:val="17"/>
                <w:szCs w:val="17"/>
                <w:color w:val="auto"/>
              </w:rPr>
            </w:pPr>
          </w:p>
        </w:tc>
        <w:tc>
          <w:tcPr>
            <w:tcW w:w="16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(3,578 )</w:t>
            </w:r>
          </w:p>
        </w:tc>
        <w:tc>
          <w:tcPr>
            <w:tcW w:w="400" w:type="dxa"/>
            <w:vAlign w:val="bottom"/>
          </w:tcPr>
          <w:p>
            <w:pPr>
              <w:spacing w:after="0"/>
              <w:rPr>
                <w:sz w:val="17"/>
                <w:szCs w:val="17"/>
                <w:color w:val="auto"/>
              </w:rPr>
            </w:pPr>
          </w:p>
        </w:tc>
        <w:tc>
          <w:tcPr>
            <w:tcW w:w="1400" w:type="dxa"/>
            <w:vAlign w:val="bottom"/>
            <w:gridSpan w:val="2"/>
          </w:tcPr>
          <w:p>
            <w:pPr>
              <w:jc w:val="right"/>
              <w:ind w:right="1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380"/>
              <w:spacing w:after="0" w:line="201" w:lineRule="exact"/>
              <w:rPr>
                <w:sz w:val="20"/>
                <w:szCs w:val="20"/>
                <w:color w:val="auto"/>
              </w:rPr>
            </w:pPr>
            <w:r>
              <w:rPr>
                <w:rFonts w:ascii="Arial" w:cs="Arial" w:eastAsia="Arial" w:hAnsi="Arial"/>
                <w:sz w:val="18"/>
                <w:szCs w:val="18"/>
                <w:color w:val="auto"/>
              </w:rPr>
              <w:t>Tax effect of adjustments</w:t>
            </w:r>
          </w:p>
        </w:tc>
        <w:tc>
          <w:tcPr>
            <w:tcW w:w="4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00"/>
              <w:spacing w:after="0" w:line="201" w:lineRule="exact"/>
              <w:rPr>
                <w:sz w:val="20"/>
                <w:szCs w:val="20"/>
                <w:color w:val="auto"/>
              </w:rPr>
            </w:pPr>
            <w:r>
              <w:rPr>
                <w:rFonts w:ascii="Arial" w:cs="Arial" w:eastAsia="Arial" w:hAnsi="Arial"/>
                <w:sz w:val="18"/>
                <w:szCs w:val="18"/>
                <w:color w:val="auto"/>
              </w:rPr>
              <w:t>(11,577 )</w:t>
            </w:r>
          </w:p>
        </w:tc>
        <w:tc>
          <w:tcPr>
            <w:tcW w:w="4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(9,551 )</w:t>
            </w:r>
          </w:p>
        </w:tc>
        <w:tc>
          <w:tcPr>
            <w:tcW w:w="0" w:type="dxa"/>
            <w:vAlign w:val="bottom"/>
          </w:tcPr>
          <w:p>
            <w:pPr>
              <w:spacing w:after="0"/>
              <w:rPr>
                <w:sz w:val="1"/>
                <w:szCs w:val="1"/>
                <w:color w:val="auto"/>
              </w:rPr>
            </w:pPr>
          </w:p>
        </w:tc>
      </w:tr>
      <w:tr>
        <w:trPr>
          <w:trHeight w:val="194"/>
        </w:trPr>
        <w:tc>
          <w:tcPr>
            <w:tcW w:w="7400" w:type="dxa"/>
            <w:vAlign w:val="bottom"/>
            <w:tcBorders>
              <w:top w:val="single" w:sz="8" w:color="CFF0FC"/>
            </w:tcBorders>
            <w:gridSpan w:val="2"/>
          </w:tcPr>
          <w:p>
            <w:pPr>
              <w:ind w:left="20"/>
              <w:spacing w:after="0" w:line="194" w:lineRule="exact"/>
              <w:rPr>
                <w:sz w:val="20"/>
                <w:szCs w:val="20"/>
                <w:color w:val="auto"/>
              </w:rPr>
            </w:pPr>
            <w:r>
              <w:rPr>
                <w:rFonts w:ascii="Arial" w:cs="Arial" w:eastAsia="Arial" w:hAnsi="Arial"/>
                <w:sz w:val="18"/>
                <w:szCs w:val="18"/>
                <w:color w:val="auto"/>
              </w:rPr>
              <w:t>Adjusted net income</w:t>
            </w:r>
          </w:p>
        </w:tc>
        <w:tc>
          <w:tcPr>
            <w:tcW w:w="400" w:type="dxa"/>
            <w:vAlign w:val="bottom"/>
            <w:tcBorders>
              <w:top w:val="single" w:sz="8" w:color="auto"/>
            </w:tcBorders>
          </w:tcPr>
          <w:p>
            <w:pPr>
              <w:jc w:val="right"/>
              <w:ind w:right="211"/>
              <w:spacing w:after="0" w:line="194"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48,874</w:t>
            </w:r>
          </w:p>
        </w:tc>
        <w:tc>
          <w:tcPr>
            <w:tcW w:w="28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jc w:val="right"/>
              <w:ind w:right="211"/>
              <w:spacing w:after="0" w:line="194"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25,006</w:t>
            </w: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400" w:type="dxa"/>
            <w:vAlign w:val="bottom"/>
            <w:gridSpan w:val="2"/>
            <w:shd w:val="clear" w:color="auto" w:fill="CFF0FC"/>
          </w:tcPr>
          <w:p>
            <w:pPr>
              <w:ind w:left="20"/>
              <w:spacing w:after="0" w:line="160" w:lineRule="exact"/>
              <w:rPr>
                <w:sz w:val="20"/>
                <w:szCs w:val="20"/>
                <w:color w:val="auto"/>
              </w:rPr>
            </w:pPr>
            <w:r>
              <w:rPr>
                <w:rFonts w:ascii="Arial" w:cs="Arial" w:eastAsia="Arial" w:hAnsi="Arial"/>
                <w:sz w:val="18"/>
                <w:szCs w:val="18"/>
                <w:color w:val="auto"/>
              </w:rPr>
              <w:t>Adjusted net income per share attributable to</w:t>
            </w:r>
          </w:p>
        </w:tc>
        <w:tc>
          <w:tcPr>
            <w:tcW w:w="4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4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common stockholders:</w:t>
            </w: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0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Basic</w:t>
            </w:r>
          </w:p>
        </w:tc>
        <w:tc>
          <w:tcPr>
            <w:tcW w:w="400" w:type="dxa"/>
            <w:vAlign w:val="bottom"/>
          </w:tcPr>
          <w:p>
            <w:pPr>
              <w:jc w:val="right"/>
              <w:ind w:right="21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1" w:lineRule="exact"/>
              <w:rPr>
                <w:sz w:val="20"/>
                <w:szCs w:val="20"/>
                <w:color w:val="auto"/>
              </w:rPr>
            </w:pPr>
            <w:r>
              <w:rPr>
                <w:rFonts w:ascii="Arial" w:cs="Arial" w:eastAsia="Arial" w:hAnsi="Arial"/>
                <w:sz w:val="18"/>
                <w:szCs w:val="18"/>
                <w:color w:val="auto"/>
              </w:rPr>
              <w:t>0.08</w:t>
            </w:r>
          </w:p>
        </w:tc>
        <w:tc>
          <w:tcPr>
            <w:tcW w:w="280" w:type="dxa"/>
            <w:vAlign w:val="bottom"/>
          </w:tcPr>
          <w:p>
            <w:pPr>
              <w:spacing w:after="0"/>
              <w:rPr>
                <w:sz w:val="17"/>
                <w:szCs w:val="17"/>
                <w:color w:val="auto"/>
              </w:rPr>
            </w:pPr>
          </w:p>
        </w:tc>
        <w:tc>
          <w:tcPr>
            <w:tcW w:w="400" w:type="dxa"/>
            <w:vAlign w:val="bottom"/>
          </w:tcPr>
          <w:p>
            <w:pPr>
              <w:jc w:val="right"/>
              <w:ind w:right="211"/>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0.05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FF0FC"/>
          </w:tcPr>
          <w:p>
            <w:pPr>
              <w:jc w:val="right"/>
              <w:ind w:right="211"/>
              <w:spacing w:after="0" w:line="201"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0.08</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1"/>
              <w:spacing w:after="0" w:line="201"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0.05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Weighted average shares outstanding:</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400" w:type="dxa"/>
            <w:vAlign w:val="bottom"/>
            <w:gridSpan w:val="2"/>
            <w:shd w:val="clear" w:color="auto" w:fill="CFF0FC"/>
          </w:tcPr>
          <w:p>
            <w:pPr>
              <w:ind w:left="200"/>
              <w:spacing w:after="0" w:line="201" w:lineRule="exact"/>
              <w:rPr>
                <w:sz w:val="20"/>
                <w:szCs w:val="20"/>
                <w:color w:val="auto"/>
              </w:rPr>
            </w:pPr>
            <w:r>
              <w:rPr>
                <w:rFonts w:ascii="Arial" w:cs="Arial" w:eastAsia="Arial" w:hAnsi="Arial"/>
                <w:sz w:val="18"/>
                <w:szCs w:val="18"/>
                <w:color w:val="auto"/>
              </w:rPr>
              <w:t>Basic</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603,104,839</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505,072,914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4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641,028,410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523,164,329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-1022350</wp:posOffset>
            </wp:positionV>
            <wp:extent cx="5969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-1022350</wp:posOffset>
            </wp:positionV>
            <wp:extent cx="508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800" cy="5715"/>
                    </a:xfrm>
                    <a:prstGeom prst="rect">
                      <a:avLst/>
                    </a:prstGeom>
                    <a:noFill/>
                  </pic:spPr>
                </pic:pic>
              </a:graphicData>
            </a:graphic>
          </wp:anchor>
        </w:drawing>
      </w:r>
    </w:p>
    <w:p>
      <w:pPr>
        <w:spacing w:after="0" w:line="180" w:lineRule="exact"/>
        <w:rPr>
          <w:sz w:val="20"/>
          <w:szCs w:val="20"/>
          <w:color w:val="auto"/>
        </w:rPr>
      </w:pPr>
    </w:p>
    <w:p>
      <w:pPr>
        <w:jc w:val="both"/>
        <w:ind w:right="100" w:firstLine="509"/>
        <w:spacing w:after="0" w:line="239" w:lineRule="auto"/>
        <w:rPr>
          <w:sz w:val="20"/>
          <w:szCs w:val="20"/>
          <w:color w:val="auto"/>
        </w:rPr>
      </w:pPr>
      <w:r>
        <w:rPr>
          <w:rFonts w:ascii="Arial" w:cs="Arial" w:eastAsia="Arial" w:hAnsi="Arial"/>
          <w:sz w:val="18"/>
          <w:szCs w:val="18"/>
          <w:color w:val="auto"/>
        </w:rPr>
        <w:t>Adjusted Net Income increased $23.9 million, or 95.4%, for the three months ended March 31, 2022, compared to the three months ended March 31, 2021. The increase was driven primarily by increased software subscription revenues from expanding solution adoption among existing customers, existing customer upgrades and sales to new customers and economies of scale resulting from fixed cost arrangements and less interest expense resulting from less outstanding long-term debt and a lower variable interest rate.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have financed our operations from cash flows from operations. The Company generated $46.9 million of cash flows from operating activities during the three months ended March 31, 2022. As of March 31, 2022, the Company had cash and cash equivalents of $195.5 million. The Company had a working capital surplus of $187.5 million at March 31, 2022 and had an accumulated deficit at March 31, 2022 totaling $734.4 million. As of March 31, 2022, the Company had $798.0 million aggregate principal outstanding on term loans.</w:t>
      </w:r>
    </w:p>
    <w:p>
      <w:pPr>
        <w:spacing w:after="0" w:line="191"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We believe that our existing cash and cash equivalents, our cash flows from operating activities and our borrowing capacity under our revolving credit facility will be sufficient to fund our operations, fund required long-term debt repayments and meet our commitments for capital expenditures for at least the next twelve months.</w:t>
      </w:r>
    </w:p>
    <w:p>
      <w:pPr>
        <w:spacing w:after="0" w:line="186" w:lineRule="exact"/>
        <w:rPr>
          <w:sz w:val="20"/>
          <w:szCs w:val="20"/>
          <w:color w:val="auto"/>
        </w:rPr>
      </w:pPr>
    </w:p>
    <w:p>
      <w:pPr>
        <w:ind w:right="220" w:firstLine="509"/>
        <w:spacing w:after="0" w:line="289" w:lineRule="auto"/>
        <w:rPr>
          <w:sz w:val="20"/>
          <w:szCs w:val="20"/>
          <w:color w:val="auto"/>
        </w:rPr>
      </w:pPr>
      <w:r>
        <w:rPr>
          <w:rFonts w:ascii="Arial" w:cs="Arial" w:eastAsia="Arial" w:hAnsi="Arial"/>
          <w:sz w:val="16"/>
          <w:szCs w:val="16"/>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Debt</w:t>
      </w:r>
    </w:p>
    <w:p>
      <w:pPr>
        <w:spacing w:after="0" w:line="10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On September 21, 2021, CCC Intelligent Solutions Inc., an indirect wholly owned subsidiary of the Company, together with certain of the Company’s subsidiaries acting as guarantors entered into a credit agreement (the "2021 Credit Agreement").</w:t>
      </w:r>
    </w:p>
    <w:p>
      <w:pPr>
        <w:spacing w:after="0" w:line="68" w:lineRule="exact"/>
        <w:rPr>
          <w:sz w:val="20"/>
          <w:szCs w:val="20"/>
          <w:color w:val="auto"/>
        </w:rPr>
      </w:pPr>
    </w:p>
    <w:p>
      <w:pPr>
        <w:ind w:right="320" w:firstLine="509"/>
        <w:spacing w:after="0" w:line="255" w:lineRule="auto"/>
        <w:rPr>
          <w:sz w:val="20"/>
          <w:szCs w:val="20"/>
          <w:color w:val="auto"/>
        </w:rPr>
      </w:pPr>
      <w:r>
        <w:rPr>
          <w:rFonts w:ascii="Arial" w:cs="Arial" w:eastAsia="Arial" w:hAnsi="Arial"/>
          <w:sz w:val="18"/>
          <w:szCs w:val="18"/>
          <w:color w:val="auto"/>
        </w:rPr>
        <w:t>The 2021 Credit Agreement replaced the Company’s 2017 First Lien Credit Agreement (the “First Lien Credit Agreement”), dated as of April 27, 2017, as amended as of February 14, 2020.</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proceeds of the 2021 Credit Agreement were used to repay all outstanding borrowings under the First Lien Credit Agreement.</w:t>
      </w:r>
    </w:p>
    <w:p>
      <w:pPr>
        <w:spacing w:after="0" w:line="207" w:lineRule="exact"/>
        <w:rPr>
          <w:sz w:val="20"/>
          <w:szCs w:val="20"/>
          <w:color w:val="auto"/>
        </w:rPr>
      </w:pPr>
    </w:p>
    <w:p>
      <w:pPr>
        <w:ind w:right="600" w:firstLine="509"/>
        <w:spacing w:after="0" w:line="243" w:lineRule="auto"/>
        <w:rPr>
          <w:sz w:val="20"/>
          <w:szCs w:val="20"/>
          <w:color w:val="auto"/>
        </w:rPr>
      </w:pPr>
      <w:r>
        <w:rPr>
          <w:rFonts w:ascii="Arial" w:cs="Arial" w:eastAsia="Arial" w:hAnsi="Arial"/>
          <w:sz w:val="18"/>
          <w:szCs w:val="18"/>
          <w:i w:val="1"/>
          <w:iCs w:val="1"/>
          <w:color w:val="auto"/>
        </w:rPr>
        <w:t>2021 Credit Agreement</w:t>
      </w:r>
      <w:r>
        <w:rPr>
          <w:rFonts w:ascii="Arial" w:cs="Arial" w:eastAsia="Arial" w:hAnsi="Arial"/>
          <w:sz w:val="18"/>
          <w:szCs w:val="18"/>
          <w:color w:val="auto"/>
        </w:rPr>
        <w:t>—The 2021 Credit Agreement consists of the $800.0 million Term B Loan and 2021 Revolving Credit Facility for an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$250.0 million. The 2021 Revolving Credit Facility has a sublimit of $75.0 million for letters of credit. The Company received proceeds of $798.0 million, net of debt discount of $2.0 million, related to the Term B Loan.</w:t>
      </w:r>
    </w:p>
    <w:p>
      <w:pPr>
        <w:spacing w:after="0" w:line="186" w:lineRule="exact"/>
        <w:rPr>
          <w:sz w:val="20"/>
          <w:szCs w:val="20"/>
          <w:color w:val="auto"/>
        </w:rPr>
      </w:pPr>
    </w:p>
    <w:p>
      <w:pPr>
        <w:ind w:right="140" w:firstLine="509"/>
        <w:spacing w:after="0" w:line="272" w:lineRule="auto"/>
        <w:rPr>
          <w:sz w:val="20"/>
          <w:szCs w:val="20"/>
          <w:color w:val="auto"/>
        </w:rPr>
      </w:pPr>
      <w:r>
        <w:rPr>
          <w:rFonts w:ascii="Arial" w:cs="Arial" w:eastAsia="Arial" w:hAnsi="Arial"/>
          <w:sz w:val="16"/>
          <w:szCs w:val="16"/>
          <w:color w:val="auto"/>
        </w:rPr>
        <w:t>Beginning with the quarter ending March 31, 2022, the Term B Loan requires quarterly principal payments of $2.0 million until June 30, 2028, with the remaining outstanding principal amount required to be paid on the maturity date, September 21, 2028. Beginning with the year ending December 31, 2022, the Term B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March 31, 2022, the Company is not subject to the annual excess cash flow calculation and no such principal prepayments are required.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the amount outstanding on the Term B Loans was $798.0 million, of which, $8.0 million is classified as current.</w:t>
      </w:r>
    </w:p>
    <w:p>
      <w:pPr>
        <w:spacing w:after="0" w:line="207"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Borrowings under the 2021 Credit Facility bear interest at rates based on the ratio of the Company’s and its subsidiaries’ consolidated first lien net indebtedness to the Company’s and its subsidiaries’ consolidated EBITDA for applicable periods specified in the 2021 Credit Facility. The interest rate per annum applicable to the loans under the 2021 Credit Facility are based on a fluctuating rate of interest equal to the sum of an applicable rate and, at the Company’s election from time to time, either:</w:t>
      </w:r>
    </w:p>
    <w:p>
      <w:pPr>
        <w:spacing w:after="0" w:line="84" w:lineRule="exact"/>
        <w:rPr>
          <w:sz w:val="20"/>
          <w:szCs w:val="20"/>
          <w:color w:val="auto"/>
        </w:rPr>
      </w:pPr>
    </w:p>
    <w:p>
      <w:pPr>
        <w:ind w:left="1020" w:right="20" w:hanging="504"/>
        <w:spacing w:after="0" w:line="24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base rate determined by reference to the highest of (a) the rate last quoted by the Wall Street Journal as the “prime rate,” (b) the federal funds effective rate plus 0.50%, (c) one-month LIBOR plus 1.00% and (d) with respect to the Term B Loans, 1.50% and with respect to the Revolving Credit Facility, 1.00%, or</w:t>
      </w:r>
    </w:p>
    <w:p>
      <w:pPr>
        <w:spacing w:after="0" w:line="79" w:lineRule="exact"/>
        <w:rPr>
          <w:rFonts w:ascii="Arial" w:cs="Arial" w:eastAsia="Arial" w:hAnsi="Arial"/>
          <w:sz w:val="18"/>
          <w:szCs w:val="18"/>
          <w:color w:val="auto"/>
        </w:rPr>
      </w:pPr>
    </w:p>
    <w:p>
      <w:pPr>
        <w:ind w:left="1020" w:right="40" w:hanging="504"/>
        <w:spacing w:after="0" w:line="24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Eurocurrency rate determined by reference to LIBOR (other than with respect to Euros, Euribor and with respect to British Pounds Sterling, SONIA) with a term as selected by the Company, of one, three or six months (subject to (x) in the case of term loans, a 0.50% per annum floor and (y) in the case of revolving loans, a 0.00% per annum floor).</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quarterly commitment fee of up to 0.50% is payable on the unused portion of the 2021 Revolving Credit Facility.</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months ended March 31, 2022, the weighted-average interest rate on the outstanding borrowings under the Term B Loan was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interest payments of $5.9 million during the three months ended March 31, 2022.</w:t>
      </w:r>
    </w:p>
    <w:p>
      <w:pPr>
        <w:spacing w:after="0" w:line="191" w:lineRule="exact"/>
        <w:rPr>
          <w:sz w:val="20"/>
          <w:szCs w:val="20"/>
          <w:color w:val="auto"/>
        </w:rPr>
      </w:pPr>
    </w:p>
    <w:p>
      <w:pPr>
        <w:ind w:right="680" w:firstLine="509"/>
        <w:spacing w:after="0" w:line="284" w:lineRule="auto"/>
        <w:rPr>
          <w:sz w:val="20"/>
          <w:szCs w:val="20"/>
          <w:color w:val="auto"/>
        </w:rPr>
      </w:pPr>
      <w:r>
        <w:rPr>
          <w:rFonts w:ascii="Arial" w:cs="Arial" w:eastAsia="Arial" w:hAnsi="Arial"/>
          <w:sz w:val="17"/>
          <w:szCs w:val="17"/>
          <w:color w:val="auto"/>
        </w:rPr>
        <w:t>The Company has an outstanding standby letter of credit for $0.7 million which reduces the amount available to be borrowed under the 2021 Revolving Credit Facility. At March 31, 2022, $249.3 million was available to be borrowed under the 2021 Revolving Credit Facility.</w:t>
      </w:r>
    </w:p>
    <w:p>
      <w:pPr>
        <w:spacing w:after="0" w:line="15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Borrowings under the 2021 Lien Credit Agreement are guaranteed by Cypress Holdings, Intermediate Holdings II, Inc. and certain of its US subsidiaries by a perfected first priority lien on the stock of CCC Intelligent Solutions Inc. and substantially all of its assets, subject to various limitations and exceptions.</w:t>
      </w:r>
    </w:p>
    <w:p>
      <w:pPr>
        <w:spacing w:after="0" w:line="186" w:lineRule="exact"/>
        <w:rPr>
          <w:sz w:val="20"/>
          <w:szCs w:val="20"/>
          <w:color w:val="auto"/>
        </w:rPr>
      </w:pPr>
    </w:p>
    <w:p>
      <w:pPr>
        <w:jc w:val="both"/>
        <w:ind w:right="20" w:firstLine="509"/>
        <w:spacing w:after="0" w:line="289" w:lineRule="auto"/>
        <w:rPr>
          <w:sz w:val="20"/>
          <w:szCs w:val="20"/>
          <w:color w:val="auto"/>
        </w:rPr>
      </w:pPr>
      <w:r>
        <w:rPr>
          <w:rFonts w:ascii="Arial" w:cs="Arial" w:eastAsia="Arial" w:hAnsi="Arial"/>
          <w:sz w:val="16"/>
          <w:szCs w:val="16"/>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150"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In addition, beginning with the three months ended March 31, 2022, the terms of the 2021 Credit Agreement include a financial covenant which requires that, at the end of each fiscal quarter, if the aggregate amount of borrowings under the 2021 Revolving Credit Facility exceeds 35% of the aggregate commitments, the Company’s leverage ratio cannot exceed 6.25 to 1.00. As of March 31, 2022, the Company was not subject to the financial covenant.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646" w:right="3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i w:val="1"/>
          <w:iCs w:val="1"/>
          <w:color w:val="auto"/>
        </w:rPr>
        <w:t>First Lien Credit Agreement</w:t>
      </w:r>
      <w:r>
        <w:rPr>
          <w:rFonts w:ascii="Arial" w:cs="Arial" w:eastAsia="Arial" w:hAnsi="Arial"/>
          <w:sz w:val="18"/>
          <w:szCs w:val="18"/>
          <w:color w:val="auto"/>
        </w:rPr>
        <w:t>—In April 2017, the Company entered into the First Lien Credit Agreement.</w:t>
      </w:r>
    </w:p>
    <w:p>
      <w:pPr>
        <w:spacing w:after="0" w:line="207" w:lineRule="exact"/>
        <w:rPr>
          <w:sz w:val="20"/>
          <w:szCs w:val="20"/>
          <w:color w:val="auto"/>
        </w:rPr>
      </w:pPr>
    </w:p>
    <w:p>
      <w:pPr>
        <w:ind w:right="380" w:firstLine="509"/>
        <w:spacing w:after="0" w:line="255" w:lineRule="auto"/>
        <w:rPr>
          <w:sz w:val="20"/>
          <w:szCs w:val="20"/>
          <w:color w:val="auto"/>
        </w:rPr>
      </w:pPr>
      <w:r>
        <w:rPr>
          <w:rFonts w:ascii="Arial" w:cs="Arial" w:eastAsia="Arial" w:hAnsi="Arial"/>
          <w:sz w:val="18"/>
          <w:szCs w:val="18"/>
          <w:color w:val="auto"/>
        </w:rPr>
        <w:t>The First Lien Credit Agreement initially consisted of a $1.0 billion term loan and revolving credit facilities for an aggregate principal amount of $100.0 million, with a sublimit of $30.0 million for letters of credit under the First Lien Revolvers.</w:t>
      </w:r>
    </w:p>
    <w:p>
      <w:pPr>
        <w:spacing w:after="0" w:line="175"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In February 2020, the Company refinanced its long-term debt and entered into the First Amendment to the First Lien Credit Agreement. The First Lien Amendment provided an incremental term loan, amended the amount of commitments and the maturity dates of the First Lien Credit Agreement’s revolving credit facilities.</w:t>
      </w:r>
    </w:p>
    <w:p>
      <w:pPr>
        <w:spacing w:after="0" w:line="18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First Lien Amendment provided an incremental term loan in the amount of $375.0 million and reduced the amount of commitments under the First Lien Revolvers to an aggregate principal amount of $91.3 million. The First Lien Revolvers continued to have a sublimit of $30.0 million for letters of credit.</w:t>
      </w:r>
    </w:p>
    <w:p>
      <w:pPr>
        <w:spacing w:after="0" w:line="18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The First Lien Term Loan required (after giving effect to the First Lien Amendment) quarterly principal payments of approximately $3.5 million until March 31, 2024, with the remaining outstanding principal amount required to be paid on the maturity date, April 27, 2024. The First Lien Term Loan required a prepayment of principal, subject to certain exceptions, in connection with the receipt of proceeds from certain asset sales, casualty events, and debt issuances by the Company, and up to 50% of annual excess cash flow, as defined in and as further set forth in the First Lien Credit Agreement. When a principal prepayment was required, the prepayment offset the future quarterly principal payments of the same amount. As of December 31, 2020, subject to the request of the lenders of the First Lien Term Loan, a principal prepayment of up to $21.9 million was required. In April 2021, the Company made a principal prepayment of $1.5 million to those lenders who made such a request.</w:t>
      </w:r>
    </w:p>
    <w:p>
      <w:pPr>
        <w:spacing w:after="0" w:line="18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made a principal prepayment of $525.0 million on July 30, 2021. Subsequently, in September 2021, using the proceeds from the Term B Loan provided in the 2021 Credit Agreement, the Company fully repaid the remaining $804.2 million of outstanding borrowings on the First Lien Term Loan.</w:t>
      </w:r>
    </w:p>
    <w:p>
      <w:pPr>
        <w:spacing w:after="0" w:line="18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Amounts outstanding under the First Lien Credit Agreement bore interest at a variable rate of LIBOR, plus up to 3.00% per annum based upon the Company’s leverage ratio, as defined in the First Lien Credit Agreement. A quarterly commitment fee of up to 0.50% was payable on the unused portion of the First Lien Revolvers.</w:t>
      </w:r>
    </w:p>
    <w:p>
      <w:pPr>
        <w:spacing w:after="0" w:line="18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During the three months ended March 31, 2021 the weighted-average interest rate on the outstanding borrowings under the First Lien Term Loan was 4.1%. The Company made interest payments of $13.4 million during the three months ended March 31, 2021.</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cash flow data for the three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(dollar amounts in thousands)</w:t>
            </w:r>
          </w:p>
        </w:tc>
        <w:tc>
          <w:tcPr>
            <w:tcW w:w="340" w:type="dxa"/>
            <w:vAlign w:val="bottom"/>
          </w:tcPr>
          <w:p>
            <w:pPr>
              <w:spacing w:after="0"/>
              <w:rPr>
                <w:sz w:val="19"/>
                <w:szCs w:val="19"/>
                <w:color w:val="auto"/>
              </w:rPr>
            </w:pPr>
          </w:p>
        </w:tc>
        <w:tc>
          <w:tcPr>
            <w:tcW w:w="3220" w:type="dxa"/>
            <w:vAlign w:val="bottom"/>
            <w:gridSpan w:val="5"/>
          </w:tcPr>
          <w:p>
            <w:pPr>
              <w:jc w:val="right"/>
              <w:ind w:right="531"/>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194"/>
        </w:trPr>
        <w:tc>
          <w:tcPr>
            <w:tcW w:w="7680" w:type="dxa"/>
            <w:vAlign w:val="bottom"/>
            <w:vMerge w:val="continue"/>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531"/>
              <w:spacing w:after="0" w:line="194" w:lineRule="exact"/>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1"/>
              <w:spacing w:after="0" w:line="194"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680" w:type="dxa"/>
            <w:vAlign w:val="bottom"/>
            <w:shd w:val="clear" w:color="auto" w:fill="CFF0FC"/>
          </w:tcPr>
          <w:p>
            <w:pPr>
              <w:ind w:left="20"/>
              <w:spacing w:after="0" w:line="194"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31"/>
              <w:spacing w:after="0" w:line="194"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46,865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4" w:lineRule="exact"/>
              <w:rPr>
                <w:sz w:val="20"/>
                <w:szCs w:val="20"/>
                <w:color w:val="auto"/>
              </w:rPr>
            </w:pPr>
            <w:r>
              <w:rPr>
                <w:rFonts w:ascii="Arial" w:cs="Arial" w:eastAsia="Arial" w:hAnsi="Arial"/>
                <w:sz w:val="18"/>
                <w:szCs w:val="18"/>
                <w:color w:val="auto"/>
              </w:rPr>
              <w:t>38,234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7"/>
                <w:szCs w:val="17"/>
                <w:color w:val="auto"/>
              </w:rPr>
            </w:pPr>
          </w:p>
        </w:tc>
        <w:tc>
          <w:tcPr>
            <w:tcW w:w="15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(42,615 )</w:t>
            </w:r>
          </w:p>
        </w:tc>
        <w:tc>
          <w:tcPr>
            <w:tcW w:w="360" w:type="dxa"/>
            <w:vAlign w:val="bottom"/>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(4,686 )</w:t>
            </w:r>
          </w:p>
        </w:tc>
        <w:tc>
          <w:tcPr>
            <w:tcW w:w="0" w:type="dxa"/>
            <w:vAlign w:val="bottom"/>
          </w:tcPr>
          <w:p>
            <w:pPr>
              <w:spacing w:after="0"/>
              <w:rPr>
                <w:sz w:val="1"/>
                <w:szCs w:val="1"/>
                <w:color w:val="auto"/>
              </w:rPr>
            </w:pPr>
          </w:p>
        </w:tc>
      </w:tr>
      <w:tr>
        <w:trPr>
          <w:trHeight w:val="200"/>
        </w:trPr>
        <w:tc>
          <w:tcPr>
            <w:tcW w:w="7680" w:type="dxa"/>
            <w:vAlign w:val="bottom"/>
            <w:shd w:val="clear" w:color="auto" w:fill="CFF0FC"/>
          </w:tcPr>
          <w:p>
            <w:pPr>
              <w:ind w:left="20"/>
              <w:spacing w:after="0" w:line="201" w:lineRule="exact"/>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1" w:lineRule="exact"/>
              <w:rPr>
                <w:sz w:val="20"/>
                <w:szCs w:val="20"/>
                <w:color w:val="auto"/>
              </w:rPr>
            </w:pPr>
            <w:r>
              <w:rPr>
                <w:rFonts w:ascii="Arial" w:cs="Arial" w:eastAsia="Arial" w:hAnsi="Arial"/>
                <w:sz w:val="18"/>
                <w:szCs w:val="18"/>
                <w:color w:val="auto"/>
              </w:rPr>
              <w:t>8,691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1" w:lineRule="exact"/>
              <w:rPr>
                <w:sz w:val="20"/>
                <w:szCs w:val="20"/>
                <w:color w:val="auto"/>
              </w:rPr>
            </w:pPr>
            <w:r>
              <w:rPr>
                <w:rFonts w:ascii="Arial" w:cs="Arial" w:eastAsia="Arial" w:hAnsi="Arial"/>
                <w:sz w:val="18"/>
                <w:szCs w:val="18"/>
                <w:color w:val="auto"/>
              </w:rPr>
              <w:t>(136,501 )</w:t>
            </w:r>
          </w:p>
        </w:tc>
        <w:tc>
          <w:tcPr>
            <w:tcW w:w="0" w:type="dxa"/>
            <w:vAlign w:val="bottom"/>
          </w:tcPr>
          <w:p>
            <w:pPr>
              <w:spacing w:after="0"/>
              <w:rPr>
                <w:sz w:val="1"/>
                <w:szCs w:val="1"/>
                <w:color w:val="auto"/>
              </w:rPr>
            </w:pPr>
          </w:p>
        </w:tc>
      </w:tr>
      <w:tr>
        <w:trPr>
          <w:trHeight w:val="200"/>
        </w:trPr>
        <w:tc>
          <w:tcPr>
            <w:tcW w:w="7680" w:type="dxa"/>
            <w:vAlign w:val="bottom"/>
          </w:tcPr>
          <w:p>
            <w:pPr>
              <w:ind w:left="20"/>
              <w:spacing w:after="0" w:line="201" w:lineRule="exact"/>
              <w:rPr>
                <w:sz w:val="20"/>
                <w:szCs w:val="20"/>
                <w:color w:val="auto"/>
              </w:rPr>
            </w:pPr>
            <w:r>
              <w:rPr>
                <w:rFonts w:ascii="Arial" w:cs="Arial" w:eastAsia="Arial" w:hAnsi="Arial"/>
                <w:sz w:val="18"/>
                <w:szCs w:val="18"/>
                <w:color w:val="auto"/>
              </w:rPr>
              <w:t>Net effect of exchange rate change</w:t>
            </w: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Borders>
              <w:bottom w:val="single" w:sz="8" w:color="CFF0FC"/>
            </w:tcBorders>
            <w:shd w:val="clear" w:color="auto" w:fill="CFF0FC"/>
          </w:tcPr>
          <w:p>
            <w:pPr>
              <w:ind w:left="200"/>
              <w:spacing w:after="0" w:line="194" w:lineRule="exact"/>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auto"/>
            </w:tcBorders>
            <w:shd w:val="clear" w:color="auto" w:fill="CFF0FC"/>
          </w:tcPr>
          <w:p>
            <w:pPr>
              <w:jc w:val="right"/>
              <w:ind w:right="131"/>
              <w:spacing w:after="0" w:line="194"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12,953</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1"/>
              <w:spacing w:after="0" w:line="194"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94" w:lineRule="exact"/>
              <w:rPr>
                <w:sz w:val="20"/>
                <w:szCs w:val="20"/>
                <w:color w:val="auto"/>
              </w:rPr>
            </w:pPr>
            <w:r>
              <w:rPr>
                <w:rFonts w:ascii="Arial" w:cs="Arial" w:eastAsia="Arial" w:hAnsi="Arial"/>
                <w:sz w:val="18"/>
                <w:szCs w:val="18"/>
                <w:color w:val="auto"/>
              </w:rPr>
              <w:t>(102,944</w:t>
            </w:r>
          </w:p>
        </w:tc>
        <w:tc>
          <w:tcPr>
            <w:tcW w:w="80" w:type="dxa"/>
            <w:vAlign w:val="bottom"/>
            <w:tcBorders>
              <w:bottom w:val="single" w:sz="8" w:color="CFF0FC"/>
            </w:tcBorders>
            <w:shd w:val="clear" w:color="auto" w:fill="CFF0FC"/>
          </w:tcPr>
          <w:p>
            <w:pPr>
              <w:jc w:val="right"/>
              <w:spacing w:after="0" w:line="194"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5908040</wp:posOffset>
            </wp:positionH>
            <wp:positionV relativeFrom="paragraph">
              <wp:posOffset>-24765</wp:posOffset>
            </wp:positionV>
            <wp:extent cx="508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-7620</wp:posOffset>
            </wp:positionV>
            <wp:extent cx="508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-24765</wp:posOffset>
            </wp:positionV>
            <wp:extent cx="508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800" cy="8255"/>
                    </a:xfrm>
                    <a:prstGeom prst="rect">
                      <a:avLst/>
                    </a:prstGeom>
                    <a:noFill/>
                  </pic:spPr>
                </pic:pic>
              </a:graphicData>
            </a:graphic>
          </wp:anchor>
        </w:drawing>
        <w:drawing>
          <wp:anchor simplePos="0" relativeHeight="251657728" behindDoc="1" locked="0" layoutInCell="0" allowOverlap="1">
            <wp:simplePos x="0" y="0"/>
            <wp:positionH relativeFrom="column">
              <wp:posOffset>7087235</wp:posOffset>
            </wp:positionH>
            <wp:positionV relativeFrom="paragraph">
              <wp:posOffset>-7620</wp:posOffset>
            </wp:positionV>
            <wp:extent cx="508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800" cy="8255"/>
                    </a:xfrm>
                    <a:prstGeom prst="rect">
                      <a:avLst/>
                    </a:prstGeom>
                    <a:noFill/>
                  </pic:spPr>
                </pic:pic>
              </a:graphicData>
            </a:graphic>
          </wp:anchor>
        </w:drawing>
      </w:r>
    </w:p>
    <w:p>
      <w:pPr>
        <w:spacing w:after="0" w:line="233" w:lineRule="exact"/>
        <w:rPr>
          <w:sz w:val="20"/>
          <w:szCs w:val="20"/>
          <w:color w:val="auto"/>
        </w:rPr>
      </w:pPr>
    </w:p>
    <w:p>
      <w:pPr>
        <w:ind w:firstLine="563"/>
        <w:spacing w:after="0" w:line="271" w:lineRule="auto"/>
        <w:rPr>
          <w:sz w:val="20"/>
          <w:szCs w:val="20"/>
          <w:color w:val="auto"/>
        </w:rPr>
      </w:pPr>
      <w:r>
        <w:rPr>
          <w:rFonts w:ascii="Arial" w:cs="Arial" w:eastAsia="Arial" w:hAnsi="Arial"/>
          <w:sz w:val="16"/>
          <w:szCs w:val="16"/>
          <w:color w:val="auto"/>
        </w:rPr>
        <w:t>Net cash provided by operating activities was $46.9 million for the three months ended March 31, 2022. Net cash provided by operating activities consists of net income of $12.0 million, adjusted for $30.9 million of non-cash items, $14.7 million for changes in working capital and ($10.7) million for the effect of changes in other operating assets and liabilities. Significant non-cash adjustments include depreciation and amortization of $31.6 million, stock-based compensation expense of $23.6 million, non-cash lease expense of $1.2 million, deferred income tax benefits of ($21.2) and a change in fair value of warrant liabilities of ($2.1) million. The change in net operating assets and liabilities was primarily a result of a decrease in accrued expenses of $16.5 million due to timing of cash disbursements and employee incentive plan payments, an increase in other assets of $10.8 million due to timing of payments and other deferred costs, partially offset by a decrease in income taxes of $20.4 million due to timing of payments, a decrease in accounts receivable of $2.0 million due to timing of receipts of payments from customers, an increase in accounts payable of $4.8 million due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to timing of cash disbursements and an increase in deferred revenue of $2.4 million due to timing of customer receipts and revenue recognition.</w:t>
      </w:r>
    </w:p>
    <w:p>
      <w:pPr>
        <w:spacing w:after="0" w:line="219" w:lineRule="exact"/>
        <w:rPr>
          <w:sz w:val="20"/>
          <w:szCs w:val="20"/>
          <w:color w:val="auto"/>
        </w:rPr>
      </w:pPr>
    </w:p>
    <w:p>
      <w:pPr>
        <w:jc w:val="both"/>
        <w:ind w:right="260" w:firstLine="509"/>
        <w:spacing w:after="0" w:line="243" w:lineRule="auto"/>
        <w:rPr>
          <w:sz w:val="20"/>
          <w:szCs w:val="20"/>
          <w:color w:val="auto"/>
        </w:rPr>
      </w:pPr>
      <w:r>
        <w:rPr>
          <w:rFonts w:ascii="Arial" w:cs="Arial" w:eastAsia="Arial" w:hAnsi="Arial"/>
          <w:sz w:val="18"/>
          <w:szCs w:val="18"/>
          <w:color w:val="auto"/>
        </w:rPr>
        <w:t>Net cash used in investing activities was $42.6 million for the three months ended March 31, 2022. Net cash used in investing activities was due to $32.2 million for a business acquisition and $14.3 million of capitalized internally developed software projects and purchases of software, equipment and property, partially offset by $3.9 million of proceeds from the sale of a cost method investment.</w:t>
      </w:r>
    </w:p>
    <w:p>
      <w:pPr>
        <w:spacing w:after="0" w:line="18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7"/>
          <w:szCs w:val="17"/>
          <w:color w:val="auto"/>
        </w:rPr>
        <w:t>Net cash provided by financing activities was $8.7 million for the three months ended March 31, 2022. Net cash provided by financing activities was due to $10.7 million of proceeds from exercise of stock options, partially offset by $2.0 million of principal payments of long-term debt.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4" w:lineRule="exact"/>
        <w:rPr>
          <w:sz w:val="20"/>
          <w:szCs w:val="20"/>
          <w:color w:val="auto"/>
        </w:rPr>
      </w:pPr>
    </w:p>
    <w:p>
      <w:pPr>
        <w:jc w:val="both"/>
        <w:ind w:right="340" w:firstLine="509"/>
        <w:spacing w:after="0" w:line="243" w:lineRule="auto"/>
        <w:rPr>
          <w:sz w:val="20"/>
          <w:szCs w:val="20"/>
          <w:color w:val="auto"/>
        </w:rPr>
      </w:pPr>
      <w:r>
        <w:rPr>
          <w:rFonts w:ascii="Arial" w:cs="Arial" w:eastAsia="Arial" w:hAnsi="Arial"/>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90" w:lineRule="exact"/>
        <w:rPr>
          <w:sz w:val="20"/>
          <w:szCs w:val="20"/>
          <w:color w:val="auto"/>
        </w:rPr>
      </w:pPr>
    </w:p>
    <w:p>
      <w:pPr>
        <w:jc w:val="both"/>
        <w:ind w:right="280" w:firstLine="509"/>
        <w:spacing w:after="0" w:line="243" w:lineRule="auto"/>
        <w:rPr>
          <w:sz w:val="20"/>
          <w:szCs w:val="20"/>
          <w:color w:val="auto"/>
        </w:rPr>
      </w:pPr>
      <w:r>
        <w:rPr>
          <w:rFonts w:ascii="Arial" w:cs="Arial" w:eastAsia="Arial" w:hAnsi="Arial"/>
          <w:sz w:val="18"/>
          <w:szCs w:val="18"/>
          <w:color w:val="auto"/>
        </w:rPr>
        <w:t>Except as described below, there have been no material changes to our critical accounting estimates as compared to the critical accounting policies and estimates disclosed in our audited consolidated financial statements and notes thereto for the year ended December 31, 2021, included in our Annual Report on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Contingent Consideration</w:t>
      </w:r>
    </w:p>
    <w:p>
      <w:pPr>
        <w:spacing w:after="0" w:line="20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Earnout liabilities arising from business acquisitions represent contingent consideration that may be payable in cash and recorded as a liability at fair value upon acquisition and re-measured at fair value in each subsequent reporting period. Changes in fair value are recorded in the consolidated statements of operations.</w:t>
      </w:r>
    </w:p>
    <w:p>
      <w:pPr>
        <w:spacing w:after="0" w:line="186"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Determining the fair value of contingent consideration requires us to make assumptions and judgments. We estimate the fair value of contingent consideration using a Monte Carlo simulation model. These estimates involve inherent uncertainties and if different assumptions had been used, including but not limited to forecast inputs and discount rates, the fair value of contingent consideration could have been materially different from the amounts recorded. During the three months ended March 31, 2022, we have made a preliminary estimate of the fair value of the contingent consideration associated with the acquisition of Safekeep.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There have been no material changes in our market risk during the three months ended March 31, 2022, compared to the disclosures in Part II, Item 7A of our Annual Report on Form 10-K for the year ended December 31,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March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0" w:lineRule="exact"/>
        <w:rPr>
          <w:sz w:val="20"/>
          <w:szCs w:val="20"/>
          <w:color w:val="auto"/>
        </w:rPr>
      </w:pPr>
    </w:p>
    <w:p>
      <w:pPr>
        <w:jc w:val="both"/>
        <w:ind w:right="180" w:firstLine="509"/>
        <w:spacing w:after="0" w:line="243" w:lineRule="auto"/>
        <w:rPr>
          <w:sz w:val="20"/>
          <w:szCs w:val="20"/>
          <w:color w:val="auto"/>
        </w:rPr>
      </w:pPr>
      <w:r>
        <w:rPr>
          <w:rFonts w:ascii="Arial" w:cs="Arial" w:eastAsia="Arial" w:hAnsi="Arial"/>
          <w:sz w:val="18"/>
          <w:szCs w:val="18"/>
          <w:color w:val="auto"/>
        </w:rPr>
        <w:t>In January 2022, we implemented a new customer billing system for our automotive collision repair and parts supplier customers that changed our internal control over financial reporting. In connection with this implementation, we updated our internal controls over financial reporting, as necessary, to accommodate modifications to our business processes.</w:t>
      </w:r>
    </w:p>
    <w:p>
      <w:pPr>
        <w:spacing w:after="0" w:line="7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Except as described above, there were no changes in our internal control over financial reporting during the quarter ended March 31, 2022 identified in management’s evaluation pursuant to in Rules 13a-15(d) and 15d-15(d) of the Exchange Act that materially affected, or are reasonably likely to materially affect, our internal control over financial reporting.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73"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 - OTHER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For risk factors relating to our business, please refer to the section entitled “Risk Factors” in our Annual Report on Form 10-K for the year ended December 31, 2021.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920" w:type="dxa"/>
            <w:vAlign w:val="bottom"/>
            <w:tcBorders>
              <w:bottom w:val="single" w:sz="8" w:color="auto"/>
            </w:tcBorders>
          </w:tcPr>
          <w:p>
            <w:pPr>
              <w:ind w:left="140"/>
              <w:spacing w:after="0" w:line="181" w:lineRule="exact"/>
              <w:rPr>
                <w:sz w:val="20"/>
                <w:szCs w:val="20"/>
                <w:color w:val="auto"/>
              </w:rPr>
            </w:pPr>
            <w:r>
              <w:rPr>
                <w:rFonts w:ascii="Arial" w:cs="Arial" w:eastAsia="Arial" w:hAnsi="Arial"/>
                <w:sz w:val="18"/>
                <w:szCs w:val="18"/>
                <w:b w:val="1"/>
                <w:bCs w:val="1"/>
                <w:color w:val="auto"/>
              </w:rPr>
              <w:t>Number</w:t>
            </w:r>
          </w:p>
        </w:tc>
        <w:tc>
          <w:tcPr>
            <w:tcW w:w="10200" w:type="dxa"/>
            <w:vAlign w:val="bottom"/>
            <w:gridSpan w:val="10"/>
          </w:tcPr>
          <w:p>
            <w:pPr>
              <w:ind w:left="120"/>
              <w:spacing w:after="0" w:line="181" w:lineRule="exact"/>
              <w:rPr>
                <w:sz w:val="20"/>
                <w:szCs w:val="20"/>
                <w:color w:val="auto"/>
              </w:rPr>
            </w:pPr>
            <w:r>
              <w:rPr>
                <w:rFonts w:ascii="Arial" w:cs="Arial" w:eastAsia="Arial" w:hAnsi="Arial"/>
                <w:sz w:val="18"/>
                <w:szCs w:val="18"/>
                <w:b w:val="1"/>
                <w:bCs w:val="1"/>
                <w:color w:val="auto"/>
              </w:rPr>
              <w:t>Description</w:t>
            </w:r>
          </w:p>
        </w:tc>
      </w:tr>
      <w:tr>
        <w:trPr>
          <w:trHeight w:val="160"/>
        </w:trPr>
        <w:tc>
          <w:tcPr>
            <w:tcW w:w="920" w:type="dxa"/>
            <w:vAlign w:val="bottom"/>
            <w:shd w:val="clear" w:color="auto" w:fill="CCEEFF"/>
          </w:tcPr>
          <w:p>
            <w:pPr>
              <w:ind w:left="20"/>
              <w:spacing w:after="0" w:line="160" w:lineRule="exact"/>
              <w:rPr>
                <w:sz w:val="20"/>
                <w:szCs w:val="20"/>
                <w:color w:val="auto"/>
              </w:rPr>
            </w:pPr>
            <w:r>
              <w:rPr>
                <w:rFonts w:ascii="Arial" w:cs="Arial" w:eastAsia="Arial" w:hAnsi="Arial"/>
                <w:sz w:val="18"/>
                <w:szCs w:val="18"/>
                <w:color w:val="auto"/>
              </w:rPr>
              <w:t>31.1*</w:t>
            </w:r>
          </w:p>
        </w:tc>
        <w:tc>
          <w:tcPr>
            <w:tcW w:w="10200" w:type="dxa"/>
            <w:vAlign w:val="bottom"/>
            <w:gridSpan w:val="10"/>
            <w:shd w:val="clear" w:color="auto" w:fill="CCEEFF"/>
          </w:tcPr>
          <w:p>
            <w:pPr>
              <w:ind w:left="120"/>
              <w:spacing w:after="0" w:line="160" w:lineRule="exact"/>
              <w:rPr>
                <w:rFonts w:ascii="Arial" w:cs="Arial" w:eastAsia="Arial" w:hAnsi="Arial"/>
                <w:sz w:val="18"/>
                <w:szCs w:val="18"/>
                <w:color w:val="0000FF"/>
                <w:w w:val="96"/>
              </w:rPr>
            </w:pPr>
            <w:hyperlink w:anchor="page46">
              <w:r>
                <w:rPr>
                  <w:rFonts w:ascii="Arial" w:cs="Arial" w:eastAsia="Arial" w:hAnsi="Arial"/>
                  <w:sz w:val="18"/>
                  <w:szCs w:val="18"/>
                  <w:color w:val="0000FF"/>
                  <w:w w:val="96"/>
                </w:rPr>
                <w:t>Certification of Chief Executive Officer (Principal Executive Officer) Pursuant to Rules 13a-14(a) and 15d-14(a) under the Securities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0" w:type="dxa"/>
            <w:vAlign w:val="bottom"/>
            <w:tcBorders>
              <w:top w:val="single" w:sz="8" w:color="0000FF"/>
              <w:bottom w:val="single" w:sz="8" w:color="0000FF"/>
            </w:tcBorders>
            <w:gridSpan w:val="3"/>
            <w:shd w:val="clear" w:color="auto" w:fill="CCEEFF"/>
          </w:tcPr>
          <w:p>
            <w:pPr>
              <w:spacing w:after="0" w:line="154" w:lineRule="exact"/>
              <w:rPr>
                <w:rFonts w:ascii="Arial" w:cs="Arial" w:eastAsia="Arial" w:hAnsi="Arial"/>
                <w:sz w:val="17"/>
                <w:szCs w:val="17"/>
                <w:color w:val="0000FF"/>
                <w:w w:val="94"/>
              </w:rPr>
            </w:pPr>
            <w:hyperlink w:anchor="page46">
              <w:r>
                <w:rPr>
                  <w:rFonts w:ascii="Arial" w:cs="Arial" w:eastAsia="Arial" w:hAnsi="Arial"/>
                  <w:sz w:val="17"/>
                  <w:szCs w:val="17"/>
                  <w:color w:val="0000FF"/>
                  <w:w w:val="94"/>
                </w:rPr>
                <w:t>Exchange Act of 1934, as Adopted Pursuant to Section 302 of the Sarbanes-Oxley Act of 2002.</w:t>
              </w:r>
            </w:hyperlink>
          </w:p>
        </w:tc>
        <w:tc>
          <w:tcPr>
            <w:tcW w:w="274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4"/>
        </w:trPr>
        <w:tc>
          <w:tcPr>
            <w:tcW w:w="920" w:type="dxa"/>
            <w:vAlign w:val="bottom"/>
          </w:tcPr>
          <w:p>
            <w:pPr>
              <w:ind w:left="20"/>
              <w:spacing w:after="0" w:line="154" w:lineRule="exact"/>
              <w:rPr>
                <w:sz w:val="20"/>
                <w:szCs w:val="20"/>
                <w:color w:val="auto"/>
              </w:rPr>
            </w:pPr>
            <w:r>
              <w:rPr>
                <w:rFonts w:ascii="Arial" w:cs="Arial" w:eastAsia="Arial" w:hAnsi="Arial"/>
                <w:sz w:val="17"/>
                <w:szCs w:val="17"/>
                <w:color w:val="auto"/>
              </w:rPr>
              <w:t>31.2*</w:t>
            </w:r>
          </w:p>
        </w:tc>
        <w:tc>
          <w:tcPr>
            <w:tcW w:w="10200" w:type="dxa"/>
            <w:vAlign w:val="bottom"/>
            <w:gridSpan w:val="10"/>
          </w:tcPr>
          <w:p>
            <w:pPr>
              <w:ind w:left="120"/>
              <w:spacing w:after="0" w:line="154" w:lineRule="exact"/>
              <w:rPr>
                <w:rFonts w:ascii="Arial" w:cs="Arial" w:eastAsia="Arial" w:hAnsi="Arial"/>
                <w:sz w:val="17"/>
                <w:szCs w:val="17"/>
                <w:color w:val="0000FF"/>
                <w:w w:val="98"/>
              </w:rPr>
            </w:pPr>
            <w:hyperlink w:anchor="page48">
              <w:r>
                <w:rPr>
                  <w:rFonts w:ascii="Arial" w:cs="Arial" w:eastAsia="Arial" w:hAnsi="Arial"/>
                  <w:sz w:val="17"/>
                  <w:szCs w:val="17"/>
                  <w:color w:val="0000FF"/>
                  <w:w w:val="98"/>
                </w:rPr>
                <w:t>Certification of Chief Financial Officer (Principal Financial and Accounting Officer) Pursuant to Rules 13a-14(a) and 15d-14(a) under the</w:t>
              </w:r>
            </w:hyperlink>
          </w:p>
        </w:tc>
      </w:tr>
      <w:tr>
        <w:trPr>
          <w:trHeight w:val="154"/>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8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w:anchor="page48">
              <w:r>
                <w:rPr>
                  <w:rFonts w:ascii="Arial" w:cs="Arial" w:eastAsia="Arial" w:hAnsi="Arial"/>
                  <w:sz w:val="17"/>
                  <w:szCs w:val="17"/>
                  <w:color w:val="0000FF"/>
                </w:rPr>
                <w:t>Securities Exchange Act of 1934, as Adopted Pursuant to Section 302 of the Sarbanes-Oxley Act of 2002.</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4"/>
        </w:trPr>
        <w:tc>
          <w:tcPr>
            <w:tcW w:w="9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32.1**</w:t>
            </w:r>
          </w:p>
        </w:tc>
        <w:tc>
          <w:tcPr>
            <w:tcW w:w="10200" w:type="dxa"/>
            <w:vAlign w:val="bottom"/>
            <w:gridSpan w:val="10"/>
            <w:shd w:val="clear" w:color="auto" w:fill="CCEEFF"/>
          </w:tcPr>
          <w:p>
            <w:pPr>
              <w:ind w:left="120"/>
              <w:spacing w:after="0" w:line="154" w:lineRule="exact"/>
              <w:rPr>
                <w:rFonts w:ascii="Arial" w:cs="Arial" w:eastAsia="Arial" w:hAnsi="Arial"/>
                <w:sz w:val="17"/>
                <w:szCs w:val="17"/>
                <w:color w:val="0000FF"/>
                <w:w w:val="98"/>
              </w:rPr>
            </w:pPr>
            <w:hyperlink w:anchor="page50">
              <w:r>
                <w:rPr>
                  <w:rFonts w:ascii="Arial" w:cs="Arial" w:eastAsia="Arial" w:hAnsi="Arial"/>
                  <w:sz w:val="17"/>
                  <w:szCs w:val="17"/>
                  <w:color w:val="0000FF"/>
                  <w:w w:val="98"/>
                </w:rPr>
                <w:t>Certification of Chief Executive Officer (Principal Executive Officer) Pursuant to 18 U.S.C. Section 1350, as Adopted Pursuant to Section</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840" w:type="dxa"/>
            <w:vAlign w:val="bottom"/>
            <w:tcBorders>
              <w:top w:val="single" w:sz="8" w:color="0000FF"/>
              <w:bottom w:val="single" w:sz="8" w:color="0000FF"/>
            </w:tcBorders>
            <w:gridSpan w:val="2"/>
            <w:shd w:val="clear" w:color="auto" w:fill="CCEEFF"/>
          </w:tcPr>
          <w:p>
            <w:pPr>
              <w:spacing w:after="0" w:line="154" w:lineRule="exact"/>
              <w:rPr>
                <w:rFonts w:ascii="Arial" w:cs="Arial" w:eastAsia="Arial" w:hAnsi="Arial"/>
                <w:sz w:val="17"/>
                <w:szCs w:val="17"/>
                <w:color w:val="0000FF"/>
                <w:w w:val="94"/>
              </w:rPr>
            </w:pPr>
            <w:hyperlink w:anchor="page50">
              <w:r>
                <w:rPr>
                  <w:rFonts w:ascii="Arial" w:cs="Arial" w:eastAsia="Arial" w:hAnsi="Arial"/>
                  <w:sz w:val="17"/>
                  <w:szCs w:val="17"/>
                  <w:color w:val="0000FF"/>
                  <w:w w:val="94"/>
                </w:rPr>
                <w:t>906 of the Sarbanes-Oxley Act of 2002.</w:t>
              </w:r>
            </w:hyperlink>
          </w:p>
        </w:tc>
        <w:tc>
          <w:tcPr>
            <w:tcW w:w="706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4"/>
        </w:trPr>
        <w:tc>
          <w:tcPr>
            <w:tcW w:w="920" w:type="dxa"/>
            <w:vAlign w:val="bottom"/>
          </w:tcPr>
          <w:p>
            <w:pPr>
              <w:ind w:left="20"/>
              <w:spacing w:after="0" w:line="154" w:lineRule="exact"/>
              <w:rPr>
                <w:sz w:val="20"/>
                <w:szCs w:val="20"/>
                <w:color w:val="auto"/>
              </w:rPr>
            </w:pPr>
            <w:r>
              <w:rPr>
                <w:rFonts w:ascii="Arial" w:cs="Arial" w:eastAsia="Arial" w:hAnsi="Arial"/>
                <w:sz w:val="17"/>
                <w:szCs w:val="17"/>
                <w:color w:val="auto"/>
              </w:rPr>
              <w:t>32.2**</w:t>
            </w:r>
          </w:p>
        </w:tc>
        <w:tc>
          <w:tcPr>
            <w:tcW w:w="10200" w:type="dxa"/>
            <w:vAlign w:val="bottom"/>
            <w:gridSpan w:val="10"/>
          </w:tcPr>
          <w:p>
            <w:pPr>
              <w:ind w:left="120"/>
              <w:spacing w:after="0" w:line="154" w:lineRule="exact"/>
              <w:rPr>
                <w:rFonts w:ascii="Arial" w:cs="Arial" w:eastAsia="Arial" w:hAnsi="Arial"/>
                <w:sz w:val="17"/>
                <w:szCs w:val="17"/>
                <w:color w:val="0000FF"/>
                <w:w w:val="96"/>
              </w:rPr>
            </w:pPr>
            <w:hyperlink w:anchor="page51">
              <w:r>
                <w:rPr>
                  <w:rFonts w:ascii="Arial" w:cs="Arial" w:eastAsia="Arial" w:hAnsi="Arial"/>
                  <w:sz w:val="17"/>
                  <w:szCs w:val="17"/>
                  <w:color w:val="0000FF"/>
                  <w:w w:val="96"/>
                </w:rPr>
                <w:t>Certification of Chief Financial Officer Pursuant to 18 U.S.C. Section 1350, as Adopted Pursuant to Section 906 of the Sarbanes-Oxley Act</w:t>
              </w:r>
            </w:hyperlink>
          </w:p>
        </w:tc>
      </w:tr>
      <w:tr>
        <w:trPr>
          <w:trHeight w:val="154"/>
        </w:trPr>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8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w:anchor="page51">
              <w:r>
                <w:rPr>
                  <w:rFonts w:ascii="Arial" w:cs="Arial" w:eastAsia="Arial" w:hAnsi="Arial"/>
                  <w:sz w:val="17"/>
                  <w:szCs w:val="17"/>
                  <w:color w:val="0000FF"/>
                </w:rPr>
                <w:t>of 2002.</w:t>
              </w:r>
            </w:hyperlink>
          </w:p>
        </w:tc>
        <w:tc>
          <w:tcPr>
            <w:tcW w:w="10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92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101.INS*</w:t>
            </w:r>
          </w:p>
        </w:tc>
        <w:tc>
          <w:tcPr>
            <w:tcW w:w="10200" w:type="dxa"/>
            <w:vAlign w:val="bottom"/>
            <w:gridSpan w:val="10"/>
            <w:shd w:val="clear" w:color="auto" w:fill="CCEEFF"/>
          </w:tcPr>
          <w:p>
            <w:pPr>
              <w:ind w:left="120"/>
              <w:spacing w:after="0" w:line="167" w:lineRule="exact"/>
              <w:rPr>
                <w:sz w:val="20"/>
                <w:szCs w:val="20"/>
                <w:color w:val="auto"/>
              </w:rPr>
            </w:pPr>
            <w:r>
              <w:rPr>
                <w:rFonts w:ascii="Arial" w:cs="Arial" w:eastAsia="Arial" w:hAnsi="Arial"/>
                <w:sz w:val="18"/>
                <w:szCs w:val="18"/>
                <w:color w:val="auto"/>
              </w:rPr>
              <w:t>Inline XBRL Instance Document</w:t>
            </w:r>
          </w:p>
        </w:tc>
      </w:tr>
      <w:tr>
        <w:trPr>
          <w:trHeight w:val="174"/>
        </w:trPr>
        <w:tc>
          <w:tcPr>
            <w:tcW w:w="920" w:type="dxa"/>
            <w:vAlign w:val="bottom"/>
          </w:tcPr>
          <w:p>
            <w:pPr>
              <w:ind w:left="20"/>
              <w:spacing w:after="0" w:line="174" w:lineRule="exact"/>
              <w:rPr>
                <w:sz w:val="20"/>
                <w:szCs w:val="20"/>
                <w:color w:val="auto"/>
              </w:rPr>
            </w:pPr>
            <w:r>
              <w:rPr>
                <w:rFonts w:ascii="Arial" w:cs="Arial" w:eastAsia="Arial" w:hAnsi="Arial"/>
                <w:sz w:val="18"/>
                <w:szCs w:val="18"/>
                <w:color w:val="auto"/>
              </w:rPr>
              <w:t>101.SCH*</w:t>
            </w:r>
          </w:p>
        </w:tc>
        <w:tc>
          <w:tcPr>
            <w:tcW w:w="10200" w:type="dxa"/>
            <w:vAlign w:val="bottom"/>
            <w:gridSpan w:val="10"/>
          </w:tcPr>
          <w:p>
            <w:pPr>
              <w:ind w:left="120"/>
              <w:spacing w:after="0" w:line="174" w:lineRule="exact"/>
              <w:rPr>
                <w:sz w:val="20"/>
                <w:szCs w:val="20"/>
                <w:color w:val="auto"/>
              </w:rPr>
            </w:pPr>
            <w:r>
              <w:rPr>
                <w:rFonts w:ascii="Arial" w:cs="Arial" w:eastAsia="Arial" w:hAnsi="Arial"/>
                <w:sz w:val="18"/>
                <w:szCs w:val="18"/>
                <w:color w:val="auto"/>
              </w:rPr>
              <w:t>Inline XBRL Taxonomy Extension Schema Document</w:t>
            </w:r>
          </w:p>
        </w:tc>
      </w:tr>
      <w:tr>
        <w:trPr>
          <w:trHeight w:val="174"/>
        </w:trPr>
        <w:tc>
          <w:tcPr>
            <w:tcW w:w="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101.CAL*</w:t>
            </w:r>
          </w:p>
        </w:tc>
        <w:tc>
          <w:tcPr>
            <w:tcW w:w="10200" w:type="dxa"/>
            <w:vAlign w:val="bottom"/>
            <w:gridSpan w:val="10"/>
            <w:shd w:val="clear" w:color="auto" w:fill="CCEEFF"/>
          </w:tcPr>
          <w:p>
            <w:pPr>
              <w:ind w:left="120"/>
              <w:spacing w:after="0" w:line="174"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74"/>
        </w:trPr>
        <w:tc>
          <w:tcPr>
            <w:tcW w:w="920" w:type="dxa"/>
            <w:vAlign w:val="bottom"/>
          </w:tcPr>
          <w:p>
            <w:pPr>
              <w:ind w:left="20"/>
              <w:spacing w:after="0" w:line="174" w:lineRule="exact"/>
              <w:rPr>
                <w:sz w:val="20"/>
                <w:szCs w:val="20"/>
                <w:color w:val="auto"/>
              </w:rPr>
            </w:pPr>
            <w:r>
              <w:rPr>
                <w:rFonts w:ascii="Arial" w:cs="Arial" w:eastAsia="Arial" w:hAnsi="Arial"/>
                <w:sz w:val="18"/>
                <w:szCs w:val="18"/>
                <w:color w:val="auto"/>
              </w:rPr>
              <w:t>101.DEF*</w:t>
            </w:r>
          </w:p>
        </w:tc>
        <w:tc>
          <w:tcPr>
            <w:tcW w:w="10200" w:type="dxa"/>
            <w:vAlign w:val="bottom"/>
            <w:gridSpan w:val="10"/>
          </w:tcPr>
          <w:p>
            <w:pPr>
              <w:ind w:left="120"/>
              <w:spacing w:after="0" w:line="174"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74"/>
        </w:trPr>
        <w:tc>
          <w:tcPr>
            <w:tcW w:w="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101.LAB*</w:t>
            </w:r>
          </w:p>
        </w:tc>
        <w:tc>
          <w:tcPr>
            <w:tcW w:w="10200" w:type="dxa"/>
            <w:vAlign w:val="bottom"/>
            <w:gridSpan w:val="10"/>
            <w:shd w:val="clear" w:color="auto" w:fill="CCEEFF"/>
          </w:tcPr>
          <w:p>
            <w:pPr>
              <w:ind w:left="120"/>
              <w:spacing w:after="0" w:line="174" w:lineRule="exact"/>
              <w:rPr>
                <w:sz w:val="20"/>
                <w:szCs w:val="20"/>
                <w:color w:val="auto"/>
              </w:rPr>
            </w:pPr>
            <w:r>
              <w:rPr>
                <w:rFonts w:ascii="Arial" w:cs="Arial" w:eastAsia="Arial" w:hAnsi="Arial"/>
                <w:sz w:val="18"/>
                <w:szCs w:val="18"/>
                <w:color w:val="auto"/>
              </w:rPr>
              <w:t>Inline XBRL Taxonomy Extension Label Linkbase Document</w:t>
            </w:r>
          </w:p>
        </w:tc>
      </w:tr>
      <w:tr>
        <w:trPr>
          <w:trHeight w:val="147"/>
        </w:trPr>
        <w:tc>
          <w:tcPr>
            <w:tcW w:w="920" w:type="dxa"/>
            <w:vAlign w:val="bottom"/>
          </w:tcPr>
          <w:p>
            <w:pPr>
              <w:ind w:left="20"/>
              <w:spacing w:after="0" w:line="147" w:lineRule="exact"/>
              <w:rPr>
                <w:sz w:val="20"/>
                <w:szCs w:val="20"/>
                <w:color w:val="auto"/>
              </w:rPr>
            </w:pPr>
            <w:r>
              <w:rPr>
                <w:rFonts w:ascii="Arial" w:cs="Arial" w:eastAsia="Arial" w:hAnsi="Arial"/>
                <w:sz w:val="17"/>
                <w:szCs w:val="17"/>
                <w:color w:val="auto"/>
              </w:rPr>
              <w:t>101.PRE*</w:t>
            </w:r>
          </w:p>
        </w:tc>
        <w:tc>
          <w:tcPr>
            <w:tcW w:w="10200" w:type="dxa"/>
            <w:vAlign w:val="bottom"/>
            <w:gridSpan w:val="10"/>
          </w:tcPr>
          <w:p>
            <w:pPr>
              <w:ind w:left="120"/>
              <w:spacing w:after="0" w:line="147" w:lineRule="exact"/>
              <w:rPr>
                <w:sz w:val="20"/>
                <w:szCs w:val="20"/>
                <w:color w:val="auto"/>
              </w:rPr>
            </w:pPr>
            <w:r>
              <w:rPr>
                <w:rFonts w:ascii="Arial" w:cs="Arial" w:eastAsia="Arial" w:hAnsi="Arial"/>
                <w:sz w:val="17"/>
                <w:szCs w:val="17"/>
                <w:color w:val="auto"/>
              </w:rPr>
              <w:t>Inline XBRL Taxonomy Extension Presentation Linkbase Document</w:t>
            </w:r>
          </w:p>
        </w:tc>
      </w:tr>
      <w:tr>
        <w:trPr>
          <w:trHeight w:val="189"/>
        </w:trPr>
        <w:tc>
          <w:tcPr>
            <w:tcW w:w="92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10200" w:type="dxa"/>
            <w:vAlign w:val="bottom"/>
            <w:gridSpan w:val="10"/>
          </w:tcPr>
          <w:p>
            <w:pPr>
              <w:ind w:left="120"/>
              <w:spacing w:after="0" w:line="189" w:lineRule="exact"/>
              <w:rPr>
                <w:sz w:val="20"/>
                <w:szCs w:val="20"/>
                <w:color w:val="auto"/>
              </w:rPr>
            </w:pPr>
            <w:r>
              <w:rPr>
                <w:rFonts w:ascii="Arial" w:cs="Arial" w:eastAsia="Arial" w:hAnsi="Arial"/>
                <w:sz w:val="18"/>
                <w:szCs w:val="18"/>
                <w:color w:val="auto"/>
                <w:w w:val="89"/>
              </w:rPr>
              <w:t>Cover Page Interactive Data File - The cover page interactive data file does not appear in the Interactive Data File because its XBRL tags 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057390" cy="2203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57390" cy="220345"/>
                    </a:xfrm>
                    <a:prstGeom prst="rect">
                      <a:avLst/>
                    </a:prstGeom>
                    <a:noFill/>
                  </pic:spPr>
                </pic:pic>
              </a:graphicData>
            </a:graphic>
          </wp:anchor>
        </w:drawing>
      </w:r>
    </w:p>
    <w:p>
      <w:pPr>
        <w:ind w:left="1040"/>
        <w:spacing w:after="0" w:line="216" w:lineRule="auto"/>
        <w:rPr>
          <w:sz w:val="20"/>
          <w:szCs w:val="20"/>
          <w:color w:val="auto"/>
        </w:rPr>
      </w:pPr>
      <w:r>
        <w:rPr>
          <w:rFonts w:ascii="Arial" w:cs="Arial" w:eastAsia="Arial" w:hAnsi="Arial"/>
          <w:sz w:val="18"/>
          <w:szCs w:val="18"/>
          <w:color w:val="auto"/>
        </w:rPr>
        <w:t>embedded within the Inline XBRL document</w:t>
      </w:r>
    </w:p>
    <w:p>
      <w:pPr>
        <w:spacing w:after="0" w:line="233" w:lineRule="auto"/>
        <w:rPr>
          <w:sz w:val="20"/>
          <w:szCs w:val="20"/>
          <w:color w:val="auto"/>
        </w:rPr>
      </w:pPr>
      <w:r>
        <w:rPr>
          <w:rFonts w:ascii="Arial" w:cs="Arial" w:eastAsia="Arial" w:hAnsi="Arial"/>
          <w:sz w:val="18"/>
          <w:szCs w:val="18"/>
          <w:color w:val="auto"/>
        </w:rPr>
        <w:t>__________</w:t>
      </w:r>
    </w:p>
    <w:p>
      <w:pPr>
        <w:spacing w:after="0" w:line="232" w:lineRule="auto"/>
        <w:rPr>
          <w:sz w:val="20"/>
          <w:szCs w:val="20"/>
          <w:color w:val="auto"/>
        </w:rPr>
      </w:pPr>
      <w:r>
        <w:rPr>
          <w:rFonts w:ascii="Arial" w:cs="Arial" w:eastAsia="Arial" w:hAnsi="Arial"/>
          <w:sz w:val="18"/>
          <w:szCs w:val="18"/>
          <w:color w:val="auto"/>
        </w:rPr>
        <w:t>* Filed herewith</w:t>
      </w:r>
    </w:p>
    <w:p>
      <w:pPr>
        <w:spacing w:after="0"/>
        <w:rPr>
          <w:sz w:val="20"/>
          <w:szCs w:val="20"/>
          <w:color w:val="auto"/>
        </w:rPr>
      </w:pPr>
      <w:r>
        <w:rPr>
          <w:rFonts w:ascii="Arial" w:cs="Arial" w:eastAsia="Arial" w:hAnsi="Arial"/>
          <w:sz w:val="18"/>
          <w:szCs w:val="18"/>
          <w:color w:val="auto"/>
        </w:rPr>
        <w:t>** Furnished herewith</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w:t>
      </w:r>
    </w:p>
    <w:p>
      <w:pPr>
        <w:spacing w:after="0" w:line="211" w:lineRule="exact"/>
        <w:rPr>
          <w:sz w:val="20"/>
          <w:szCs w:val="20"/>
          <w:color w:val="auto"/>
        </w:rPr>
      </w:pPr>
    </w:p>
    <w:p>
      <w:pPr>
        <w:ind w:right="560" w:firstLine="509"/>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80" w:type="dxa"/>
            <w:vAlign w:val="bottom"/>
          </w:tcPr>
          <w:p>
            <w:pPr>
              <w:ind w:left="20"/>
              <w:spacing w:after="0"/>
              <w:rPr>
                <w:sz w:val="20"/>
                <w:szCs w:val="20"/>
                <w:color w:val="auto"/>
              </w:rPr>
            </w:pPr>
            <w:r>
              <w:rPr>
                <w:rFonts w:ascii="Arial" w:cs="Arial" w:eastAsia="Arial" w:hAnsi="Arial"/>
                <w:sz w:val="18"/>
                <w:szCs w:val="18"/>
                <w:color w:val="auto"/>
              </w:rPr>
              <w:t>Dated: May 5, 2022</w:t>
            </w:r>
          </w:p>
        </w:tc>
        <w:tc>
          <w:tcPr>
            <w:tcW w:w="7640" w:type="dxa"/>
            <w:vAlign w:val="bottom"/>
            <w:gridSpan w:val="2"/>
          </w:tcPr>
          <w:p>
            <w:pPr>
              <w:ind w:left="2060"/>
              <w:spacing w:after="0"/>
              <w:rPr>
                <w:sz w:val="20"/>
                <w:szCs w:val="20"/>
                <w:color w:val="auto"/>
              </w:rPr>
            </w:pPr>
            <w:r>
              <w:rPr>
                <w:rFonts w:ascii="Arial" w:cs="Arial" w:eastAsia="Arial" w:hAnsi="Arial"/>
                <w:sz w:val="18"/>
                <w:szCs w:val="18"/>
                <w:b w:val="1"/>
                <w:bCs w:val="1"/>
                <w:color w:val="auto"/>
              </w:rPr>
              <w:t>CCC INTELLIGENT SOLUTIONS HOLDINGS INC.</w:t>
            </w:r>
          </w:p>
        </w:tc>
        <w:tc>
          <w:tcPr>
            <w:tcW w:w="120" w:type="dxa"/>
            <w:vAlign w:val="bottom"/>
          </w:tcPr>
          <w:p>
            <w:pPr>
              <w:spacing w:after="0"/>
              <w:rPr>
                <w:sz w:val="20"/>
                <w:szCs w:val="20"/>
                <w:color w:val="auto"/>
              </w:rPr>
            </w:pPr>
          </w:p>
        </w:tc>
      </w:tr>
      <w:tr>
        <w:trPr>
          <w:trHeight w:val="329"/>
        </w:trPr>
        <w:tc>
          <w:tcPr>
            <w:tcW w:w="348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Githesh Ramamurthy</w:t>
            </w:r>
          </w:p>
        </w:tc>
        <w:tc>
          <w:tcPr>
            <w:tcW w:w="120" w:type="dxa"/>
            <w:vAlign w:val="bottom"/>
          </w:tcPr>
          <w:p>
            <w:pPr>
              <w:spacing w:after="0"/>
              <w:rPr>
                <w:sz w:val="24"/>
                <w:szCs w:val="24"/>
                <w:color w:val="auto"/>
              </w:rPr>
            </w:pPr>
          </w:p>
        </w:tc>
      </w:tr>
      <w:tr>
        <w:trPr>
          <w:trHeight w:val="147"/>
        </w:trPr>
        <w:tc>
          <w:tcPr>
            <w:tcW w:w="3480" w:type="dxa"/>
            <w:vAlign w:val="bottom"/>
          </w:tcPr>
          <w:p>
            <w:pPr>
              <w:spacing w:after="0"/>
              <w:rPr>
                <w:sz w:val="12"/>
                <w:szCs w:val="12"/>
                <w:color w:val="auto"/>
              </w:rPr>
            </w:pPr>
          </w:p>
        </w:tc>
        <w:tc>
          <w:tcPr>
            <w:tcW w:w="2700" w:type="dxa"/>
            <w:vAlign w:val="bottom"/>
          </w:tcPr>
          <w:p>
            <w:pPr>
              <w:ind w:left="2060"/>
              <w:spacing w:after="0" w:line="147"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47" w:lineRule="exact"/>
              <w:rPr>
                <w:sz w:val="20"/>
                <w:szCs w:val="20"/>
                <w:color w:val="auto"/>
              </w:rPr>
            </w:pPr>
            <w:r>
              <w:rPr>
                <w:rFonts w:ascii="Arial" w:cs="Arial" w:eastAsia="Arial" w:hAnsi="Arial"/>
                <w:sz w:val="17"/>
                <w:szCs w:val="17"/>
                <w:color w:val="auto"/>
                <w:highlight w:val="white"/>
              </w:rPr>
              <w:t>Githesh Ramamurthy</w:t>
            </w:r>
          </w:p>
        </w:tc>
        <w:tc>
          <w:tcPr>
            <w:tcW w:w="120" w:type="dxa"/>
            <w:vAlign w:val="bottom"/>
          </w:tcPr>
          <w:p>
            <w:pPr>
              <w:spacing w:after="0"/>
              <w:rPr>
                <w:sz w:val="12"/>
                <w:szCs w:val="12"/>
                <w:color w:val="auto"/>
              </w:rPr>
            </w:pPr>
          </w:p>
        </w:tc>
      </w:tr>
      <w:tr>
        <w:trPr>
          <w:trHeight w:val="174"/>
        </w:trPr>
        <w:tc>
          <w:tcPr>
            <w:tcW w:w="3480" w:type="dxa"/>
            <w:vAlign w:val="bottom"/>
          </w:tcPr>
          <w:p>
            <w:pPr>
              <w:spacing w:after="0"/>
              <w:rPr>
                <w:sz w:val="15"/>
                <w:szCs w:val="15"/>
                <w:color w:val="auto"/>
              </w:rPr>
            </w:pPr>
          </w:p>
        </w:tc>
        <w:tc>
          <w:tcPr>
            <w:tcW w:w="2700" w:type="dxa"/>
            <w:vAlign w:val="bottom"/>
          </w:tcPr>
          <w:p>
            <w:pPr>
              <w:ind w:left="2060"/>
              <w:spacing w:after="0" w:line="174"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174" w:lineRule="exact"/>
              <w:rPr>
                <w:sz w:val="20"/>
                <w:szCs w:val="20"/>
                <w:color w:val="auto"/>
              </w:rPr>
            </w:pPr>
            <w:r>
              <w:rPr>
                <w:rFonts w:ascii="Arial" w:cs="Arial" w:eastAsia="Arial" w:hAnsi="Arial"/>
                <w:sz w:val="18"/>
                <w:szCs w:val="18"/>
                <w:color w:val="auto"/>
                <w:w w:val="98"/>
              </w:rPr>
              <w:t>Chief Executive Officer and Chairman of the Board of Directors</w:t>
            </w:r>
          </w:p>
        </w:tc>
        <w:tc>
          <w:tcPr>
            <w:tcW w:w="120" w:type="dxa"/>
            <w:vAlign w:val="bottom"/>
          </w:tcPr>
          <w:p>
            <w:pPr>
              <w:spacing w:after="0"/>
              <w:rPr>
                <w:sz w:val="15"/>
                <w:szCs w:val="15"/>
                <w:color w:val="auto"/>
              </w:rPr>
            </w:pPr>
          </w:p>
        </w:tc>
      </w:tr>
      <w:tr>
        <w:trPr>
          <w:trHeight w:val="227"/>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r>
      <w:tr>
        <w:trPr>
          <w:trHeight w:val="346"/>
        </w:trPr>
        <w:tc>
          <w:tcPr>
            <w:tcW w:w="3480" w:type="dxa"/>
            <w:vAlign w:val="bottom"/>
          </w:tcPr>
          <w:p>
            <w:pPr>
              <w:ind w:left="20"/>
              <w:spacing w:after="0"/>
              <w:rPr>
                <w:sz w:val="20"/>
                <w:szCs w:val="20"/>
                <w:color w:val="auto"/>
              </w:rPr>
            </w:pPr>
            <w:r>
              <w:rPr>
                <w:rFonts w:ascii="Arial" w:cs="Arial" w:eastAsia="Arial" w:hAnsi="Arial"/>
                <w:sz w:val="18"/>
                <w:szCs w:val="18"/>
                <w:color w:val="auto"/>
              </w:rPr>
              <w:t>Dated: May 5, 2022</w:t>
            </w:r>
          </w:p>
        </w:tc>
        <w:tc>
          <w:tcPr>
            <w:tcW w:w="2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9"/>
        </w:trPr>
        <w:tc>
          <w:tcPr>
            <w:tcW w:w="348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Herb</w:t>
            </w:r>
          </w:p>
        </w:tc>
        <w:tc>
          <w:tcPr>
            <w:tcW w:w="120" w:type="dxa"/>
            <w:vAlign w:val="bottom"/>
          </w:tcPr>
          <w:p>
            <w:pPr>
              <w:spacing w:after="0"/>
              <w:rPr>
                <w:sz w:val="24"/>
                <w:szCs w:val="24"/>
                <w:color w:val="auto"/>
              </w:rPr>
            </w:pPr>
          </w:p>
        </w:tc>
      </w:tr>
      <w:tr>
        <w:trPr>
          <w:trHeight w:val="147"/>
        </w:trPr>
        <w:tc>
          <w:tcPr>
            <w:tcW w:w="3480" w:type="dxa"/>
            <w:vAlign w:val="bottom"/>
          </w:tcPr>
          <w:p>
            <w:pPr>
              <w:spacing w:after="0"/>
              <w:rPr>
                <w:sz w:val="12"/>
                <w:szCs w:val="12"/>
                <w:color w:val="auto"/>
              </w:rPr>
            </w:pPr>
          </w:p>
        </w:tc>
        <w:tc>
          <w:tcPr>
            <w:tcW w:w="2700" w:type="dxa"/>
            <w:vAlign w:val="bottom"/>
          </w:tcPr>
          <w:p>
            <w:pPr>
              <w:ind w:left="2060"/>
              <w:spacing w:after="0" w:line="147" w:lineRule="exact"/>
              <w:rPr>
                <w:sz w:val="20"/>
                <w:szCs w:val="20"/>
                <w:color w:val="auto"/>
              </w:rPr>
            </w:pPr>
            <w:r>
              <w:rPr>
                <w:rFonts w:ascii="Arial" w:cs="Arial" w:eastAsia="Arial" w:hAnsi="Arial"/>
                <w:sz w:val="17"/>
                <w:szCs w:val="17"/>
                <w:color w:val="auto"/>
              </w:rPr>
              <w:t>Name:</w:t>
            </w:r>
          </w:p>
        </w:tc>
        <w:tc>
          <w:tcPr>
            <w:tcW w:w="4940" w:type="dxa"/>
            <w:vAlign w:val="bottom"/>
          </w:tcPr>
          <w:p>
            <w:pPr>
              <w:spacing w:after="0" w:line="147" w:lineRule="exact"/>
              <w:rPr>
                <w:sz w:val="20"/>
                <w:szCs w:val="20"/>
                <w:color w:val="auto"/>
              </w:rPr>
            </w:pPr>
            <w:r>
              <w:rPr>
                <w:rFonts w:ascii="Arial" w:cs="Arial" w:eastAsia="Arial" w:hAnsi="Arial"/>
                <w:sz w:val="17"/>
                <w:szCs w:val="17"/>
                <w:color w:val="auto"/>
                <w:highlight w:val="white"/>
              </w:rPr>
              <w:t>Brian Herb</w:t>
            </w:r>
          </w:p>
        </w:tc>
        <w:tc>
          <w:tcPr>
            <w:tcW w:w="120" w:type="dxa"/>
            <w:vAlign w:val="bottom"/>
          </w:tcPr>
          <w:p>
            <w:pPr>
              <w:spacing w:after="0"/>
              <w:rPr>
                <w:sz w:val="12"/>
                <w:szCs w:val="12"/>
                <w:color w:val="auto"/>
              </w:rPr>
            </w:pPr>
          </w:p>
        </w:tc>
      </w:tr>
      <w:tr>
        <w:trPr>
          <w:trHeight w:val="174"/>
        </w:trPr>
        <w:tc>
          <w:tcPr>
            <w:tcW w:w="3480" w:type="dxa"/>
            <w:vAlign w:val="bottom"/>
          </w:tcPr>
          <w:p>
            <w:pPr>
              <w:spacing w:after="0"/>
              <w:rPr>
                <w:sz w:val="15"/>
                <w:szCs w:val="15"/>
                <w:color w:val="auto"/>
              </w:rPr>
            </w:pPr>
          </w:p>
        </w:tc>
        <w:tc>
          <w:tcPr>
            <w:tcW w:w="2700" w:type="dxa"/>
            <w:vAlign w:val="bottom"/>
          </w:tcPr>
          <w:p>
            <w:pPr>
              <w:ind w:left="2060"/>
              <w:spacing w:after="0" w:line="174" w:lineRule="exact"/>
              <w:rPr>
                <w:sz w:val="20"/>
                <w:szCs w:val="20"/>
                <w:color w:val="auto"/>
              </w:rPr>
            </w:pPr>
            <w:r>
              <w:rPr>
                <w:rFonts w:ascii="Arial" w:cs="Arial" w:eastAsia="Arial" w:hAnsi="Arial"/>
                <w:sz w:val="18"/>
                <w:szCs w:val="18"/>
                <w:color w:val="auto"/>
              </w:rPr>
              <w:t>Title:</w:t>
            </w:r>
          </w:p>
        </w:tc>
        <w:tc>
          <w:tcPr>
            <w:tcW w:w="4940" w:type="dxa"/>
            <w:vAlign w:val="bottom"/>
          </w:tcPr>
          <w:p>
            <w:pPr>
              <w:spacing w:after="0" w:line="174" w:lineRule="exact"/>
              <w:rPr>
                <w:sz w:val="20"/>
                <w:szCs w:val="20"/>
                <w:color w:val="auto"/>
              </w:rPr>
            </w:pPr>
            <w:r>
              <w:rPr>
                <w:rFonts w:ascii="Arial" w:cs="Arial" w:eastAsia="Arial" w:hAnsi="Arial"/>
                <w:sz w:val="18"/>
                <w:szCs w:val="18"/>
                <w:color w:val="auto"/>
              </w:rPr>
              <w:t>Executive Vice President, Chief Financial and Administrative</w:t>
            </w:r>
          </w:p>
        </w:tc>
        <w:tc>
          <w:tcPr>
            <w:tcW w:w="120" w:type="dxa"/>
            <w:vAlign w:val="bottom"/>
          </w:tcPr>
          <w:p>
            <w:pPr>
              <w:spacing w:after="0"/>
              <w:rPr>
                <w:sz w:val="15"/>
                <w:szCs w:val="15"/>
                <w:color w:val="auto"/>
              </w:rPr>
            </w:pPr>
          </w:p>
        </w:tc>
      </w:tr>
      <w:tr>
        <w:trPr>
          <w:trHeight w:val="174"/>
        </w:trPr>
        <w:tc>
          <w:tcPr>
            <w:tcW w:w="34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4940" w:type="dxa"/>
            <w:vAlign w:val="bottom"/>
          </w:tcPr>
          <w:p>
            <w:pPr>
              <w:spacing w:after="0" w:line="174" w:lineRule="exact"/>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5"/>
                <w:szCs w:val="15"/>
                <w:color w:val="auto"/>
              </w:rPr>
            </w:pPr>
          </w:p>
        </w:tc>
      </w:tr>
      <w:tr>
        <w:trPr>
          <w:trHeight w:val="227"/>
        </w:trPr>
        <w:tc>
          <w:tcPr>
            <w:tcW w:w="3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20" w:type="dxa"/>
            <w:vAlign w:val="bottom"/>
          </w:tcPr>
          <w:p>
            <w:pPr>
              <w:spacing w:after="0"/>
              <w:rPr>
                <w:sz w:val="19"/>
                <w:szCs w:val="19"/>
                <w:color w:val="auto"/>
              </w:rPr>
            </w:pPr>
          </w:p>
        </w:tc>
      </w:tr>
      <w:tr>
        <w:trPr>
          <w:trHeight w:val="600"/>
        </w:trPr>
        <w:tc>
          <w:tcPr>
            <w:tcW w:w="348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45</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3480" w:type="dxa"/>
            <w:vAlign w:val="bottom"/>
            <w:tcBorders>
              <w:bottom w:val="single" w:sz="8" w:color="9A9A9A"/>
            </w:tcBorders>
          </w:tcPr>
          <w:p>
            <w:pPr>
              <w:spacing w:after="0"/>
              <w:rPr>
                <w:sz w:val="8"/>
                <w:szCs w:val="8"/>
                <w:color w:val="auto"/>
              </w:rPr>
            </w:pPr>
          </w:p>
        </w:tc>
        <w:tc>
          <w:tcPr>
            <w:tcW w:w="2700" w:type="dxa"/>
            <w:vAlign w:val="bottom"/>
            <w:tcBorders>
              <w:bottom w:val="single" w:sz="8" w:color="9A9A9A"/>
            </w:tcBorders>
          </w:tcPr>
          <w:p>
            <w:pPr>
              <w:spacing w:after="0"/>
              <w:rPr>
                <w:sz w:val="8"/>
                <w:szCs w:val="8"/>
                <w:color w:val="auto"/>
              </w:rPr>
            </w:pPr>
          </w:p>
        </w:tc>
        <w:tc>
          <w:tcPr>
            <w:tcW w:w="4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jc w:val="center"/>
        <w:spacing w:after="0" w:line="232" w:lineRule="auto"/>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Githesh Ramamurthy, certify that:</w:t>
      </w:r>
    </w:p>
    <w:p>
      <w:pPr>
        <w:spacing w:after="0" w:line="194" w:lineRule="exact"/>
        <w:rPr>
          <w:sz w:val="20"/>
          <w:szCs w:val="20"/>
          <w:color w:val="auto"/>
        </w:rPr>
      </w:pPr>
    </w:p>
    <w:p>
      <w:pPr>
        <w:ind w:left="380" w:hanging="373"/>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33" w:lineRule="exact"/>
        <w:rPr>
          <w:rFonts w:ascii="Arial" w:cs="Arial" w:eastAsia="Arial" w:hAnsi="Arial"/>
          <w:sz w:val="18"/>
          <w:szCs w:val="18"/>
          <w:color w:val="auto"/>
        </w:rPr>
      </w:pPr>
    </w:p>
    <w:p>
      <w:pPr>
        <w:ind w:left="380" w:hanging="373"/>
        <w:spacing w:after="0" w:line="317" w:lineRule="auto"/>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380" w:right="460" w:hanging="373"/>
        <w:spacing w:after="0" w:line="284"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7"/>
          <w:szCs w:val="17"/>
          <w:color w:val="auto"/>
        </w:rPr>
      </w:pPr>
    </w:p>
    <w:p>
      <w:pPr>
        <w:ind w:left="380" w:right="700" w:hanging="373"/>
        <w:spacing w:after="0" w:line="255"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8"/>
          <w:szCs w:val="18"/>
          <w:color w:val="auto"/>
        </w:rPr>
      </w:pPr>
    </w:p>
    <w:p>
      <w:pPr>
        <w:ind w:left="760" w:right="20" w:hanging="4"/>
        <w:spacing w:after="0" w:line="243" w:lineRule="auto"/>
        <w:tabs>
          <w:tab w:leader="none" w:pos="11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18"/>
          <w:szCs w:val="18"/>
          <w:color w:val="auto"/>
        </w:rPr>
      </w:pPr>
    </w:p>
    <w:p>
      <w:pPr>
        <w:ind w:left="1120" w:hanging="364"/>
        <w:spacing w:after="0"/>
        <w:tabs>
          <w:tab w:leader="none" w:pos="1120" w:val="left"/>
        </w:tabs>
        <w:numPr>
          <w:ilvl w:val="1"/>
          <w:numId w:val="34"/>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32" w:lineRule="exact"/>
        <w:rPr>
          <w:rFonts w:ascii="Arial" w:cs="Arial" w:eastAsia="Arial" w:hAnsi="Arial"/>
          <w:sz w:val="16"/>
          <w:szCs w:val="16"/>
          <w:color w:val="auto"/>
        </w:rPr>
      </w:pPr>
    </w:p>
    <w:p>
      <w:pPr>
        <w:ind w:left="760" w:right="80"/>
        <w:spacing w:after="0" w:line="238"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6"/>
          <w:szCs w:val="16"/>
          <w:color w:val="auto"/>
        </w:rPr>
      </w:pPr>
    </w:p>
    <w:p>
      <w:pPr>
        <w:ind w:left="760" w:right="520" w:hanging="4"/>
        <w:spacing w:after="0" w:line="317" w:lineRule="auto"/>
        <w:tabs>
          <w:tab w:leader="none" w:pos="1116"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760" w:right="20" w:hanging="4"/>
        <w:spacing w:after="0" w:line="317" w:lineRule="auto"/>
        <w:tabs>
          <w:tab w:leader="none" w:pos="1116" w:val="left"/>
        </w:tabs>
        <w:numPr>
          <w:ilvl w:val="1"/>
          <w:numId w:val="3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80" w:right="400" w:hanging="373"/>
        <w:spacing w:after="0" w:line="284" w:lineRule="auto"/>
        <w:tabs>
          <w:tab w:leader="none" w:pos="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760" w:right="740" w:hanging="4"/>
        <w:spacing w:after="0" w:line="317" w:lineRule="auto"/>
        <w:tabs>
          <w:tab w:leader="none" w:pos="1116"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760" w:right="440" w:hanging="4"/>
        <w:spacing w:after="0" w:line="255" w:lineRule="auto"/>
        <w:tabs>
          <w:tab w:leader="none" w:pos="11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294005</wp:posOffset>
            </wp:positionV>
            <wp:extent cx="71589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7"/>
        </w:trPr>
        <w:tc>
          <w:tcPr>
            <w:tcW w:w="4380" w:type="dxa"/>
            <w:vAlign w:val="bottom"/>
          </w:tcPr>
          <w:p>
            <w:pPr>
              <w:ind w:left="360"/>
              <w:spacing w:after="0"/>
              <w:rPr>
                <w:sz w:val="20"/>
                <w:szCs w:val="20"/>
                <w:color w:val="auto"/>
              </w:rPr>
            </w:pPr>
            <w:r>
              <w:rPr>
                <w:rFonts w:ascii="Arial" w:cs="Arial" w:eastAsia="Arial" w:hAnsi="Arial"/>
                <w:sz w:val="18"/>
                <w:szCs w:val="18"/>
                <w:color w:val="auto"/>
              </w:rPr>
              <w:t>Dated: May 5, 2022</w:t>
            </w:r>
          </w:p>
        </w:tc>
        <w:tc>
          <w:tcPr>
            <w:tcW w:w="67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Githesh Ramamurthy</w:t>
            </w:r>
          </w:p>
        </w:tc>
        <w:tc>
          <w:tcPr>
            <w:tcW w:w="100" w:type="dxa"/>
            <w:vAlign w:val="bottom"/>
          </w:tcPr>
          <w:p>
            <w:pPr>
              <w:spacing w:after="0"/>
              <w:rPr>
                <w:sz w:val="19"/>
                <w:szCs w:val="19"/>
                <w:color w:val="auto"/>
              </w:rPr>
            </w:pPr>
          </w:p>
        </w:tc>
      </w:tr>
      <w:tr>
        <w:trPr>
          <w:trHeight w:val="220"/>
        </w:trPr>
        <w:tc>
          <w:tcPr>
            <w:tcW w:w="438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Githesh Ramamurthy</w:t>
            </w:r>
          </w:p>
        </w:tc>
        <w:tc>
          <w:tcPr>
            <w:tcW w:w="100" w:type="dxa"/>
            <w:vAlign w:val="bottom"/>
          </w:tcPr>
          <w:p>
            <w:pPr>
              <w:spacing w:after="0"/>
              <w:rPr>
                <w:sz w:val="19"/>
                <w:szCs w:val="19"/>
                <w:color w:val="auto"/>
              </w:rPr>
            </w:pPr>
          </w:p>
        </w:tc>
      </w:tr>
      <w:tr>
        <w:trPr>
          <w:trHeight w:val="227"/>
        </w:trPr>
        <w:tc>
          <w:tcPr>
            <w:tcW w:w="438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i w:val="1"/>
                <w:iCs w:val="1"/>
                <w:color w:val="auto"/>
              </w:rPr>
              <w:t>Chief Executive Officer</w:t>
            </w:r>
          </w:p>
        </w:tc>
        <w:tc>
          <w:tcPr>
            <w:tcW w:w="100" w:type="dxa"/>
            <w:vAlign w:val="bottom"/>
          </w:tcPr>
          <w:p>
            <w:pPr>
              <w:spacing w:after="0"/>
              <w:rPr>
                <w:sz w:val="19"/>
                <w:szCs w:val="19"/>
                <w:color w:val="auto"/>
              </w:rPr>
            </w:pPr>
          </w:p>
        </w:tc>
      </w:tr>
      <w:tr>
        <w:trPr>
          <w:trHeight w:val="315"/>
        </w:trPr>
        <w:tc>
          <w:tcPr>
            <w:tcW w:w="43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32" w:lineRule="auto"/>
        <w:rPr>
          <w:sz w:val="20"/>
          <w:szCs w:val="20"/>
          <w:color w:val="auto"/>
        </w:rPr>
      </w:pPr>
      <w:r>
        <w:rPr>
          <w:rFonts w:ascii="Arial" w:cs="Arial" w:eastAsia="Arial" w:hAnsi="Arial"/>
          <w:sz w:val="18"/>
          <w:szCs w:val="18"/>
          <w:b w:val="1"/>
          <w:bCs w:val="1"/>
          <w:color w:val="auto"/>
        </w:rPr>
        <w:t>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Brian Herb, certify that:</w:t>
      </w:r>
    </w:p>
    <w:p>
      <w:pPr>
        <w:spacing w:after="0" w:line="234" w:lineRule="exact"/>
        <w:rPr>
          <w:sz w:val="20"/>
          <w:szCs w:val="20"/>
          <w:color w:val="auto"/>
        </w:rPr>
      </w:pPr>
    </w:p>
    <w:p>
      <w:pPr>
        <w:ind w:left="380" w:hanging="373"/>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CCC Intelligent Solutions Holdings Inc.;</w:t>
      </w:r>
    </w:p>
    <w:p>
      <w:pPr>
        <w:spacing w:after="0" w:line="233" w:lineRule="exact"/>
        <w:rPr>
          <w:rFonts w:ascii="Arial" w:cs="Arial" w:eastAsia="Arial" w:hAnsi="Arial"/>
          <w:sz w:val="18"/>
          <w:szCs w:val="18"/>
          <w:color w:val="auto"/>
        </w:rPr>
      </w:pPr>
    </w:p>
    <w:p>
      <w:pPr>
        <w:ind w:left="380" w:hanging="373"/>
        <w:spacing w:after="0" w:line="317"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left="380" w:right="460" w:hanging="373"/>
        <w:spacing w:after="0" w:line="284"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7"/>
          <w:szCs w:val="17"/>
          <w:color w:val="auto"/>
        </w:rPr>
      </w:pPr>
    </w:p>
    <w:p>
      <w:pPr>
        <w:ind w:left="380" w:right="700" w:hanging="373"/>
        <w:spacing w:after="0" w:line="255"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1" w:lineRule="exact"/>
        <w:rPr>
          <w:rFonts w:ascii="Arial" w:cs="Arial" w:eastAsia="Arial" w:hAnsi="Arial"/>
          <w:sz w:val="18"/>
          <w:szCs w:val="18"/>
          <w:color w:val="auto"/>
        </w:rPr>
      </w:pPr>
    </w:p>
    <w:p>
      <w:pPr>
        <w:ind w:left="760" w:right="20" w:hanging="4"/>
        <w:spacing w:after="0" w:line="243" w:lineRule="auto"/>
        <w:tabs>
          <w:tab w:leader="none" w:pos="11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Arial" w:cs="Arial" w:eastAsia="Arial" w:hAnsi="Arial"/>
          <w:sz w:val="18"/>
          <w:szCs w:val="18"/>
          <w:color w:val="auto"/>
        </w:rPr>
      </w:pPr>
    </w:p>
    <w:p>
      <w:pPr>
        <w:ind w:left="1120" w:hanging="364"/>
        <w:spacing w:after="0"/>
        <w:tabs>
          <w:tab w:leader="none" w:pos="1120" w:val="left"/>
        </w:tabs>
        <w:numPr>
          <w:ilvl w:val="1"/>
          <w:numId w:val="35"/>
        </w:numPr>
        <w:rPr>
          <w:rFonts w:ascii="Arial" w:cs="Arial" w:eastAsia="Arial" w:hAnsi="Arial"/>
          <w:sz w:val="16"/>
          <w:szCs w:val="16"/>
          <w:color w:val="auto"/>
        </w:rPr>
      </w:pPr>
      <w:r>
        <w:rPr>
          <w:rFonts w:ascii="Arial" w:cs="Arial" w:eastAsia="Arial" w:hAnsi="Arial"/>
          <w:sz w:val="16"/>
          <w:szCs w:val="16"/>
          <w:color w:val="252525"/>
        </w:rPr>
        <w:t>Designed such internal control over financial reporting, or caused such internal control over financial reporting to be designed under our</w:t>
      </w:r>
    </w:p>
    <w:p>
      <w:pPr>
        <w:spacing w:after="0" w:line="32" w:lineRule="exact"/>
        <w:rPr>
          <w:rFonts w:ascii="Arial" w:cs="Arial" w:eastAsia="Arial" w:hAnsi="Arial"/>
          <w:sz w:val="16"/>
          <w:szCs w:val="16"/>
          <w:color w:val="auto"/>
        </w:rPr>
      </w:pPr>
    </w:p>
    <w:p>
      <w:pPr>
        <w:ind w:left="760" w:right="80"/>
        <w:spacing w:after="0" w:line="238" w:lineRule="auto"/>
        <w:rPr>
          <w:rFonts w:ascii="Arial" w:cs="Arial" w:eastAsia="Arial" w:hAnsi="Arial"/>
          <w:sz w:val="16"/>
          <w:szCs w:val="16"/>
          <w:color w:val="auto"/>
        </w:rPr>
      </w:pPr>
      <w:r>
        <w:rPr>
          <w:rFonts w:ascii="Arial" w:cs="Arial" w:eastAsia="Arial" w:hAnsi="Arial"/>
          <w:sz w:val="18"/>
          <w:szCs w:val="18"/>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6"/>
          <w:szCs w:val="16"/>
          <w:color w:val="auto"/>
        </w:rPr>
      </w:pPr>
    </w:p>
    <w:p>
      <w:pPr>
        <w:ind w:left="760" w:right="520" w:hanging="4"/>
        <w:spacing w:after="0" w:line="31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ind w:left="760" w:right="20" w:hanging="4"/>
        <w:spacing w:after="0" w:line="31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5" w:lineRule="exact"/>
        <w:rPr>
          <w:rFonts w:ascii="Arial" w:cs="Arial" w:eastAsia="Arial" w:hAnsi="Arial"/>
          <w:sz w:val="16"/>
          <w:szCs w:val="16"/>
          <w:color w:val="auto"/>
        </w:rPr>
      </w:pPr>
    </w:p>
    <w:p>
      <w:pPr>
        <w:ind w:left="380" w:right="400" w:hanging="373"/>
        <w:spacing w:after="0" w:line="284"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7"/>
          <w:szCs w:val="17"/>
          <w:color w:val="auto"/>
        </w:rPr>
      </w:pPr>
    </w:p>
    <w:p>
      <w:pPr>
        <w:ind w:left="760" w:right="740" w:hanging="4"/>
        <w:spacing w:after="0" w:line="317" w:lineRule="auto"/>
        <w:tabs>
          <w:tab w:leader="none" w:pos="1116"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760" w:right="440" w:hanging="4"/>
        <w:spacing w:after="0" w:line="255" w:lineRule="auto"/>
        <w:tabs>
          <w:tab w:leader="none" w:pos="11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167005</wp:posOffset>
            </wp:positionV>
            <wp:extent cx="71589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7"/>
        </w:trPr>
        <w:tc>
          <w:tcPr>
            <w:tcW w:w="4400" w:type="dxa"/>
            <w:vAlign w:val="bottom"/>
          </w:tcPr>
          <w:p>
            <w:pPr>
              <w:ind w:left="360"/>
              <w:spacing w:after="0"/>
              <w:rPr>
                <w:sz w:val="20"/>
                <w:szCs w:val="20"/>
                <w:color w:val="auto"/>
              </w:rPr>
            </w:pPr>
            <w:r>
              <w:rPr>
                <w:rFonts w:ascii="Arial" w:cs="Arial" w:eastAsia="Arial" w:hAnsi="Arial"/>
                <w:sz w:val="18"/>
                <w:szCs w:val="18"/>
                <w:color w:val="auto"/>
              </w:rPr>
              <w:t>Dated: May 5, 2022</w:t>
            </w:r>
          </w:p>
        </w:tc>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Herb</w:t>
            </w:r>
          </w:p>
        </w:tc>
        <w:tc>
          <w:tcPr>
            <w:tcW w:w="100" w:type="dxa"/>
            <w:vAlign w:val="bottom"/>
          </w:tcPr>
          <w:p>
            <w:pPr>
              <w:spacing w:after="0"/>
              <w:rPr>
                <w:sz w:val="19"/>
                <w:szCs w:val="19"/>
                <w:color w:val="auto"/>
              </w:rPr>
            </w:pPr>
          </w:p>
        </w:tc>
      </w:tr>
      <w:tr>
        <w:trPr>
          <w:trHeight w:val="220"/>
        </w:trPr>
        <w:tc>
          <w:tcPr>
            <w:tcW w:w="440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8"/>
                <w:szCs w:val="18"/>
                <w:color w:val="auto"/>
              </w:rPr>
              <w:t>Brian Herb</w:t>
            </w:r>
          </w:p>
        </w:tc>
        <w:tc>
          <w:tcPr>
            <w:tcW w:w="100" w:type="dxa"/>
            <w:vAlign w:val="bottom"/>
          </w:tcPr>
          <w:p>
            <w:pPr>
              <w:spacing w:after="0"/>
              <w:rPr>
                <w:sz w:val="19"/>
                <w:szCs w:val="19"/>
                <w:color w:val="auto"/>
              </w:rPr>
            </w:pPr>
          </w:p>
        </w:tc>
      </w:tr>
      <w:tr>
        <w:trPr>
          <w:trHeight w:val="227"/>
        </w:trPr>
        <w:tc>
          <w:tcPr>
            <w:tcW w:w="4400" w:type="dxa"/>
            <w:vAlign w:val="bottom"/>
          </w:tcPr>
          <w:p>
            <w:pPr>
              <w:spacing w:after="0"/>
              <w:rPr>
                <w:sz w:val="19"/>
                <w:szCs w:val="19"/>
                <w:color w:val="auto"/>
              </w:rPr>
            </w:pPr>
          </w:p>
        </w:tc>
        <w:tc>
          <w:tcPr>
            <w:tcW w:w="674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tc>
        <w:tc>
          <w:tcPr>
            <w:tcW w:w="100" w:type="dxa"/>
            <w:vAlign w:val="bottom"/>
          </w:tcPr>
          <w:p>
            <w:pPr>
              <w:spacing w:after="0"/>
              <w:rPr>
                <w:sz w:val="19"/>
                <w:szCs w:val="19"/>
                <w:color w:val="auto"/>
              </w:rPr>
            </w:pPr>
          </w:p>
        </w:tc>
      </w:tr>
      <w:tr>
        <w:trPr>
          <w:trHeight w:val="315"/>
        </w:trPr>
        <w:tc>
          <w:tcPr>
            <w:tcW w:w="44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Certification of Chief Executive Officer</w:t>
      </w:r>
    </w:p>
    <w:p>
      <w:pPr>
        <w:ind w:left="408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March 31, 2022,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217" w:lineRule="exact"/>
        <w:rPr>
          <w:sz w:val="20"/>
          <w:szCs w:val="20"/>
          <w:color w:val="auto"/>
        </w:rPr>
      </w:pPr>
    </w:p>
    <w:p>
      <w:pPr>
        <w:ind w:left="380" w:hanging="373"/>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3" w:lineRule="exact"/>
        <w:rPr>
          <w:rFonts w:ascii="Arial" w:cs="Arial" w:eastAsia="Arial" w:hAnsi="Arial"/>
          <w:sz w:val="18"/>
          <w:szCs w:val="18"/>
          <w:color w:val="auto"/>
        </w:rPr>
      </w:pPr>
    </w:p>
    <w:p>
      <w:pPr>
        <w:ind w:left="380" w:hanging="373"/>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472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6"/>
          <w:szCs w:val="16"/>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2998470</wp:posOffset>
            </wp:positionH>
            <wp:positionV relativeFrom="paragraph">
              <wp:posOffset>13335</wp:posOffset>
            </wp:positionV>
            <wp:extent cx="40716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Githesh Ramamurthy</w:t>
      </w:r>
    </w:p>
    <w:p>
      <w:pPr>
        <w:spacing w:after="0" w:line="20"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589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Certification of Chief Financial Officer</w:t>
      </w:r>
    </w:p>
    <w:p>
      <w:pPr>
        <w:ind w:left="4080"/>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connection with the Quarterly Report on Form 10-Q of CCC Intelligent Solutions Holdings Inc. (the “Company”) for the period ended March 31, 2022,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77" w:lineRule="exact"/>
        <w:rPr>
          <w:sz w:val="20"/>
          <w:szCs w:val="20"/>
          <w:color w:val="auto"/>
        </w:rPr>
      </w:pPr>
    </w:p>
    <w:p>
      <w:pPr>
        <w:ind w:left="380" w:hanging="373"/>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3" w:lineRule="exact"/>
        <w:rPr>
          <w:rFonts w:ascii="Arial" w:cs="Arial" w:eastAsia="Arial" w:hAnsi="Arial"/>
          <w:sz w:val="18"/>
          <w:szCs w:val="18"/>
          <w:color w:val="auto"/>
        </w:rPr>
      </w:pPr>
    </w:p>
    <w:p>
      <w:pPr>
        <w:ind w:left="380" w:hanging="373"/>
        <w:spacing w:after="0"/>
        <w:tabs>
          <w:tab w:leader="none" w:pos="3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440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7"/>
          <w:szCs w:val="17"/>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13335</wp:posOffset>
            </wp:positionV>
            <wp:extent cx="42837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83710" cy="8255"/>
                    </a:xfrm>
                    <a:prstGeom prst="rect">
                      <a:avLst/>
                    </a:prstGeom>
                    <a:noFill/>
                  </pic:spPr>
                </pic:pic>
              </a:graphicData>
            </a:graphic>
          </wp:anchor>
        </w:drawing>
      </w:r>
    </w:p>
    <w:p>
      <w:pPr>
        <w:spacing w:after="0" w:line="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Brian Herb</w:t>
      </w:r>
    </w:p>
    <w:p>
      <w:pPr>
        <w:spacing w:after="0" w:line="20" w:lineRule="exact"/>
        <w:rPr>
          <w:sz w:val="20"/>
          <w:szCs w:val="20"/>
          <w:color w:val="auto"/>
        </w:rPr>
      </w:pPr>
    </w:p>
    <w:p>
      <w:pPr>
        <w:ind w:left="4420"/>
        <w:spacing w:after="0"/>
        <w:rPr>
          <w:sz w:val="20"/>
          <w:szCs w:val="20"/>
          <w:color w:val="auto"/>
        </w:rPr>
      </w:pPr>
      <w:r>
        <w:rPr>
          <w:rFonts w:ascii="Arial" w:cs="Arial" w:eastAsia="Arial" w:hAnsi="Arial"/>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195580</wp:posOffset>
            </wp:positionV>
            <wp:extent cx="71589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upperLetter"/>
      <w:start w:val="55"/>
    </w:lvl>
  </w:abstractNum>
  <w:abstractNum w:abstractNumId="5">
    <w:nsid w:val="333AB105"/>
    <w:multiLevelType w:val="hybridMultilevel"/>
    <w:lvl w:ilvl="0">
      <w:lvlJc w:val="left"/>
      <w:lvlText w:val="%1"/>
      <w:numFmt w:val="upperLetter"/>
      <w:start w:val="55"/>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upperLetter"/>
      <w:start w:val="55"/>
    </w:lvl>
  </w:abstractNum>
  <w:abstractNum w:abstractNumId="8">
    <w:nsid w:val="2D1D5AE9"/>
    <w:multiLevelType w:val="hybridMultilevel"/>
    <w:lvl w:ilvl="0">
      <w:lvlJc w:val="left"/>
      <w:lvlText w:val="%1."/>
      <w:numFmt w:val="decimal"/>
      <w:start w:val="2"/>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1."/>
      <w:numFmt w:val="decimal"/>
      <w:start w:val="3"/>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4"/>
    </w:lvl>
  </w:abstractNum>
  <w:abstractNum w:abstractNumId="13">
    <w:nsid w:val="4353D0CD"/>
    <w:multiLevelType w:val="hybridMultilevel"/>
    <w:lvl w:ilvl="0">
      <w:lvlJc w:val="left"/>
      <w:lvlText w:val="%1."/>
      <w:numFmt w:val="decimal"/>
      <w:start w:val="5"/>
    </w:lvl>
  </w:abstractNum>
  <w:abstractNum w:abstractNumId="14">
    <w:nsid w:val="B03E0C6"/>
    <w:multiLevelType w:val="hybridMultilevel"/>
    <w:lvl w:ilvl="0">
      <w:lvlJc w:val="left"/>
      <w:lvlText w:val="%1."/>
      <w:numFmt w:val="decimal"/>
      <w:start w:val="6"/>
    </w:lvl>
  </w:abstractNum>
  <w:abstractNum w:abstractNumId="15">
    <w:nsid w:val="189A769B"/>
    <w:multiLevelType w:val="hybridMultilevel"/>
    <w:lvl w:ilvl="0">
      <w:lvlJc w:val="left"/>
      <w:lvlText w:val="%1."/>
      <w:numFmt w:val="decimal"/>
      <w:start w:val="7"/>
    </w:lvl>
  </w:abstractNum>
  <w:abstractNum w:abstractNumId="16">
    <w:nsid w:val="54E49EB4"/>
    <w:multiLevelType w:val="hybridMultilevel"/>
    <w:lvl w:ilvl="0">
      <w:lvlJc w:val="left"/>
      <w:lvlText w:val="%1."/>
      <w:numFmt w:val="decimal"/>
      <w:start w:val="9"/>
    </w:lvl>
  </w:abstractNum>
  <w:abstractNum w:abstractNumId="17">
    <w:nsid w:val="71F32454"/>
    <w:multiLevelType w:val="hybridMultilevel"/>
    <w:lvl w:ilvl="0">
      <w:lvlJc w:val="left"/>
      <w:lvlText w:val="%1."/>
      <w:numFmt w:val="decimal"/>
      <w:start w:val="10"/>
    </w:lvl>
  </w:abstractNum>
  <w:abstractNum w:abstractNumId="18">
    <w:nsid w:val="2CA88611"/>
    <w:multiLevelType w:val="hybridMultilevel"/>
    <w:lvl w:ilvl="0">
      <w:lvlJc w:val="left"/>
      <w:lvlText w:val="%1."/>
      <w:numFmt w:val="decimal"/>
      <w:start w:val="11"/>
    </w:lvl>
  </w:abstractNum>
  <w:abstractNum w:abstractNumId="19">
    <w:nsid w:val="836C40E"/>
    <w:multiLevelType w:val="hybridMultilevel"/>
    <w:lvl w:ilvl="0">
      <w:lvlJc w:val="left"/>
      <w:lvlText w:val="%1."/>
      <w:numFmt w:val="decimal"/>
      <w:start w:val="12"/>
    </w:lvl>
  </w:abstractNum>
  <w:abstractNum w:abstractNumId="20">
    <w:nsid w:val="2901D82"/>
    <w:multiLevelType w:val="hybridMultilevel"/>
    <w:lvl w:ilvl="0">
      <w:lvlJc w:val="left"/>
      <w:lvlText w:val="%1."/>
      <w:numFmt w:val="decimal"/>
      <w:start w:val="13"/>
    </w:lvl>
  </w:abstractNum>
  <w:abstractNum w:abstractNumId="21">
    <w:nsid w:val="3A95F874"/>
    <w:multiLevelType w:val="hybridMultilevel"/>
    <w:lvl w:ilvl="0">
      <w:lvlJc w:val="left"/>
      <w:lvlText w:val="%1."/>
      <w:numFmt w:val="decimal"/>
      <w:start w:val="14"/>
    </w:lvl>
  </w:abstractNum>
  <w:abstractNum w:abstractNumId="22">
    <w:nsid w:val="8138641"/>
    <w:multiLevelType w:val="hybridMultilevel"/>
    <w:lvl w:ilvl="0">
      <w:lvlJc w:val="left"/>
      <w:lvlText w:val="%1."/>
      <w:numFmt w:val="decimal"/>
      <w:start w:val="15"/>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6"/>
    </w:lvl>
  </w:abstractNum>
  <w:abstractNum w:abstractNumId="25">
    <w:nsid w:val="737B8DDC"/>
    <w:multiLevelType w:val="hybridMultilevel"/>
    <w:lvl w:ilvl="0">
      <w:lvlJc w:val="left"/>
      <w:lvlText w:val="%1."/>
      <w:numFmt w:val="decimal"/>
      <w:start w:val="18"/>
    </w:lvl>
    <w:lvl w:ilvl="1">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9"/>
    </w:lvl>
  </w:abstractNum>
  <w:abstractNum w:abstractNumId="28">
    <w:nsid w:val="4516DDE9"/>
    <w:multiLevelType w:val="hybridMultilevel"/>
    <w:lvl w:ilvl="0">
      <w:lvlJc w:val="left"/>
      <w:lvlText w:val="%1."/>
      <w:numFmt w:val="decimal"/>
      <w:start w:val="22"/>
    </w:lvl>
  </w:abstractNum>
  <w:abstractNum w:abstractNumId="29">
    <w:nsid w:val="3006C83E"/>
    <w:multiLevelType w:val="hybridMultilevel"/>
    <w:lvl w:ilvl="0">
      <w:lvlJc w:val="left"/>
      <w:lvlText w:val="%1."/>
      <w:numFmt w:val="decimal"/>
      <w:start w:val="23"/>
    </w:lvl>
  </w:abstractNum>
  <w:abstractNum w:abstractNumId="30">
    <w:nsid w:val="614FD4A1"/>
    <w:multiLevelType w:val="hybridMultilevel"/>
    <w:lvl w:ilvl="0">
      <w:lvlJc w:val="left"/>
      <w:lvlText w:val="%1."/>
      <w:numFmt w:val="decimal"/>
      <w:start w:val="24"/>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2022-05-06T05:25:03Z</dcterms:created>
  <dcterms:modified xsi:type="dcterms:W3CDTF">2022-05-06T05:25:03Z</dcterms:modified>
</cp:coreProperties>
</file>