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ccs-20230930.htm"/>
      <w:bookmarkStart w:id="1" w:name="kscccs20230930"/>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transition period from ________________ to ________________</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CCC INTELLIGENT SOLUTIONS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left"/>
        <w:rPr/>
      </w:pPr>
      <w:r>
        <w:rPr/>
        <w:t> </w:t>
      </w:r>
    </w:p>
    <w:p>
      <w:pPr>
        <w:pStyle w:val="TextBody"/>
        <w:bidi w:val="0"/>
        <w:jc w:val="center"/>
        <w:rPr/>
      </w:pPr>
      <w:r>
        <w:rPr/>
        <w:t> </w:t>
      </w:r>
    </w:p>
    <w:tbl>
      <w:tblPr>
        <w:tblW w:w="5898" w:type="dxa"/>
        <w:jc w:val="left"/>
        <w:tblInd w:w="0" w:type="dxa"/>
        <w:tblLayout w:type="fixed"/>
        <w:tblCellMar>
          <w:top w:w="28" w:type="dxa"/>
          <w:left w:w="28" w:type="dxa"/>
          <w:bottom w:w="28" w:type="dxa"/>
          <w:right w:w="28" w:type="dxa"/>
        </w:tblCellMar>
      </w:tblPr>
      <w:tblGrid>
        <w:gridCol w:w="2956"/>
        <w:gridCol w:w="1261"/>
        <w:gridCol w:w="1681"/>
      </w:tblGrid>
      <w:tr>
        <w:trPr/>
        <w:tc>
          <w:tcPr>
            <w:tcW w:w="29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001-39447</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98-1546280</w:t>
            </w:r>
          </w:p>
        </w:tc>
      </w:tr>
      <w:tr>
        <w:trPr/>
        <w:tc>
          <w:tcPr>
            <w:tcW w:w="295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(State or other jurisdiction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 or organization)</w:t>
            </w:r>
          </w:p>
        </w:tc>
        <w:tc>
          <w:tcPr>
            <w:tcW w:w="12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(Commission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(IRS Employer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jc w:val="left"/>
        <w:rPr/>
      </w:pPr>
      <w:r>
        <w:rPr/>
        <w:t> </w:t>
      </w:r>
    </w:p>
    <w:tbl>
      <w:tblPr>
        <w:tblW w:w="4723" w:type="dxa"/>
        <w:jc w:val="left"/>
        <w:tblInd w:w="0" w:type="dxa"/>
        <w:tblLayout w:type="fixed"/>
        <w:tblCellMar>
          <w:top w:w="28" w:type="dxa"/>
          <w:left w:w="28" w:type="dxa"/>
          <w:bottom w:w="28" w:type="dxa"/>
          <w:right w:w="28" w:type="dxa"/>
        </w:tblCellMar>
      </w:tblPr>
      <w:tblGrid>
        <w:gridCol w:w="3526"/>
        <w:gridCol w:w="146"/>
        <w:gridCol w:w="105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167 N. Green Street, 9th Floor</w:t>
            </w:r>
          </w:p>
          <w:p>
            <w:pPr>
              <w:pStyle w:val="TableContents"/>
              <w:bidi w:val="0"/>
              <w:jc w:val="center"/>
              <w:rPr>
                <w:rFonts w:ascii="Times New Roman" w:hAnsi="Times New Roman"/>
                <w:sz w:val="20"/>
              </w:rPr>
            </w:pPr>
            <w:r>
              <w:rPr>
                <w:rFonts w:ascii="Times New Roman" w:hAnsi="Times New Roman"/>
                <w:b/>
                <w:color w:val="000000"/>
                <w:sz w:val="20"/>
              </w:rPr>
              <w:t>Chicago, Illinois</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60607</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center"/>
        <w:rPr>
          <w:rFonts w:ascii="Times New Roman" w:hAnsi="Times New Roman"/>
          <w:sz w:val="20"/>
        </w:rPr>
      </w:pP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621-8070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Securities registered pursuant to Section 12(b) of the Act:</w:t>
      </w:r>
    </w:p>
    <w:p>
      <w:pPr>
        <w:pStyle w:val="TextBody"/>
        <w:bidi w:val="0"/>
        <w:jc w:val="both"/>
        <w:rPr/>
      </w:pPr>
      <w:r>
        <w:rPr/>
        <w:t> </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CCCS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The Nasdaq Stock Market LLC</w:t>
            </w:r>
          </w:p>
        </w:tc>
      </w:tr>
    </w:tbl>
    <w:p>
      <w:pPr>
        <w:pStyle w:val="TextBody"/>
        <w:bidi w:val="0"/>
        <w:spacing w:before="120" w:after="283"/>
        <w:jc w:val="both"/>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of October 31, 2023, 634,879,578</w:t>
      </w:r>
      <w:r>
        <w:rPr>
          <w:rFonts w:ascii="Times New Roman" w:hAnsi="Times New Roman"/>
          <w:color w:val="000000"/>
          <w:sz w:val="20"/>
        </w:rPr>
        <w:t xml:space="preserve"> </w:t>
      </w:r>
      <w:r>
        <w:rPr>
          <w:rFonts w:ascii="Times New Roman" w:hAnsi="Times New Roman"/>
          <w:b w:val="false"/>
          <w:color w:val="000000"/>
          <w:sz w:val="20"/>
        </w:rPr>
        <w:t>shares of common stock, $0.0001 par value per share, were issued and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September 30, 2023</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0"/>
        <w:gridCol w:w="9023"/>
        <w:gridCol w:w="572"/>
      </w:tblGrid>
      <w:tr>
        <w:trPr/>
        <w:tc>
          <w:tcPr>
            <w:tcW w:w="610" w:type="dxa"/>
            <w:tcBorders/>
            <w:vAlign w:val="center"/>
          </w:tcPr>
          <w:p>
            <w:pPr>
              <w:pStyle w:val="TableContents"/>
              <w:bidi w:val="0"/>
              <w:spacing w:before="0" w:after="283"/>
              <w:jc w:val="left"/>
              <w:rPr>
                <w:sz w:val="4"/>
                <w:szCs w:val="4"/>
              </w:rPr>
            </w:pPr>
            <w:r>
              <w:rPr>
                <w:sz w:val="4"/>
                <w:szCs w:val="4"/>
              </w:rPr>
            </w:r>
          </w:p>
        </w:tc>
        <w:tc>
          <w:tcPr>
            <w:tcW w:w="902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610" w:type="dxa"/>
            <w:tcBorders/>
            <w:vAlign w:val="center"/>
          </w:tcPr>
          <w:p>
            <w:pPr>
              <w:pStyle w:val="TableContents"/>
              <w:bidi w:val="0"/>
              <w:spacing w:before="0" w:after="283"/>
              <w:ind w:left="0" w:right="0" w:firstLine="180"/>
              <w:jc w:val="left"/>
              <w:rPr/>
            </w:pPr>
            <w:r>
              <w:rPr/>
              <w:t> </w:t>
            </w:r>
          </w:p>
        </w:tc>
        <w:tc>
          <w:tcPr>
            <w:tcW w:w="9023" w:type="dxa"/>
            <w:tcBorders/>
            <w:vAlign w:val="center"/>
          </w:tcPr>
          <w:p>
            <w:pPr>
              <w:pStyle w:val="TableContents"/>
              <w:pBdr/>
              <w:bidi w:val="0"/>
              <w:spacing w:before="0" w:after="283"/>
              <w:ind w:left="0" w:right="0" w:hanging="180"/>
              <w:jc w:val="left"/>
              <w:rPr/>
            </w:pPr>
            <w:r>
              <w:rPr/>
              <w:t> </w:t>
            </w:r>
          </w:p>
        </w:tc>
        <w:tc>
          <w:tcPr>
            <w:tcW w:w="572"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633" w:type="dxa"/>
            <w:gridSpan w:val="2"/>
            <w:tcBorders/>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r>
              <w:rPr>
                <w:rFonts w:ascii="Times New Roman" w:hAnsi="Times New Roman"/>
                <w:b/>
                <w:color w:val="000000"/>
                <w:sz w:val="20"/>
              </w:rPr>
              <w:t>`</w:t>
            </w:r>
          </w:p>
        </w:tc>
        <w:tc>
          <w:tcPr>
            <w:tcW w:w="572" w:type="dxa"/>
            <w:tcBorders/>
            <w:vAlign w:val="center"/>
          </w:tcPr>
          <w:p>
            <w:pPr>
              <w:pStyle w:val="TableContents"/>
              <w:bidi w:val="0"/>
              <w:spacing w:before="0" w:after="283"/>
              <w:jc w:val="right"/>
              <w:rPr/>
            </w:pPr>
            <w:r>
              <w:rPr/>
              <w:t> </w:t>
            </w:r>
          </w:p>
        </w:tc>
      </w:tr>
      <w:tr>
        <w:trPr/>
        <w:tc>
          <w:tcPr>
            <w:tcW w:w="610" w:type="dxa"/>
            <w:tcBorders/>
            <w:vAlign w:val="center"/>
          </w:tcPr>
          <w:p>
            <w:pPr>
              <w:pStyle w:val="TableContents"/>
              <w:bidi w:val="0"/>
              <w:spacing w:before="0" w:after="283"/>
              <w:ind w:left="0" w:right="0" w:firstLine="180"/>
              <w:jc w:val="left"/>
              <w:rPr/>
            </w:pPr>
            <w:r>
              <w:rPr/>
              <w:t> </w:t>
            </w:r>
          </w:p>
        </w:tc>
        <w:tc>
          <w:tcPr>
            <w:tcW w:w="9023" w:type="dxa"/>
            <w:tcBorders/>
            <w:vAlign w:val="center"/>
          </w:tcPr>
          <w:p>
            <w:pPr>
              <w:pStyle w:val="TableContents"/>
              <w:pBdr/>
              <w:bidi w:val="0"/>
              <w:spacing w:before="0" w:after="283"/>
              <w:ind w:left="0" w:right="0" w:hanging="180"/>
              <w:jc w:val="left"/>
              <w:rPr/>
            </w:pPr>
            <w:r>
              <w:rPr/>
              <w:t> </w:t>
            </w:r>
          </w:p>
        </w:tc>
        <w:tc>
          <w:tcPr>
            <w:tcW w:w="572" w:type="dxa"/>
            <w:tcBorders/>
            <w:vAlign w:val="center"/>
          </w:tcPr>
          <w:p>
            <w:pPr>
              <w:pStyle w:val="TableContents"/>
              <w:bidi w:val="0"/>
              <w:spacing w:before="0" w:after="283"/>
              <w:jc w:val="right"/>
              <w:rPr/>
            </w:pPr>
            <w:r>
              <w:rPr/>
              <w:t> </w:t>
            </w:r>
          </w:p>
        </w:tc>
      </w:tr>
      <w:tr>
        <w:trPr/>
        <w:tc>
          <w:tcPr>
            <w:tcW w:w="610"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hyperlink w:anchor="forward_looking_statements">
              <w:r>
                <w:rPr>
                  <w:rStyle w:val="InternetLink"/>
                  <w:rFonts w:ascii="Times New Roman" w:hAnsi="Times New Roman"/>
                  <w:b w:val="false"/>
                  <w:color w:val="0000FF"/>
                  <w:sz w:val="20"/>
                  <w:u w:val="single"/>
                </w:rPr>
                <w:t>Cautionary Statement Regarding Forward-Looking Statements</w:t>
              </w:r>
            </w:hyperlink>
          </w:p>
        </w:tc>
        <w:tc>
          <w:tcPr>
            <w:tcW w:w="57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61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9023" w:type="dxa"/>
            <w:tcBorders/>
            <w:vAlign w:val="center"/>
          </w:tcPr>
          <w:p>
            <w:pPr>
              <w:pStyle w:val="TableContents"/>
              <w:bidi w:val="0"/>
              <w:jc w:val="left"/>
              <w:rPr/>
            </w:pPr>
            <w:r>
              <w:rPr/>
              <w:t> </w:t>
            </w:r>
          </w:p>
          <w:p>
            <w:pPr>
              <w:pStyle w:val="TableContents"/>
              <w:bidi w:val="0"/>
              <w:spacing w:before="0" w:after="283"/>
              <w:jc w:val="left"/>
              <w:rPr/>
            </w:pPr>
            <w:hyperlink w:anchor="item_1_consolidated_financial_statements">
              <w:r>
                <w:rPr>
                  <w:rStyle w:val="InternetLink"/>
                  <w:rFonts w:ascii="Times New Roman" w:hAnsi="Times New Roman"/>
                  <w:b w:val="false"/>
                  <w:color w:val="0000FF"/>
                  <w:sz w:val="20"/>
                  <w:u w:val="single"/>
                </w:rPr>
                <w:t>Financial Statements (Unaudited)</w:t>
              </w:r>
            </w:hyperlink>
          </w:p>
        </w:tc>
        <w:tc>
          <w:tcPr>
            <w:tcW w:w="57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610"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b w:val="false"/>
                  <w:color w:val="0000FF"/>
                  <w:sz w:val="20"/>
                  <w:u w:val="single"/>
                </w:rPr>
                <w:t>Condensed Consolidated Balance Sheets as of September 30, 2023 (unaudited) and December 31, 2022</w:t>
              </w:r>
            </w:hyperlink>
          </w:p>
        </w:tc>
        <w:tc>
          <w:tcPr>
            <w:tcW w:w="57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610" w:type="dxa"/>
            <w:tcBorders/>
            <w:vAlign w:val="center"/>
          </w:tcPr>
          <w:p>
            <w:pPr>
              <w:pStyle w:val="TableContents"/>
              <w:bidi w:val="0"/>
              <w:spacing w:before="0" w:after="283"/>
              <w:ind w:left="0" w:right="0" w:firstLine="7"/>
              <w:jc w:val="left"/>
              <w:rPr/>
            </w:pPr>
            <w:r>
              <w:rPr/>
              <w:t> </w:t>
            </w:r>
          </w:p>
        </w:tc>
        <w:tc>
          <w:tcPr>
            <w:tcW w:w="9023" w:type="dxa"/>
            <w:tcBorders/>
            <w:vAlign w:val="center"/>
          </w:tcPr>
          <w:p>
            <w:pPr>
              <w:pStyle w:val="TableContents"/>
              <w:pBdr/>
              <w:bidi w:val="0"/>
              <w:spacing w:before="0" w:after="283"/>
              <w:ind w:left="0" w:right="0" w:hanging="7"/>
              <w:jc w:val="left"/>
              <w:rPr/>
            </w:pPr>
            <w:hyperlink w:anchor="statements_of_operations">
              <w:r>
                <w:rPr>
                  <w:rStyle w:val="InternetLink"/>
                  <w:rFonts w:ascii="Times New Roman" w:hAnsi="Times New Roman"/>
                  <w:b w:val="false"/>
                  <w:color w:val="0000FF"/>
                  <w:sz w:val="20"/>
                  <w:u w:val="single"/>
                </w:rPr>
                <w:t>Unaudited Condensed Consolidated Statements of Operations and Comprehensive (Loss) Income for the three and nine months ended September 30, 2023 and 2022</w:t>
              </w:r>
            </w:hyperlink>
          </w:p>
        </w:tc>
        <w:tc>
          <w:tcPr>
            <w:tcW w:w="57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610" w:type="dxa"/>
            <w:tcBorders/>
            <w:vAlign w:val="center"/>
          </w:tcPr>
          <w:p>
            <w:pPr>
              <w:pStyle w:val="TableContents"/>
              <w:bidi w:val="0"/>
              <w:spacing w:before="0" w:after="283"/>
              <w:ind w:left="0" w:right="0" w:firstLine="7"/>
              <w:jc w:val="left"/>
              <w:rPr/>
            </w:pPr>
            <w:r>
              <w:rPr/>
              <w:t> </w:t>
            </w:r>
          </w:p>
        </w:tc>
        <w:tc>
          <w:tcPr>
            <w:tcW w:w="9023" w:type="dxa"/>
            <w:tcBorders/>
            <w:vAlign w:val="center"/>
          </w:tcPr>
          <w:p>
            <w:pPr>
              <w:pStyle w:val="TableContents"/>
              <w:pBdr/>
              <w:bidi w:val="0"/>
              <w:spacing w:before="0" w:after="283"/>
              <w:ind w:left="0" w:right="0" w:hanging="7"/>
              <w:jc w:val="left"/>
              <w:rPr/>
            </w:pPr>
            <w:hyperlink w:anchor="stockholders_equity_">
              <w:r>
                <w:rPr>
                  <w:rStyle w:val="InternetLink"/>
                  <w:rFonts w:ascii="Times New Roman" w:hAnsi="Times New Roman"/>
                  <w:b w:val="false"/>
                  <w:color w:val="0000FF"/>
                  <w:sz w:val="20"/>
                  <w:u w:val="single"/>
                </w:rPr>
                <w:t>Unaudited Condensed Consolidated Statements of Mezzanine Equity and Stockholders’ Equity for the three and nine months ended September 30, 2023 and 2022</w:t>
              </w:r>
            </w:hyperlink>
          </w:p>
        </w:tc>
        <w:tc>
          <w:tcPr>
            <w:tcW w:w="57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610" w:type="dxa"/>
            <w:tcBorders/>
            <w:vAlign w:val="center"/>
          </w:tcPr>
          <w:p>
            <w:pPr>
              <w:pStyle w:val="TableContents"/>
              <w:bidi w:val="0"/>
              <w:spacing w:before="0" w:after="283"/>
              <w:ind w:left="0" w:right="0" w:firstLine="7"/>
              <w:jc w:val="left"/>
              <w:rPr/>
            </w:pPr>
            <w:r>
              <w:rPr/>
              <w:t> </w:t>
            </w:r>
          </w:p>
        </w:tc>
        <w:tc>
          <w:tcPr>
            <w:tcW w:w="9023" w:type="dxa"/>
            <w:tcBorders/>
            <w:vAlign w:val="center"/>
          </w:tcPr>
          <w:p>
            <w:pPr>
              <w:pStyle w:val="TableContents"/>
              <w:pBdr/>
              <w:bidi w:val="0"/>
              <w:spacing w:before="0" w:after="283"/>
              <w:ind w:left="0" w:right="0" w:hanging="7"/>
              <w:jc w:val="left"/>
              <w:rPr/>
            </w:pPr>
            <w:hyperlink w:anchor="statements_of_cash_flows">
              <w:r>
                <w:rPr>
                  <w:rStyle w:val="InternetLink"/>
                  <w:rFonts w:ascii="Times New Roman" w:hAnsi="Times New Roman"/>
                  <w:b w:val="false"/>
                  <w:color w:val="0000FF"/>
                  <w:sz w:val="20"/>
                  <w:u w:val="single"/>
                </w:rPr>
                <w:t>Unaudited Condensed Consolidated Statements of Cash Flows for the nine months ended September 30, 2023 and 2022</w:t>
              </w:r>
            </w:hyperlink>
            <w:hyperlink w:anchor="statements_of_cash_flows">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r>
      <w:tr>
        <w:trPr/>
        <w:tc>
          <w:tcPr>
            <w:tcW w:w="610" w:type="dxa"/>
            <w:tcBorders/>
            <w:vAlign w:val="center"/>
          </w:tcPr>
          <w:p>
            <w:pPr>
              <w:pStyle w:val="TableContents"/>
              <w:bidi w:val="0"/>
              <w:spacing w:before="0" w:after="283"/>
              <w:ind w:left="0" w:right="0" w:firstLine="7"/>
              <w:jc w:val="left"/>
              <w:rPr/>
            </w:pPr>
            <w:r>
              <w:rPr/>
              <w:t> </w:t>
            </w:r>
          </w:p>
        </w:tc>
        <w:tc>
          <w:tcPr>
            <w:tcW w:w="9023" w:type="dxa"/>
            <w:tcBorders/>
            <w:vAlign w:val="center"/>
          </w:tcPr>
          <w:p>
            <w:pPr>
              <w:pStyle w:val="TableContents"/>
              <w:pBdr/>
              <w:bidi w:val="0"/>
              <w:spacing w:before="0" w:after="283"/>
              <w:ind w:left="0" w:right="0" w:hanging="7"/>
              <w:jc w:val="left"/>
              <w:rPr/>
            </w:pPr>
            <w:hyperlink w:anchor="notes_to_condensed_consolidated">
              <w:r>
                <w:rPr>
                  <w:rStyle w:val="InternetLink"/>
                  <w:rFonts w:ascii="Times New Roman" w:hAnsi="Times New Roman"/>
                  <w:b w:val="false"/>
                  <w:color w:val="0000FF"/>
                  <w:sz w:val="20"/>
                  <w:u w:val="single"/>
                </w:rPr>
                <w:t>Notes to Condensed Consolidated Financial Statements</w:t>
              </w:r>
            </w:hyperlink>
            <w:r>
              <w:rPr>
                <w:rFonts w:ascii="Times New Roman" w:hAnsi="Times New Roman"/>
                <w:color w:val="000000"/>
                <w:sz w:val="20"/>
              </w:rPr>
              <w:t xml:space="preserve"> </w:t>
            </w:r>
          </w:p>
        </w:tc>
        <w:tc>
          <w:tcPr>
            <w:tcW w:w="57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r>
      <w:tr>
        <w:trPr/>
        <w:tc>
          <w:tcPr>
            <w:tcW w:w="610" w:type="dxa"/>
            <w:tcBorders/>
            <w:vAlign w:val="center"/>
          </w:tcPr>
          <w:p>
            <w:pPr>
              <w:pStyle w:val="TableContents"/>
              <w:bidi w:val="0"/>
              <w:spacing w:before="0" w:after="283"/>
              <w:ind w:left="0" w:right="0" w:firstLine="7"/>
              <w:jc w:val="left"/>
              <w:rPr>
                <w:rFonts w:ascii="Times New Roman" w:hAnsi="Times New Roman"/>
                <w:b w:val="false"/>
                <w:color w:val="000000"/>
                <w:sz w:val="20"/>
              </w:rPr>
            </w:pPr>
            <w:r>
              <w:rPr>
                <w:rFonts w:ascii="Times New Roman" w:hAnsi="Times New Roman"/>
                <w:b w:val="false"/>
                <w:color w:val="000000"/>
                <w:sz w:val="20"/>
              </w:rPr>
              <w:t>Item 2.</w:t>
            </w:r>
          </w:p>
        </w:tc>
        <w:tc>
          <w:tcPr>
            <w:tcW w:w="9023" w:type="dxa"/>
            <w:tcBorders/>
            <w:vAlign w:val="center"/>
          </w:tcPr>
          <w:p>
            <w:pPr>
              <w:pStyle w:val="TableContents"/>
              <w:pBdr/>
              <w:bidi w:val="0"/>
              <w:spacing w:before="0" w:after="283"/>
              <w:ind w:left="0" w:right="0" w:hanging="7"/>
              <w:jc w:val="left"/>
              <w:rPr/>
            </w:pPr>
            <w:hyperlink w:anchor="item_2_managements_discussion_and_anal">
              <w:r>
                <w:rPr>
                  <w:rStyle w:val="InternetLink"/>
                  <w:rFonts w:ascii="Times New Roman" w:hAnsi="Times New Roman"/>
                  <w:b w:val="false"/>
                  <w:color w:val="0000FF"/>
                  <w:sz w:val="20"/>
                  <w:u w:val="single"/>
                </w:rPr>
                <w:t>Management’s Discussion and Analysis of Financial Condition and Results of Operations</w:t>
              </w:r>
            </w:hyperlink>
            <w:hyperlink w:anchor="item_2_managements_discussion_and_anal">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610" w:type="dxa"/>
            <w:tcBorders/>
            <w:vAlign w:val="center"/>
          </w:tcPr>
          <w:p>
            <w:pPr>
              <w:pStyle w:val="TableContents"/>
              <w:bidi w:val="0"/>
              <w:spacing w:before="0" w:after="283"/>
              <w:ind w:left="0" w:right="0" w:firstLine="7"/>
              <w:jc w:val="left"/>
              <w:rPr>
                <w:rFonts w:ascii="Times New Roman" w:hAnsi="Times New Roman"/>
                <w:b w:val="false"/>
                <w:color w:val="000000"/>
                <w:sz w:val="20"/>
              </w:rPr>
            </w:pPr>
            <w:r>
              <w:rPr>
                <w:rFonts w:ascii="Times New Roman" w:hAnsi="Times New Roman"/>
                <w:b w:val="false"/>
                <w:color w:val="000000"/>
                <w:sz w:val="20"/>
              </w:rPr>
              <w:t>Item 3.</w:t>
            </w:r>
          </w:p>
        </w:tc>
        <w:tc>
          <w:tcPr>
            <w:tcW w:w="9023" w:type="dxa"/>
            <w:tcBorders/>
            <w:vAlign w:val="center"/>
          </w:tcPr>
          <w:p>
            <w:pPr>
              <w:pStyle w:val="TableContents"/>
              <w:pBdr/>
              <w:bidi w:val="0"/>
              <w:spacing w:before="0" w:after="283"/>
              <w:ind w:left="0" w:right="0" w:hanging="7"/>
              <w:jc w:val="left"/>
              <w:rPr/>
            </w:pPr>
            <w:hyperlink w:anchor="item_3_quantitative_qualitative_disclo">
              <w:r>
                <w:rPr>
                  <w:rStyle w:val="InternetLink"/>
                  <w:rFonts w:ascii="Times New Roman" w:hAnsi="Times New Roman"/>
                  <w:b w:val="false"/>
                  <w:color w:val="0000FF"/>
                  <w:sz w:val="20"/>
                  <w:u w:val="single"/>
                </w:rPr>
                <w:t>Quantitative and Qualitative Disclosures about Market Risk</w:t>
              </w:r>
            </w:hyperlink>
            <w:hyperlink w:anchor="item_3_quantitative_qualitative_disclo">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r>
      <w:tr>
        <w:trPr/>
        <w:tc>
          <w:tcPr>
            <w:tcW w:w="610" w:type="dxa"/>
            <w:tcBorders/>
            <w:vAlign w:val="center"/>
          </w:tcPr>
          <w:p>
            <w:pPr>
              <w:pStyle w:val="TableContents"/>
              <w:bidi w:val="0"/>
              <w:spacing w:before="0" w:after="283"/>
              <w:ind w:left="0" w:right="0" w:firstLine="7"/>
              <w:jc w:val="left"/>
              <w:rPr>
                <w:rFonts w:ascii="Times New Roman" w:hAnsi="Times New Roman"/>
                <w:b w:val="false"/>
                <w:color w:val="000000"/>
                <w:sz w:val="20"/>
              </w:rPr>
            </w:pPr>
            <w:r>
              <w:rPr>
                <w:rFonts w:ascii="Times New Roman" w:hAnsi="Times New Roman"/>
                <w:b w:val="false"/>
                <w:color w:val="000000"/>
                <w:sz w:val="20"/>
              </w:rPr>
              <w:t>Item 4.</w:t>
            </w:r>
          </w:p>
        </w:tc>
        <w:tc>
          <w:tcPr>
            <w:tcW w:w="9023" w:type="dxa"/>
            <w:tcBorders/>
            <w:vAlign w:val="center"/>
          </w:tcPr>
          <w:p>
            <w:pPr>
              <w:pStyle w:val="TableContents"/>
              <w:pBdr/>
              <w:bidi w:val="0"/>
              <w:spacing w:before="0" w:after="283"/>
              <w:ind w:left="0" w:right="0" w:hanging="7"/>
              <w:jc w:val="left"/>
              <w:rPr/>
            </w:pPr>
            <w:hyperlink w:anchor="item_4_controls_and_procedures">
              <w:r>
                <w:rPr>
                  <w:rStyle w:val="InternetLink"/>
                  <w:rFonts w:ascii="Times New Roman" w:hAnsi="Times New Roman"/>
                  <w:b w:val="false"/>
                  <w:color w:val="0000FF"/>
                  <w:sz w:val="20"/>
                  <w:u w:val="single"/>
                </w:rPr>
                <w:t>Controls and Procedures</w:t>
              </w:r>
            </w:hyperlink>
            <w:hyperlink w:anchor="item_4_controls_and_procedures">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r>
      <w:tr>
        <w:trPr/>
        <w:tc>
          <w:tcPr>
            <w:tcW w:w="610" w:type="dxa"/>
            <w:tcBorders/>
            <w:vAlign w:val="center"/>
          </w:tcPr>
          <w:p>
            <w:pPr>
              <w:pStyle w:val="TableContents"/>
              <w:bidi w:val="0"/>
              <w:spacing w:before="0" w:after="283"/>
              <w:ind w:left="0" w:right="0" w:firstLine="7"/>
              <w:jc w:val="left"/>
              <w:rPr/>
            </w:pPr>
            <w:r>
              <w:rPr/>
              <w:t> </w:t>
            </w:r>
          </w:p>
        </w:tc>
        <w:tc>
          <w:tcPr>
            <w:tcW w:w="9023" w:type="dxa"/>
            <w:tcBorders/>
            <w:vAlign w:val="center"/>
          </w:tcPr>
          <w:p>
            <w:pPr>
              <w:pStyle w:val="TableContents"/>
              <w:pBdr/>
              <w:bidi w:val="0"/>
              <w:spacing w:before="0" w:after="283"/>
              <w:ind w:left="0" w:right="0" w:hanging="7"/>
              <w:jc w:val="left"/>
              <w:rPr/>
            </w:pPr>
            <w:r>
              <w:rPr/>
              <w:t> </w:t>
            </w:r>
          </w:p>
        </w:tc>
        <w:tc>
          <w:tcPr>
            <w:tcW w:w="572" w:type="dxa"/>
            <w:tcBorders/>
            <w:vAlign w:val="center"/>
          </w:tcPr>
          <w:p>
            <w:pPr>
              <w:pStyle w:val="TableContents"/>
              <w:bidi w:val="0"/>
              <w:spacing w:before="0" w:after="283"/>
              <w:jc w:val="right"/>
              <w:rPr/>
            </w:pPr>
            <w:r>
              <w:rPr/>
              <w:t> </w:t>
            </w:r>
          </w:p>
        </w:tc>
      </w:tr>
    </w:tbl>
    <w:p>
      <w:pPr>
        <w:pStyle w:val="TextBody"/>
        <w:bidi w:val="0"/>
        <w:jc w:val="left"/>
        <w:rPr/>
      </w:pPr>
      <w:hyperlink w:anchor="part_ii_other_information">
        <w:r>
          <w:rPr>
            <w:rStyle w:val="InternetLink"/>
            <w:rFonts w:ascii="Times New Roman" w:hAnsi="Times New Roman"/>
            <w:b/>
            <w:color w:val="0000FF"/>
            <w:sz w:val="20"/>
            <w:u w:val="single"/>
          </w:rPr>
          <w:t>PART II. OTHER INFORMATION</w:t>
        </w:r>
      </w:hyperlink>
    </w:p>
    <w:tbl>
      <w:tblPr>
        <w:tblW w:w="8268" w:type="dxa"/>
        <w:jc w:val="left"/>
        <w:tblInd w:w="0" w:type="dxa"/>
        <w:tblLayout w:type="fixed"/>
        <w:tblCellMar>
          <w:top w:w="28" w:type="dxa"/>
          <w:left w:w="28" w:type="dxa"/>
          <w:bottom w:w="28" w:type="dxa"/>
          <w:right w:w="28" w:type="dxa"/>
        </w:tblCellMar>
      </w:tblPr>
      <w:tblGrid>
        <w:gridCol w:w="811"/>
        <w:gridCol w:w="709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70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pPr>
            <w:r>
              <w:rPr/>
              <w:t> </w:t>
            </w:r>
          </w:p>
        </w:tc>
        <w:tc>
          <w:tcPr>
            <w:tcW w:w="709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096"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096" w:type="dxa"/>
            <w:tcBorders/>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096" w:type="dxa"/>
            <w:tcBorders/>
            <w:vAlign w:val="center"/>
          </w:tcPr>
          <w:p>
            <w:pPr>
              <w:pStyle w:val="TableContents"/>
              <w:bidi w:val="0"/>
              <w:spacing w:before="0" w:after="283"/>
              <w:jc w:val="left"/>
              <w:rPr/>
            </w:pPr>
            <w:hyperlink w:anchor="item_2_unregistered_sales_of_equity">
              <w:r>
                <w:rPr>
                  <w:rStyle w:val="InternetLink"/>
                  <w:rFonts w:ascii="Times New Roman" w:hAnsi="Times New Roman"/>
                  <w:b w:val="false"/>
                  <w:color w:val="0000FF"/>
                  <w:sz w:val="20"/>
                  <w:u w:val="single"/>
                </w:rPr>
                <w:t>Unregistered Sales of Equity Securities and Use of Proceeds from Registered Securities</w:t>
              </w:r>
            </w:hyperlink>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096"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096" w:type="dxa"/>
            <w:tcBorders/>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096" w:type="dxa"/>
            <w:tcBorders/>
            <w:vAlign w:val="center"/>
          </w:tcPr>
          <w:p>
            <w:pPr>
              <w:pStyle w:val="TableContents"/>
              <w:bidi w:val="0"/>
              <w:spacing w:before="0" w:after="283"/>
              <w:jc w:val="left"/>
              <w:rPr/>
            </w:pPr>
            <w:hyperlink w:anchor="item_5_other_information">
              <w:r>
                <w:rPr>
                  <w:rStyle w:val="InternetLink"/>
                  <w:rFonts w:ascii="Times New Roman" w:hAnsi="Times New Roman"/>
                  <w:b w:val="false"/>
                  <w:color w:val="0000FF"/>
                  <w:sz w:val="20"/>
                  <w:u w:val="single"/>
                </w:rPr>
                <w:t>Other Information</w:t>
              </w:r>
            </w:hyperlink>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r>
      <w:tr>
        <w:trPr/>
        <w:tc>
          <w:tcPr>
            <w:tcW w:w="8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096"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hyperlink w:anchor="item_6_exhibits">
              <w:r>
                <w:rPr>
                  <w:rStyle w:val="InternetLink"/>
                  <w:rFonts w:ascii="Times New Roman" w:hAnsi="Times New Roman"/>
                  <w:color w:val="0000FF"/>
                  <w:sz w:val="20"/>
                </w:rPr>
                <w:t xml:space="preserve"> </w:t>
              </w:r>
            </w:hyperlink>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r>
      <w:tr>
        <w:trPr/>
        <w:tc>
          <w:tcPr>
            <w:tcW w:w="7907" w:type="dxa"/>
            <w:gridSpan w:val="2"/>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FORWARD-LOOKING STATEMENTS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section titled "</w:t>
      </w:r>
      <w:r>
        <w:rPr>
          <w:rFonts w:ascii="Times New Roman" w:hAnsi="Times New Roman"/>
          <w:b w:val="false"/>
          <w:i/>
          <w:color w:val="000000"/>
          <w:sz w:val="20"/>
        </w:rPr>
        <w:t xml:space="preserve">Management’s Discussion and Analysis of Financial Condition and Results of Operations" </w:t>
      </w:r>
      <w:r>
        <w:rPr>
          <w:rFonts w:ascii="Times New Roman" w:hAnsi="Times New Roman"/>
          <w:b w:val="false"/>
          <w:color w:val="000000"/>
          <w:sz w:val="20"/>
        </w:rPr>
        <w:t>as well as other parts of this Quarterly Report on Form 10-Q contain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Important factors that could cause actual results to differ materially from our expectations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revenues, the concentration of our customers and the ability to retain our current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negotiate with our customers on favorable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maintain and grow our brand and reputation cost-effectively;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execution of our growth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 of public health outbreaks, epidemics or pandemics, including the global COVID-19 pandemic, on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projected financial information, growth rate and market opportunity;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health of our industry, claim volumes, and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the insurance and automotive collision industries, including the adoption of new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global economic conditions and 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competition in our market and our ability to retain and grow market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develop, introduce and market new enhanced versions of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sales and implementation cycles;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ability of our research and development efforts to create significant new revenue streams;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applicable laws or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international economic, political, social and governmental conditions and policies, including corruption risks in China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reliance on third-party data, technology and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protect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keep our data and information systems secure from data security breaches;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acquire or invest in companies or pursue business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raise financing in the future and improve our capital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success in retaining or recruiting, or changes required in, our officers, key employees or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expand or maintain our existing customer base;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service our indebtedness.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4" w:name="item_1_consolidated_financial_statements"/>
      <w:bookmarkEnd w:id="4"/>
      <w:r>
        <w:rPr>
          <w:rFonts w:ascii="Times New Roman" w:hAnsi="Times New Roman"/>
          <w:b/>
          <w:color w:val="000000"/>
          <w:sz w:val="20"/>
        </w:rPr>
        <w:t>Item 1. Financial Statements (Unaudited)</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pBdr>
          <w:top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09"/>
        <w:gridCol w:w="146"/>
        <w:gridCol w:w="228"/>
        <w:gridCol w:w="963"/>
        <w:gridCol w:w="166"/>
        <w:gridCol w:w="146"/>
        <w:gridCol w:w="217"/>
        <w:gridCol w:w="917"/>
        <w:gridCol w:w="613"/>
      </w:tblGrid>
      <w:tr>
        <w:trPr/>
        <w:tc>
          <w:tcPr>
            <w:tcW w:w="6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0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4"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3" w:type="dxa"/>
            <w:tcBorders/>
            <w:shd w:fill="FFFFFF" w:val="clear"/>
            <w:vAlign w:val="center"/>
          </w:tcPr>
          <w:p>
            <w:pPr>
              <w:pStyle w:val="TableContents"/>
              <w:bidi w:val="0"/>
              <w:spacing w:before="0" w:after="283"/>
              <w:jc w:val="center"/>
              <w:rPr/>
            </w:pPr>
            <w:r>
              <w:rPr/>
              <w:t> </w:t>
            </w:r>
          </w:p>
        </w:tc>
      </w:tr>
      <w:tr>
        <w:trPr/>
        <w:tc>
          <w:tcPr>
            <w:tcW w:w="68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4" w:type="dxa"/>
            <w:gridSpan w:val="2"/>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r>
      <w:tr>
        <w:trPr/>
        <w:tc>
          <w:tcPr>
            <w:tcW w:w="680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1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3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80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80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448,733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323,788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80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8"/>
              </w:rPr>
              <w:t>Accounts receivable—Net of allowances of $5,052</w:t>
            </w:r>
            <w:r>
              <w:rPr>
                <w:rFonts w:ascii="Times New Roman" w:hAnsi="Times New Roman"/>
                <w:color w:val="000000"/>
                <w:sz w:val="20"/>
              </w:rPr>
              <w:t> </w:t>
            </w:r>
            <w:r>
              <w:rPr>
                <w:rFonts w:ascii="Times New Roman" w:hAnsi="Times New Roman"/>
                <w:b w:val="false"/>
                <w:color w:val="000000"/>
                <w:sz w:val="18"/>
              </w:rPr>
              <w:t>and $5,339</w:t>
            </w:r>
            <w:r>
              <w:rPr>
                <w:rFonts w:ascii="Times New Roman" w:hAnsi="Times New Roman"/>
                <w:color w:val="000000"/>
                <w:sz w:val="20"/>
              </w:rPr>
              <w:t> </w:t>
            </w:r>
            <w:r>
              <w:rPr>
                <w:rFonts w:ascii="Times New Roman" w:hAnsi="Times New Roman"/>
                <w:b w:val="false"/>
                <w:color w:val="000000"/>
                <w:sz w:val="18"/>
              </w:rPr>
              <w:t>as of September 30, 2023 and</w:t>
              <w:br/>
              <w:t>   December 31, 2022, respectively</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117,799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98,353</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80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Income taxes receivable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4,015</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80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16,994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16,556</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80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current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36,358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613,747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479,070</w:t>
            </w:r>
          </w:p>
        </w:tc>
        <w:tc>
          <w:tcPr>
            <w:tcW w:w="613" w:type="dxa"/>
            <w:tcBorders/>
            <w:shd w:fill="FFFFFF" w:val="clear"/>
            <w:vAlign w:val="center"/>
          </w:tcPr>
          <w:p>
            <w:pPr>
              <w:pStyle w:val="TableContents"/>
              <w:bidi w:val="0"/>
              <w:spacing w:before="0" w:after="283"/>
              <w:jc w:val="left"/>
              <w:rPr/>
            </w:pPr>
            <w:r>
              <w:rPr/>
              <w:t> </w:t>
            </w:r>
          </w:p>
        </w:tc>
      </w:tr>
      <w:tr>
        <w:trPr/>
        <w:tc>
          <w:tcPr>
            <w:tcW w:w="68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SOFTWARE, EQUIPMENT, AND PROPERTY—Net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158,189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146,443</w:t>
            </w:r>
          </w:p>
        </w:tc>
        <w:tc>
          <w:tcPr>
            <w:tcW w:w="613" w:type="dxa"/>
            <w:tcBorders/>
            <w:shd w:fill="CFF0FC" w:val="clear"/>
            <w:vAlign w:val="center"/>
          </w:tcPr>
          <w:p>
            <w:pPr>
              <w:pStyle w:val="TableContents"/>
              <w:bidi w:val="0"/>
              <w:spacing w:before="0" w:after="283"/>
              <w:jc w:val="left"/>
              <w:rPr/>
            </w:pPr>
            <w:r>
              <w:rPr/>
              <w:t> </w:t>
            </w:r>
          </w:p>
        </w:tc>
      </w:tr>
      <w:tr>
        <w:trPr/>
        <w:tc>
          <w:tcPr>
            <w:tcW w:w="680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LEASE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31,061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32,874</w:t>
            </w:r>
          </w:p>
        </w:tc>
        <w:tc>
          <w:tcPr>
            <w:tcW w:w="613" w:type="dxa"/>
            <w:tcBorders/>
            <w:shd w:fill="FFFFFF" w:val="clear"/>
            <w:vAlign w:val="center"/>
          </w:tcPr>
          <w:p>
            <w:pPr>
              <w:pStyle w:val="TableContents"/>
              <w:bidi w:val="0"/>
              <w:spacing w:before="0" w:after="283"/>
              <w:jc w:val="left"/>
              <w:rPr/>
            </w:pPr>
            <w:r>
              <w:rPr/>
              <w:t> </w:t>
            </w:r>
          </w:p>
        </w:tc>
      </w:tr>
      <w:tr>
        <w:trPr/>
        <w:tc>
          <w:tcPr>
            <w:tcW w:w="68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INTANGIBLE ASSETS—Net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1,039,555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1,118,819</w:t>
            </w:r>
          </w:p>
        </w:tc>
        <w:tc>
          <w:tcPr>
            <w:tcW w:w="613" w:type="dxa"/>
            <w:tcBorders/>
            <w:shd w:fill="CFF0FC" w:val="clear"/>
            <w:vAlign w:val="center"/>
          </w:tcPr>
          <w:p>
            <w:pPr>
              <w:pStyle w:val="TableContents"/>
              <w:bidi w:val="0"/>
              <w:spacing w:before="0" w:after="283"/>
              <w:jc w:val="left"/>
              <w:rPr/>
            </w:pPr>
            <w:r>
              <w:rPr/>
              <w:t> </w:t>
            </w:r>
          </w:p>
        </w:tc>
      </w:tr>
      <w:tr>
        <w:trPr/>
        <w:tc>
          <w:tcPr>
            <w:tcW w:w="680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GOODWILL</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1,417,724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1,495,129</w:t>
            </w:r>
          </w:p>
        </w:tc>
        <w:tc>
          <w:tcPr>
            <w:tcW w:w="613" w:type="dxa"/>
            <w:tcBorders/>
            <w:shd w:fill="FFFFFF" w:val="clear"/>
            <w:vAlign w:val="center"/>
          </w:tcPr>
          <w:p>
            <w:pPr>
              <w:pStyle w:val="TableContents"/>
              <w:bidi w:val="0"/>
              <w:spacing w:before="0" w:after="283"/>
              <w:jc w:val="left"/>
              <w:rPr/>
            </w:pPr>
            <w:r>
              <w:rPr/>
              <w:t> </w:t>
            </w:r>
          </w:p>
        </w:tc>
      </w:tr>
      <w:tr>
        <w:trPr/>
        <w:tc>
          <w:tcPr>
            <w:tcW w:w="68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DEFERRED FINANCING FEES, REVOLVER—Net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2,286</w:t>
            </w:r>
          </w:p>
        </w:tc>
        <w:tc>
          <w:tcPr>
            <w:tcW w:w="613" w:type="dxa"/>
            <w:tcBorders/>
            <w:shd w:fill="CFF0FC" w:val="clear"/>
            <w:vAlign w:val="center"/>
          </w:tcPr>
          <w:p>
            <w:pPr>
              <w:pStyle w:val="TableContents"/>
              <w:bidi w:val="0"/>
              <w:spacing w:before="0" w:after="283"/>
              <w:jc w:val="left"/>
              <w:rPr/>
            </w:pPr>
            <w:r>
              <w:rPr/>
              <w:t> </w:t>
            </w:r>
          </w:p>
        </w:tc>
      </w:tr>
      <w:tr>
        <w:trPr/>
        <w:tc>
          <w:tcPr>
            <w:tcW w:w="680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20,161</w:t>
            </w:r>
          </w:p>
        </w:tc>
        <w:tc>
          <w:tcPr>
            <w:tcW w:w="613" w:type="dxa"/>
            <w:tcBorders/>
            <w:shd w:fill="FFFFFF" w:val="clear"/>
            <w:vAlign w:val="center"/>
          </w:tcPr>
          <w:p>
            <w:pPr>
              <w:pStyle w:val="TableContents"/>
              <w:bidi w:val="0"/>
              <w:spacing w:before="0" w:after="283"/>
              <w:jc w:val="left"/>
              <w:rPr/>
            </w:pPr>
            <w:r>
              <w:rPr/>
              <w:t> </w:t>
            </w:r>
          </w:p>
        </w:tc>
      </w:tr>
      <w:tr>
        <w:trPr/>
        <w:tc>
          <w:tcPr>
            <w:tcW w:w="68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EQUITY METHOD INVESTMENT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10,228</w:t>
            </w:r>
          </w:p>
        </w:tc>
        <w:tc>
          <w:tcPr>
            <w:tcW w:w="613" w:type="dxa"/>
            <w:tcBorders/>
            <w:shd w:fill="CFF0FC" w:val="clear"/>
            <w:vAlign w:val="center"/>
          </w:tcPr>
          <w:p>
            <w:pPr>
              <w:pStyle w:val="TableContents"/>
              <w:bidi w:val="0"/>
              <w:spacing w:before="0" w:after="283"/>
              <w:jc w:val="left"/>
              <w:rPr/>
            </w:pPr>
            <w:r>
              <w:rPr/>
              <w:t> </w:t>
            </w:r>
          </w:p>
        </w:tc>
      </w:tr>
      <w:tr>
        <w:trPr/>
        <w:tc>
          <w:tcPr>
            <w:tcW w:w="680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49,875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45,911</w:t>
            </w:r>
          </w:p>
        </w:tc>
        <w:tc>
          <w:tcPr>
            <w:tcW w:w="613" w:type="dxa"/>
            <w:tcBorders/>
            <w:shd w:fill="FFFFFF" w:val="clear"/>
            <w:vAlign w:val="center"/>
          </w:tcPr>
          <w:p>
            <w:pPr>
              <w:pStyle w:val="TableContents"/>
              <w:bidi w:val="0"/>
              <w:spacing w:before="0" w:after="283"/>
              <w:jc w:val="left"/>
              <w:rPr/>
            </w:pPr>
            <w:r>
              <w:rPr/>
              <w:t> </w:t>
            </w:r>
          </w:p>
        </w:tc>
      </w:tr>
      <w:tr>
        <w:trPr/>
        <w:tc>
          <w:tcPr>
            <w:tcW w:w="68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2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3,341,783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3,350,921</w:t>
            </w:r>
          </w:p>
        </w:tc>
        <w:tc>
          <w:tcPr>
            <w:tcW w:w="61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80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MEZZANINE EQUITY AND STOCKHOLDERS’ EQUITY</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8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1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3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680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27,599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80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Accrued expenses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61,005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71,445</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80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Income taxes payable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80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8,000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80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Current portion of long-term licensing agreement—Net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2,876</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80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5,484</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80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Deferred revenues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35,239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0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148,554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151,565</w:t>
            </w:r>
          </w:p>
        </w:tc>
        <w:tc>
          <w:tcPr>
            <w:tcW w:w="613" w:type="dxa"/>
            <w:tcBorders/>
            <w:shd w:fill="CFF0FC" w:val="clear"/>
            <w:vAlign w:val="center"/>
          </w:tcPr>
          <w:p>
            <w:pPr>
              <w:pStyle w:val="TableContents"/>
              <w:bidi w:val="0"/>
              <w:spacing w:before="0" w:after="283"/>
              <w:jc w:val="left"/>
              <w:rPr/>
            </w:pPr>
            <w:r>
              <w:rPr/>
              <w:t> </w:t>
            </w:r>
          </w:p>
        </w:tc>
      </w:tr>
      <w:tr>
        <w:trPr/>
        <w:tc>
          <w:tcPr>
            <w:tcW w:w="680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LONG-TERM DEBT—Net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769,136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774,132</w:t>
            </w:r>
          </w:p>
        </w:tc>
        <w:tc>
          <w:tcPr>
            <w:tcW w:w="613" w:type="dxa"/>
            <w:tcBorders/>
            <w:shd w:fill="FFFFFF" w:val="clear"/>
            <w:vAlign w:val="center"/>
          </w:tcPr>
          <w:p>
            <w:pPr>
              <w:pStyle w:val="TableContents"/>
              <w:bidi w:val="0"/>
              <w:spacing w:before="0" w:after="283"/>
              <w:jc w:val="left"/>
              <w:rPr/>
            </w:pPr>
            <w:r>
              <w:rPr/>
              <w:t> </w:t>
            </w:r>
          </w:p>
        </w:tc>
      </w:tr>
      <w:tr>
        <w:trPr/>
        <w:tc>
          <w:tcPr>
            <w:tcW w:w="68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DEFERRED INCOME TAXES—Net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200,913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241,698</w:t>
            </w:r>
          </w:p>
        </w:tc>
        <w:tc>
          <w:tcPr>
            <w:tcW w:w="613" w:type="dxa"/>
            <w:tcBorders/>
            <w:shd w:fill="CFF0FC" w:val="clear"/>
            <w:vAlign w:val="center"/>
          </w:tcPr>
          <w:p>
            <w:pPr>
              <w:pStyle w:val="TableContents"/>
              <w:bidi w:val="0"/>
              <w:spacing w:before="0" w:after="283"/>
              <w:jc w:val="left"/>
              <w:rPr/>
            </w:pPr>
            <w:r>
              <w:rPr/>
              <w:t> </w:t>
            </w:r>
          </w:p>
        </w:tc>
      </w:tr>
      <w:tr>
        <w:trPr/>
        <w:tc>
          <w:tcPr>
            <w:tcW w:w="680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LONG-TERM LICENSING AGREEMENT—Net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30,752</w:t>
            </w:r>
          </w:p>
        </w:tc>
        <w:tc>
          <w:tcPr>
            <w:tcW w:w="613" w:type="dxa"/>
            <w:tcBorders/>
            <w:shd w:fill="FFFFFF" w:val="clear"/>
            <w:vAlign w:val="center"/>
          </w:tcPr>
          <w:p>
            <w:pPr>
              <w:pStyle w:val="TableContents"/>
              <w:bidi w:val="0"/>
              <w:spacing w:before="0" w:after="283"/>
              <w:jc w:val="left"/>
              <w:rPr/>
            </w:pPr>
            <w:r>
              <w:rPr/>
              <w:t> </w:t>
            </w:r>
          </w:p>
        </w:tc>
      </w:tr>
      <w:tr>
        <w:trPr/>
        <w:tc>
          <w:tcPr>
            <w:tcW w:w="68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54,245</w:t>
            </w:r>
          </w:p>
        </w:tc>
        <w:tc>
          <w:tcPr>
            <w:tcW w:w="613" w:type="dxa"/>
            <w:tcBorders/>
            <w:shd w:fill="CFF0FC" w:val="clear"/>
            <w:vAlign w:val="center"/>
          </w:tcPr>
          <w:p>
            <w:pPr>
              <w:pStyle w:val="TableContents"/>
              <w:bidi w:val="0"/>
              <w:spacing w:before="0" w:after="283"/>
              <w:jc w:val="left"/>
              <w:rPr/>
            </w:pPr>
            <w:r>
              <w:rPr/>
              <w:t> </w:t>
            </w:r>
          </w:p>
        </w:tc>
      </w:tr>
      <w:tr>
        <w:trPr/>
        <w:tc>
          <w:tcPr>
            <w:tcW w:w="680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WARRANT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81,808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36,405</w:t>
            </w:r>
          </w:p>
        </w:tc>
        <w:tc>
          <w:tcPr>
            <w:tcW w:w="613" w:type="dxa"/>
            <w:tcBorders/>
            <w:shd w:fill="FFFFFF" w:val="clear"/>
            <w:vAlign w:val="center"/>
          </w:tcPr>
          <w:p>
            <w:pPr>
              <w:pStyle w:val="TableContents"/>
              <w:bidi w:val="0"/>
              <w:spacing w:before="0" w:after="283"/>
              <w:jc w:val="left"/>
              <w:rPr/>
            </w:pPr>
            <w:r>
              <w:rPr/>
              <w:t> </w:t>
            </w:r>
          </w:p>
        </w:tc>
      </w:tr>
      <w:tr>
        <w:trPr/>
        <w:tc>
          <w:tcPr>
            <w:tcW w:w="68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2,658</w:t>
            </w:r>
          </w:p>
        </w:tc>
        <w:tc>
          <w:tcPr>
            <w:tcW w:w="613" w:type="dxa"/>
            <w:tcBorders/>
            <w:shd w:fill="CFF0FC" w:val="clear"/>
            <w:vAlign w:val="center"/>
          </w:tcPr>
          <w:p>
            <w:pPr>
              <w:pStyle w:val="TableContents"/>
              <w:bidi w:val="0"/>
              <w:spacing w:before="0" w:after="283"/>
              <w:ind w:left="0" w:right="0" w:firstLine="400"/>
              <w:jc w:val="left"/>
              <w:rPr/>
            </w:pPr>
            <w:r>
              <w:rPr/>
              <w:t> </w:t>
            </w:r>
          </w:p>
        </w:tc>
      </w:tr>
      <w:tr>
        <w:trPr/>
        <w:tc>
          <w:tcPr>
            <w:tcW w:w="680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1,282,801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1,291,455</w:t>
            </w:r>
          </w:p>
        </w:tc>
        <w:tc>
          <w:tcPr>
            <w:tcW w:w="61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80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8"/>
              </w:rPr>
              <w:t>COMMITMENTS AND CONTINGENCIES</w:t>
            </w:r>
            <w:r>
              <w:rPr>
                <w:rFonts w:ascii="Times New Roman" w:hAnsi="Times New Roman"/>
                <w:color w:val="000000"/>
                <w:sz w:val="20"/>
              </w:rPr>
              <w:t> </w:t>
            </w:r>
            <w:r>
              <w:rPr>
                <w:rFonts w:ascii="Times New Roman" w:hAnsi="Times New Roman"/>
                <w:b w:val="false"/>
                <w:color w:val="000000"/>
                <w:sz w:val="18"/>
              </w:rPr>
              <w:t>(Notes 19 and 20)</w:t>
            </w:r>
          </w:p>
        </w:tc>
        <w:tc>
          <w:tcPr>
            <w:tcW w:w="146" w:type="dxa"/>
            <w:tcBorders/>
            <w:shd w:fill="CFF0FC" w:val="clear"/>
            <w:vAlign w:val="center"/>
          </w:tcPr>
          <w:p>
            <w:pPr>
              <w:pStyle w:val="TableContents"/>
              <w:bidi w:val="0"/>
              <w:spacing w:before="0" w:after="283"/>
              <w:jc w:val="left"/>
              <w:rPr/>
            </w:pPr>
            <w:r>
              <w:rPr/>
              <w:t> </w:t>
            </w:r>
          </w:p>
        </w:tc>
        <w:tc>
          <w:tcPr>
            <w:tcW w:w="11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3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80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MEZZANINE EQUITY:</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80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Redeemable non-controlling interest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15,504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14,179</w:t>
            </w:r>
          </w:p>
        </w:tc>
        <w:tc>
          <w:tcPr>
            <w:tcW w:w="613" w:type="dxa"/>
            <w:tcBorders/>
            <w:shd w:fill="CFF0FC" w:val="clear"/>
            <w:vAlign w:val="center"/>
          </w:tcPr>
          <w:p>
            <w:pPr>
              <w:pStyle w:val="TableContents"/>
              <w:bidi w:val="0"/>
              <w:spacing w:before="0" w:after="283"/>
              <w:jc w:val="left"/>
              <w:rPr/>
            </w:pPr>
            <w:r>
              <w:rPr/>
              <w:t> </w:t>
            </w:r>
          </w:p>
        </w:tc>
      </w:tr>
      <w:tr>
        <w:trPr/>
        <w:tc>
          <w:tcPr>
            <w:tcW w:w="680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80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8"/>
              </w:rPr>
              <w:t>Preferred stock—$0.0001</w:t>
            </w:r>
            <w:r>
              <w:rPr>
                <w:rFonts w:ascii="Times New Roman" w:hAnsi="Times New Roman"/>
                <w:color w:val="000000"/>
                <w:sz w:val="20"/>
              </w:rPr>
              <w:t> </w:t>
            </w:r>
            <w:r>
              <w:rPr>
                <w:rFonts w:ascii="Times New Roman" w:hAnsi="Times New Roman"/>
                <w:b w:val="false"/>
                <w:color w:val="000000"/>
                <w:sz w:val="18"/>
              </w:rPr>
              <w:t>par; 100,000,000</w:t>
            </w:r>
            <w:r>
              <w:rPr>
                <w:rFonts w:ascii="Times New Roman" w:hAnsi="Times New Roman"/>
                <w:color w:val="000000"/>
                <w:sz w:val="20"/>
              </w:rPr>
              <w:t> </w:t>
            </w:r>
            <w:r>
              <w:rPr>
                <w:rFonts w:ascii="Times New Roman" w:hAnsi="Times New Roman"/>
                <w:b w:val="false"/>
                <w:color w:val="000000"/>
                <w:sz w:val="18"/>
              </w:rPr>
              <w:t>shares authorized; no</w:t>
            </w:r>
            <w:r>
              <w:rPr>
                <w:rFonts w:ascii="Times New Roman" w:hAnsi="Times New Roman"/>
                <w:color w:val="000000"/>
                <w:sz w:val="20"/>
              </w:rPr>
              <w:t> </w:t>
            </w:r>
            <w:r>
              <w:rPr>
                <w:rFonts w:ascii="Times New Roman" w:hAnsi="Times New Roman"/>
                <w:b w:val="false"/>
                <w:color w:val="000000"/>
                <w:sz w:val="18"/>
              </w:rPr>
              <w:t>shares issued or outstanding</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80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8"/>
              </w:rPr>
              <w:t>Common stock—$0.0001</w:t>
            </w:r>
            <w:r>
              <w:rPr>
                <w:rFonts w:ascii="Times New Roman" w:hAnsi="Times New Roman"/>
                <w:color w:val="000000"/>
                <w:sz w:val="20"/>
              </w:rPr>
              <w:t> </w:t>
            </w:r>
            <w:r>
              <w:rPr>
                <w:rFonts w:ascii="Times New Roman" w:hAnsi="Times New Roman"/>
                <w:b w:val="false"/>
                <w:color w:val="000000"/>
                <w:sz w:val="18"/>
              </w:rPr>
              <w:t>par; 5,000,000,000</w:t>
            </w:r>
            <w:r>
              <w:rPr>
                <w:rFonts w:ascii="Times New Roman" w:hAnsi="Times New Roman"/>
                <w:color w:val="000000"/>
                <w:sz w:val="20"/>
              </w:rPr>
              <w:t> </w:t>
            </w:r>
            <w:r>
              <w:rPr>
                <w:rFonts w:ascii="Times New Roman" w:hAnsi="Times New Roman"/>
                <w:b w:val="false"/>
                <w:color w:val="000000"/>
                <w:sz w:val="18"/>
              </w:rPr>
              <w:t>shares authorized; 634,633,179</w:t>
            </w:r>
            <w:r>
              <w:rPr>
                <w:rFonts w:ascii="Times New Roman" w:hAnsi="Times New Roman"/>
                <w:color w:val="000000"/>
                <w:sz w:val="20"/>
              </w:rPr>
              <w:t> </w:t>
            </w:r>
            <w:r>
              <w:rPr>
                <w:rFonts w:ascii="Times New Roman" w:hAnsi="Times New Roman"/>
                <w:b w:val="false"/>
                <w:color w:val="000000"/>
                <w:sz w:val="18"/>
              </w:rPr>
              <w:t>and</w:t>
              <w:br/>
              <w:t>   622,072,905</w:t>
            </w:r>
            <w:r>
              <w:rPr>
                <w:rFonts w:ascii="Times New Roman" w:hAnsi="Times New Roman"/>
                <w:color w:val="000000"/>
                <w:sz w:val="20"/>
              </w:rPr>
              <w:t> </w:t>
            </w:r>
            <w:r>
              <w:rPr>
                <w:rFonts w:ascii="Times New Roman" w:hAnsi="Times New Roman"/>
                <w:b w:val="false"/>
                <w:color w:val="000000"/>
                <w:sz w:val="18"/>
              </w:rPr>
              <w:t>shares issued and outstanding at September 30, 2023 and December 31,</w:t>
              <w:br/>
              <w:t>   2022, respectively</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80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2,868,881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2,754,055</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80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(824,308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(707,946</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80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(1,158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(884</w:t>
            </w:r>
          </w:p>
        </w:tc>
        <w:tc>
          <w:tcPr>
            <w:tcW w:w="613"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80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2,043,478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2,045,287</w:t>
            </w:r>
          </w:p>
        </w:tc>
        <w:tc>
          <w:tcPr>
            <w:tcW w:w="61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8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3,341,783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3,350,921</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 notes to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sz w:val="20"/>
        </w:rPr>
      </w:pPr>
      <w:bookmarkStart w:id="6" w:name="statements_of_operations"/>
      <w:bookmarkEnd w:id="6"/>
      <w:r>
        <w:rPr>
          <w:rFonts w:ascii="Times New Roman" w:hAnsi="Times New Roman"/>
          <w:b/>
          <w:color w:val="000000"/>
          <w:sz w:val="20"/>
        </w:rPr>
        <w:t>CONDENSED CONSOLIDATED STATEMENTS OF OPERATIONS AND COMPREHENSIVE (LOSS)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24"/>
        <w:gridCol w:w="146"/>
        <w:gridCol w:w="196"/>
        <w:gridCol w:w="1006"/>
        <w:gridCol w:w="166"/>
        <w:gridCol w:w="146"/>
        <w:gridCol w:w="196"/>
        <w:gridCol w:w="1006"/>
        <w:gridCol w:w="166"/>
        <w:gridCol w:w="146"/>
        <w:gridCol w:w="196"/>
        <w:gridCol w:w="1006"/>
        <w:gridCol w:w="166"/>
        <w:gridCol w:w="146"/>
        <w:gridCol w:w="196"/>
        <w:gridCol w:w="1006"/>
        <w:gridCol w:w="79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w:t>
            </w:r>
          </w:p>
        </w:tc>
        <w:tc>
          <w:tcPr>
            <w:tcW w:w="791" w:type="dxa"/>
            <w:tcBorders/>
            <w:shd w:fill="FFFFFF" w:val="cle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221,147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198,734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637,777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578,342</w:t>
            </w:r>
          </w:p>
        </w:tc>
        <w:tc>
          <w:tcPr>
            <w:tcW w:w="791" w:type="dxa"/>
            <w:tcBorders/>
            <w:shd w:fill="CFF0FC" w:val="cle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COST OF REVENUES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200"/>
              <w:jc w:val="center"/>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Cost of revenues, exclusive of amortization and impairment of acquired technologies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153,954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135,174</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Amortization of acquired technologies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6,748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19,897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20,193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Impairment of acquired technologies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24"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Total cost of revenues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174,282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155,367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145,607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463,495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422,975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EXPENSES: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200"/>
              <w:jc w:val="center"/>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127,891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114,711</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Selling and marketing</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35,605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30,838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105,072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88,731</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49,471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39,376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137,477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123,093</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54,030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54,212</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Impairment of goodwill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77,405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Impairment of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24"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146,550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128,553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506,781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380,747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INCOME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16,571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(43,286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42,228</w:t>
            </w:r>
          </w:p>
        </w:tc>
        <w:tc>
          <w:tcPr>
            <w:tcW w:w="791" w:type="dxa"/>
            <w:tcBorders/>
            <w:shd w:fill="FFFFFF" w:val="cle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(14,633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(10,501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(42,480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(25,786</w:t>
            </w:r>
          </w:p>
        </w:tc>
        <w:tc>
          <w:tcPr>
            <w:tcW w:w="79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12,447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CHANGE IN FAIR VALUE OF DERIVATIVE INSTRUMENTS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5,991</w:t>
            </w:r>
          </w:p>
        </w:tc>
        <w:tc>
          <w:tcPr>
            <w:tcW w:w="791" w:type="dxa"/>
            <w:tcBorders/>
            <w:shd w:fill="CFF0FC" w:val="cle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CHANGE IN FAIR VALUE OF WARRANT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(26,223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(45,403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23,452</w:t>
            </w:r>
          </w:p>
        </w:tc>
        <w:tc>
          <w:tcPr>
            <w:tcW w:w="791" w:type="dxa"/>
            <w:tcBorders/>
            <w:shd w:fill="FFFFFF" w:val="cle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GAIN ON SALE OF COST METHOD INVESTMENT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3,587</w:t>
            </w:r>
          </w:p>
        </w:tc>
        <w:tc>
          <w:tcPr>
            <w:tcW w:w="791" w:type="dxa"/>
            <w:tcBorders/>
            <w:shd w:fill="CFF0FC" w:val="cle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INCOME—Net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PRETAX (LOSS)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(19,384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13,247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(117,608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50,048</w:t>
            </w:r>
          </w:p>
        </w:tc>
        <w:tc>
          <w:tcPr>
            <w:tcW w:w="791" w:type="dxa"/>
            <w:tcBorders/>
            <w:shd w:fill="CFF0FC" w:val="cle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INCOME TAX (PROVISION) BENEFIT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(12,714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 INCOME INCLUDING NON-CONTROLLING</w:t>
              <w:br/>
              <w:t>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(116,362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37,334</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LESS: ACCRETION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 INCOME ATTRIBUTABLE TO CCC INTELLIGENT</w:t>
              <w:br/>
              <w:t>   SOLUTIONS HOLDINGS INC. COMMON STOCKHOLDERS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(22,212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(117,687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37,334</w:t>
            </w:r>
          </w:p>
        </w:tc>
        <w:tc>
          <w:tcPr>
            <w:tcW w:w="791" w:type="dxa"/>
            <w:tcBorders/>
            <w:shd w:fill="CFF0FC" w:val="cle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 income per share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400"/>
              <w:jc w:val="center"/>
              <w:rPr/>
            </w:pPr>
            <w:r>
              <w:rPr/>
              <w:t> </w:t>
            </w:r>
          </w:p>
        </w:tc>
      </w:tr>
      <w:tr>
        <w:trPr/>
        <w:tc>
          <w:tcPr>
            <w:tcW w:w="352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Basic</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0.06</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2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Diluted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0.06</w:t>
            </w:r>
          </w:p>
        </w:tc>
        <w:tc>
          <w:tcPr>
            <w:tcW w:w="791" w:type="dxa"/>
            <w:tcBorders/>
            <w:shd w:fill="FFFFFF" w:val="cle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Weighted-average shares used in computing net (loss) income per share</w:t>
              <w:br/>
              <w:t>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791" w:type="dxa"/>
            <w:tcBorders/>
            <w:shd w:fill="CFF0FC" w:val="clear"/>
            <w:vAlign w:val="center"/>
          </w:tcPr>
          <w:p>
            <w:pPr>
              <w:pStyle w:val="TableContents"/>
              <w:bidi w:val="0"/>
              <w:spacing w:before="0" w:after="283"/>
              <w:ind w:left="0" w:right="0" w:firstLine="400"/>
              <w:jc w:val="center"/>
              <w:rPr/>
            </w:pPr>
            <w:r>
              <w:rPr/>
              <w:t> </w:t>
            </w:r>
          </w:p>
        </w:tc>
      </w:tr>
      <w:tr>
        <w:trPr/>
        <w:tc>
          <w:tcPr>
            <w:tcW w:w="352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Basic</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624,976,557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609,421,073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620,841,922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606,181,316</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2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Diluted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624,976,557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643,582,922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620,841,922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642,208,622</w:t>
            </w:r>
          </w:p>
        </w:tc>
        <w:tc>
          <w:tcPr>
            <w:tcW w:w="791" w:type="dxa"/>
            <w:tcBorders/>
            <w:shd w:fill="CFF0FC" w:val="cle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COMPREHENSIVE (LOSS) INCOME:</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200"/>
              <w:jc w:val="center"/>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 income including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(116,362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37,334</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comprehensive (loss) income—Foreign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COMPREHENSIVE (LOSS) INCOME INCLUDING</w:t>
              <w:br/>
              <w:t>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(116,636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36,530</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Less: accretion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COMPREHENSIVE (LOSS) INCOME ATTRIBUTABLE TO CCC</w:t>
              <w:br/>
              <w:t>   INTELLIGENT SOLUTIONS HOLDINGS INC. COMMON STOCKHOLDERS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(117,961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36,530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 notes to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7" w:name="stockholders_equity_"/>
      <w:bookmarkEnd w:id="7"/>
      <w:r>
        <w:rPr>
          <w:rFonts w:ascii="Times New Roman" w:hAnsi="Times New Roman"/>
          <w:b/>
          <w:color w:val="000000"/>
          <w:sz w:val="20"/>
        </w:rPr>
        <w:t>CONDENSED CONSOLIDATED STATEMENTS OF MEZZANINE EQUITY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number of shares)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3476" w:type="dxa"/>
        <w:jc w:val="left"/>
        <w:tblInd w:w="0" w:type="dxa"/>
        <w:tblLayout w:type="fixed"/>
        <w:tblCellMar>
          <w:top w:w="28" w:type="dxa"/>
          <w:left w:w="28" w:type="dxa"/>
          <w:bottom w:w="28" w:type="dxa"/>
          <w:right w:w="28" w:type="dxa"/>
        </w:tblCellMar>
      </w:tblPr>
      <w:tblGrid>
        <w:gridCol w:w="1416"/>
        <w:gridCol w:w="146"/>
        <w:gridCol w:w="338"/>
        <w:gridCol w:w="1043"/>
        <w:gridCol w:w="146"/>
        <w:gridCol w:w="146"/>
        <w:gridCol w:w="146"/>
        <w:gridCol w:w="370"/>
        <w:gridCol w:w="381"/>
        <w:gridCol w:w="146"/>
        <w:gridCol w:w="146"/>
        <w:gridCol w:w="210"/>
        <w:gridCol w:w="346"/>
        <w:gridCol w:w="146"/>
        <w:gridCol w:w="146"/>
        <w:gridCol w:w="146"/>
        <w:gridCol w:w="1006"/>
        <w:gridCol w:w="146"/>
        <w:gridCol w:w="146"/>
        <w:gridCol w:w="210"/>
        <w:gridCol w:w="346"/>
        <w:gridCol w:w="146"/>
        <w:gridCol w:w="146"/>
        <w:gridCol w:w="196"/>
        <w:gridCol w:w="826"/>
        <w:gridCol w:w="166"/>
        <w:gridCol w:w="146"/>
        <w:gridCol w:w="233"/>
        <w:gridCol w:w="893"/>
        <w:gridCol w:w="166"/>
        <w:gridCol w:w="146"/>
        <w:gridCol w:w="332"/>
        <w:gridCol w:w="974"/>
        <w:gridCol w:w="166"/>
        <w:gridCol w:w="146"/>
        <w:gridCol w:w="213"/>
        <w:gridCol w:w="898"/>
        <w:gridCol w:w="411"/>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BALANCE—December 31, 2022</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4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14,179</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622,072,905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2,754,055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(707,946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2,045,287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28,930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3,214,093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8,243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179,338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1,326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2,217,379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(11,449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(11,449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BALANCE—March 31, 2023</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14,179</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627,683,715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2,781,104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(705,762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2,074,555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35,900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Exercise of stock options—net of tax</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3,996,713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12,585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12,585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302,063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Accretion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315</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(97,344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4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BALANCE—June 30, 2023</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14,494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631,982,491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2,829,184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(803,106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2,025,006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39,751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39,751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Exercise of stock options—net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912,124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2,411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462,353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3,435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1,276,211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(4,890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Accretion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1,010</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4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BALANCE—September 30, 2023</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15,504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634,633,179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2,868,881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(824,308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2,043,478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See notes to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MEZZANINE EQUITY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number of shares)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3517" w:type="dxa"/>
        <w:jc w:val="left"/>
        <w:tblInd w:w="0" w:type="dxa"/>
        <w:tblLayout w:type="fixed"/>
        <w:tblCellMar>
          <w:top w:w="28" w:type="dxa"/>
          <w:left w:w="28" w:type="dxa"/>
          <w:bottom w:w="28" w:type="dxa"/>
          <w:right w:w="28" w:type="dxa"/>
        </w:tblCellMar>
      </w:tblPr>
      <w:tblGrid>
        <w:gridCol w:w="1311"/>
        <w:gridCol w:w="146"/>
        <w:gridCol w:w="338"/>
        <w:gridCol w:w="1043"/>
        <w:gridCol w:w="146"/>
        <w:gridCol w:w="146"/>
        <w:gridCol w:w="146"/>
        <w:gridCol w:w="146"/>
        <w:gridCol w:w="370"/>
        <w:gridCol w:w="381"/>
        <w:gridCol w:w="146"/>
        <w:gridCol w:w="146"/>
        <w:gridCol w:w="210"/>
        <w:gridCol w:w="346"/>
        <w:gridCol w:w="146"/>
        <w:gridCol w:w="146"/>
        <w:gridCol w:w="146"/>
        <w:gridCol w:w="1006"/>
        <w:gridCol w:w="146"/>
        <w:gridCol w:w="146"/>
        <w:gridCol w:w="210"/>
        <w:gridCol w:w="346"/>
        <w:gridCol w:w="146"/>
        <w:gridCol w:w="146"/>
        <w:gridCol w:w="196"/>
        <w:gridCol w:w="826"/>
        <w:gridCol w:w="166"/>
        <w:gridCol w:w="146"/>
        <w:gridCol w:w="233"/>
        <w:gridCol w:w="893"/>
        <w:gridCol w:w="166"/>
        <w:gridCol w:w="146"/>
        <w:gridCol w:w="332"/>
        <w:gridCol w:w="974"/>
        <w:gridCol w:w="166"/>
        <w:gridCol w:w="146"/>
        <w:gridCol w:w="213"/>
        <w:gridCol w:w="898"/>
        <w:gridCol w:w="411"/>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9"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00"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1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shd w:fill="FFFFFF" w:val="clear"/>
            <w:vAlign w:val="center"/>
          </w:tcPr>
          <w:p>
            <w:pPr>
              <w:pStyle w:val="TableContents"/>
              <w:bidi w:val="0"/>
              <w:spacing w:before="0" w:after="283"/>
              <w:jc w:val="center"/>
              <w:rPr/>
            </w:pPr>
            <w:r>
              <w:rPr/>
              <w:t> </w:t>
            </w:r>
          </w:p>
        </w:tc>
      </w:tr>
      <w:tr>
        <w:trPr/>
        <w:tc>
          <w:tcPr>
            <w:tcW w:w="1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1" w:type="dxa"/>
            <w:tcBorders/>
            <w:shd w:fill="FFFFFF" w:val="clear"/>
            <w:vAlign w:val="center"/>
          </w:tcPr>
          <w:p>
            <w:pPr>
              <w:pStyle w:val="TableContents"/>
              <w:bidi w:val="0"/>
              <w:spacing w:before="0" w:after="283"/>
              <w:jc w:val="center"/>
              <w:rPr/>
            </w:pPr>
            <w:r>
              <w:rPr/>
              <w:t> </w:t>
            </w:r>
          </w:p>
        </w:tc>
      </w:tr>
      <w:tr>
        <w:trPr/>
        <w:tc>
          <w:tcPr>
            <w:tcW w:w="1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shd w:fill="FFFFFF" w:val="clear"/>
            <w:vAlign w:val="center"/>
          </w:tcPr>
          <w:p>
            <w:pPr>
              <w:pStyle w:val="TableContents"/>
              <w:bidi w:val="0"/>
              <w:spacing w:before="0" w:after="283"/>
              <w:jc w:val="center"/>
              <w:rPr/>
            </w:pPr>
            <w:r>
              <w:rPr/>
              <w:t> </w:t>
            </w:r>
          </w:p>
        </w:tc>
      </w:tr>
      <w:tr>
        <w:trPr/>
        <w:tc>
          <w:tcPr>
            <w:tcW w:w="13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BALANCE—December 31, 2021</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4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14,179</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609,768,296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2,618,924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(746,352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1,872,318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1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23,644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23,644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Exercise of stock options—net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3,961,270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10,633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10,633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1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Exercise of warrants—net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27,314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1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11,975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BALANCE—March 31, 2022</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14,179</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613,758,126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2,653,201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(734,377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1,918,579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28,403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28,403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1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Exercise of stock options - Net of tax</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1,713,991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4,723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29,834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1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3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15,564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BALANCE—June 30, 2022</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14,179</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615,501,951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2,686,326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(718,813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1,966,966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28,722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28,722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1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Exercise of stock options - Net of tax</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2,685,029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7,455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Issuance of common stock under</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408,879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3,197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1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Issuance of common stock upon</w:t>
              <w:br/>
              <w:t>   vesting of RSUs—net of tax</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1,521,166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(5,005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3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Foreign currency translation</w:t>
              <w:br/>
              <w:t>   adjustment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31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8"/>
              </w:rPr>
              <w:t>Net income</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BALANCE—September 30, 2022</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620,117,025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2,720,695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(709,018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2,010,620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See notes to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pBdr>
          <w:top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1"/>
        <w:gridCol w:w="146"/>
        <w:gridCol w:w="205"/>
        <w:gridCol w:w="789"/>
        <w:gridCol w:w="174"/>
        <w:gridCol w:w="153"/>
        <w:gridCol w:w="205"/>
        <w:gridCol w:w="727"/>
        <w:gridCol w:w="1015"/>
      </w:tblGrid>
      <w:tr>
        <w:trPr/>
        <w:tc>
          <w:tcPr>
            <w:tcW w:w="6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67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3"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w:t>
            </w:r>
          </w:p>
        </w:tc>
        <w:tc>
          <w:tcPr>
            <w:tcW w:w="1015" w:type="dxa"/>
            <w:tcBorders/>
            <w:shd w:fill="FFFFFF" w:val="clear"/>
            <w:vAlign w:val="center"/>
          </w:tcPr>
          <w:p>
            <w:pPr>
              <w:pStyle w:val="TableContents"/>
              <w:bidi w:val="0"/>
              <w:spacing w:before="0" w:after="283"/>
              <w:jc w:val="center"/>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015" w:type="dxa"/>
            <w:tcBorders/>
            <w:shd w:fill="CFF0FC" w:val="clear"/>
            <w:vAlign w:val="center"/>
          </w:tcPr>
          <w:p>
            <w:pPr>
              <w:pStyle w:val="TableContents"/>
              <w:bidi w:val="0"/>
              <w:spacing w:before="0" w:after="283"/>
              <w:ind w:left="0" w:right="0" w:firstLine="200"/>
              <w:jc w:val="righ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 income</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(116,362</w:t>
            </w:r>
          </w:p>
        </w:tc>
        <w:tc>
          <w:tcPr>
            <w:tcW w:w="17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37,334</w:t>
            </w:r>
          </w:p>
        </w:tc>
        <w:tc>
          <w:tcPr>
            <w:tcW w:w="1015" w:type="dxa"/>
            <w:tcBorders/>
            <w:shd w:fill="FFFFFF" w:val="clear"/>
            <w:vAlign w:val="center"/>
          </w:tcPr>
          <w:p>
            <w:pPr>
              <w:pStyle w:val="TableContents"/>
              <w:bidi w:val="0"/>
              <w:spacing w:before="0" w:after="283"/>
              <w:ind w:left="0" w:right="0" w:firstLine="200"/>
              <w:jc w:val="left"/>
              <w:rPr/>
            </w:pPr>
            <w:r>
              <w:rPr/>
              <w:t> </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Adjustments to reconcile net (loss)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015" w:type="dxa"/>
            <w:tcBorders/>
            <w:shd w:fill="CFF0FC" w:val="clear"/>
            <w:vAlign w:val="center"/>
          </w:tcPr>
          <w:p>
            <w:pPr>
              <w:pStyle w:val="TableContents"/>
              <w:bidi w:val="0"/>
              <w:spacing w:before="0" w:after="283"/>
              <w:ind w:left="0" w:right="0" w:firstLine="400"/>
              <w:jc w:val="right"/>
              <w:rPr/>
            </w:pPr>
            <w:r>
              <w:rPr/>
              <w:t> </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Depreciation and amortization of software, equipment, and property</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28,025</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20,155</w:t>
            </w:r>
          </w:p>
        </w:tc>
        <w:tc>
          <w:tcPr>
            <w:tcW w:w="1015" w:type="dxa"/>
            <w:tcBorders/>
            <w:shd w:fill="FFFFFF" w:val="clear"/>
            <w:vAlign w:val="center"/>
          </w:tcPr>
          <w:p>
            <w:pPr>
              <w:pStyle w:val="TableContents"/>
              <w:bidi w:val="0"/>
              <w:spacing w:before="0" w:after="283"/>
              <w:ind w:left="0" w:right="0" w:firstLine="400"/>
              <w:jc w:val="left"/>
              <w:rPr/>
            </w:pPr>
            <w:r>
              <w:rPr/>
              <w:t> </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73,927</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74,405</w:t>
            </w:r>
          </w:p>
        </w:tc>
        <w:tc>
          <w:tcPr>
            <w:tcW w:w="1015" w:type="dxa"/>
            <w:tcBorders/>
            <w:shd w:fill="CFF0FC" w:val="clear"/>
            <w:vAlign w:val="center"/>
          </w:tcPr>
          <w:p>
            <w:pPr>
              <w:pStyle w:val="TableContents"/>
              <w:bidi w:val="0"/>
              <w:spacing w:before="0" w:after="283"/>
              <w:ind w:left="0" w:right="0" w:firstLine="400"/>
              <w:jc w:val="left"/>
              <w:rPr/>
            </w:pPr>
            <w:r>
              <w:rPr/>
              <w:t> </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Impairment of goodwill and intangible assets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82,742</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015" w:type="dxa"/>
            <w:tcBorders/>
            <w:shd w:fill="FFFFFF" w:val="clear"/>
            <w:vAlign w:val="center"/>
          </w:tcPr>
          <w:p>
            <w:pPr>
              <w:pStyle w:val="TableContents"/>
              <w:bidi w:val="0"/>
              <w:spacing w:before="0" w:after="283"/>
              <w:ind w:left="0" w:right="0" w:firstLine="400"/>
              <w:jc w:val="left"/>
              <w:rPr/>
            </w:pPr>
            <w:r>
              <w:rPr/>
              <w:t> </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Deferred income taxes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(40,785</w:t>
            </w:r>
          </w:p>
        </w:tc>
        <w:tc>
          <w:tcPr>
            <w:tcW w:w="17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(53,061</w:t>
            </w:r>
          </w:p>
        </w:tc>
        <w:tc>
          <w:tcPr>
            <w:tcW w:w="10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104,471</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80,769</w:t>
            </w:r>
          </w:p>
        </w:tc>
        <w:tc>
          <w:tcPr>
            <w:tcW w:w="1015" w:type="dxa"/>
            <w:tcBorders/>
            <w:shd w:fill="FFFFFF" w:val="clear"/>
            <w:vAlign w:val="center"/>
          </w:tcPr>
          <w:p>
            <w:pPr>
              <w:pStyle w:val="TableContents"/>
              <w:bidi w:val="0"/>
              <w:spacing w:before="0" w:after="283"/>
              <w:ind w:left="0" w:right="0" w:firstLine="400"/>
              <w:jc w:val="left"/>
              <w:rPr/>
            </w:pPr>
            <w:r>
              <w:rPr/>
              <w:t> </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Amortization of deferred financing fees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1,295</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1,424</w:t>
            </w:r>
          </w:p>
        </w:tc>
        <w:tc>
          <w:tcPr>
            <w:tcW w:w="1015" w:type="dxa"/>
            <w:tcBorders/>
            <w:shd w:fill="CFF0FC" w:val="clear"/>
            <w:vAlign w:val="center"/>
          </w:tcPr>
          <w:p>
            <w:pPr>
              <w:pStyle w:val="TableContents"/>
              <w:bidi w:val="0"/>
              <w:spacing w:before="0" w:after="283"/>
              <w:ind w:left="0" w:right="0" w:firstLine="400"/>
              <w:jc w:val="left"/>
              <w:rPr/>
            </w:pPr>
            <w:r>
              <w:rPr/>
              <w:t> </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Amortization of discount on debt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196</w:t>
            </w:r>
          </w:p>
        </w:tc>
        <w:tc>
          <w:tcPr>
            <w:tcW w:w="1015" w:type="dxa"/>
            <w:tcBorders/>
            <w:shd w:fill="FFFFFF" w:val="clear"/>
            <w:vAlign w:val="center"/>
          </w:tcPr>
          <w:p>
            <w:pPr>
              <w:pStyle w:val="TableContents"/>
              <w:bidi w:val="0"/>
              <w:spacing w:before="0" w:after="283"/>
              <w:ind w:left="0" w:right="0" w:firstLine="400"/>
              <w:jc w:val="left"/>
              <w:rPr/>
            </w:pPr>
            <w:r>
              <w:rPr/>
              <w:t> </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Change in fair value of derivative instruments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(563</w:t>
            </w:r>
          </w:p>
        </w:tc>
        <w:tc>
          <w:tcPr>
            <w:tcW w:w="17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(5,991</w:t>
            </w:r>
          </w:p>
        </w:tc>
        <w:tc>
          <w:tcPr>
            <w:tcW w:w="10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Change in fair value of warrant liabilities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45,403</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(23,452</w:t>
            </w:r>
          </w:p>
        </w:tc>
        <w:tc>
          <w:tcPr>
            <w:tcW w:w="10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Non-cash lease expense</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1,232</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3,076</w:t>
            </w:r>
          </w:p>
        </w:tc>
        <w:tc>
          <w:tcPr>
            <w:tcW w:w="1015" w:type="dxa"/>
            <w:tcBorders/>
            <w:shd w:fill="CFF0FC" w:val="clear"/>
            <w:vAlign w:val="center"/>
          </w:tcPr>
          <w:p>
            <w:pPr>
              <w:pStyle w:val="TableContents"/>
              <w:bidi w:val="0"/>
              <w:spacing w:before="0" w:after="283"/>
              <w:ind w:left="0" w:right="0" w:firstLine="400"/>
              <w:jc w:val="left"/>
              <w:rPr/>
            </w:pPr>
            <w:r>
              <w:rPr/>
              <w:t> </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Loss on disposal of software, equipment and property</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color w:val="000000"/>
              </w:rPr>
            </w:pPr>
            <w:r>
              <w:rPr>
                <w:color w:val="000000"/>
              </w:rPr>
              <w:t>—</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795</w:t>
            </w:r>
          </w:p>
        </w:tc>
        <w:tc>
          <w:tcPr>
            <w:tcW w:w="1015" w:type="dxa"/>
            <w:tcBorders/>
            <w:shd w:fill="FFFFFF" w:val="clear"/>
            <w:vAlign w:val="center"/>
          </w:tcPr>
          <w:p>
            <w:pPr>
              <w:pStyle w:val="TableContents"/>
              <w:bidi w:val="0"/>
              <w:spacing w:before="0" w:after="283"/>
              <w:ind w:left="0" w:right="0" w:firstLine="400"/>
              <w:jc w:val="left"/>
              <w:rPr/>
            </w:pPr>
            <w:r>
              <w:rPr/>
              <w:t> </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Gain on sale of cost method investment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color w:val="000000"/>
              </w:rPr>
            </w:pPr>
            <w:r>
              <w:rPr>
                <w:color w:val="000000"/>
              </w:rPr>
              <w:t>—</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(3,587</w:t>
            </w:r>
          </w:p>
        </w:tc>
        <w:tc>
          <w:tcPr>
            <w:tcW w:w="10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171</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w:t>
            </w:r>
          </w:p>
        </w:tc>
        <w:tc>
          <w:tcPr>
            <w:tcW w:w="1015" w:type="dxa"/>
            <w:tcBorders/>
            <w:shd w:fill="FFFFFF" w:val="clear"/>
            <w:vAlign w:val="center"/>
          </w:tcPr>
          <w:p>
            <w:pPr>
              <w:pStyle w:val="TableContents"/>
              <w:bidi w:val="0"/>
              <w:spacing w:before="0" w:after="283"/>
              <w:ind w:left="0" w:right="0" w:firstLine="400"/>
              <w:jc w:val="left"/>
              <w:rPr/>
            </w:pPr>
            <w:r>
              <w:rPr/>
              <w:t> </w:t>
            </w:r>
          </w:p>
        </w:tc>
      </w:tr>
      <w:tr>
        <w:trPr/>
        <w:tc>
          <w:tcPr>
            <w:tcW w:w="67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Changes in:</w:t>
            </w:r>
          </w:p>
        </w:tc>
        <w:tc>
          <w:tcPr>
            <w:tcW w:w="146"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015" w:type="dxa"/>
            <w:tcBorders/>
            <w:shd w:fill="CFF0FC" w:val="clear"/>
            <w:vAlign w:val="center"/>
          </w:tcPr>
          <w:p>
            <w:pPr>
              <w:pStyle w:val="TableContents"/>
              <w:bidi w:val="0"/>
              <w:spacing w:before="0" w:after="283"/>
              <w:ind w:left="0" w:right="0" w:firstLine="600"/>
              <w:jc w:val="right"/>
              <w:rPr/>
            </w:pPr>
            <w:r>
              <w:rPr/>
              <w:t> </w:t>
            </w:r>
          </w:p>
        </w:tc>
      </w:tr>
      <w:tr>
        <w:trPr/>
        <w:tc>
          <w:tcPr>
            <w:tcW w:w="679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Accounts receivable—Net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(19,340</w:t>
            </w:r>
          </w:p>
        </w:tc>
        <w:tc>
          <w:tcPr>
            <w:tcW w:w="17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(19,532</w:t>
            </w:r>
          </w:p>
        </w:tc>
        <w:tc>
          <w:tcPr>
            <w:tcW w:w="1015"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Deferred contract costs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(438</w:t>
            </w:r>
          </w:p>
        </w:tc>
        <w:tc>
          <w:tcPr>
            <w:tcW w:w="17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(719</w:t>
            </w:r>
          </w:p>
        </w:tc>
        <w:tc>
          <w:tcPr>
            <w:tcW w:w="1015"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Other current assets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6,727</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12,321</w:t>
            </w:r>
          </w:p>
        </w:tc>
        <w:tc>
          <w:tcPr>
            <w:tcW w:w="1015" w:type="dxa"/>
            <w:tcBorders/>
            <w:shd w:fill="FFFFFF" w:val="clear"/>
            <w:vAlign w:val="center"/>
          </w:tcPr>
          <w:p>
            <w:pPr>
              <w:pStyle w:val="TableContents"/>
              <w:bidi w:val="0"/>
              <w:spacing w:before="0" w:after="283"/>
              <w:ind w:left="0" w:right="0" w:firstLine="600"/>
              <w:jc w:val="left"/>
              <w:rPr/>
            </w:pPr>
            <w:r>
              <w:rPr/>
              <w:t> </w:t>
            </w:r>
          </w:p>
        </w:tc>
      </w:tr>
      <w:tr>
        <w:trPr/>
        <w:tc>
          <w:tcPr>
            <w:tcW w:w="679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Deferred contract costs—Non-current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582</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3,299</w:t>
            </w:r>
          </w:p>
        </w:tc>
        <w:tc>
          <w:tcPr>
            <w:tcW w:w="1015" w:type="dxa"/>
            <w:tcBorders/>
            <w:shd w:fill="CFF0FC" w:val="clear"/>
            <w:vAlign w:val="center"/>
          </w:tcPr>
          <w:p>
            <w:pPr>
              <w:pStyle w:val="TableContents"/>
              <w:bidi w:val="0"/>
              <w:spacing w:before="0" w:after="283"/>
              <w:ind w:left="0" w:right="0" w:firstLine="600"/>
              <w:jc w:val="left"/>
              <w:rPr/>
            </w:pPr>
            <w:r>
              <w:rPr/>
              <w:t> </w:t>
            </w:r>
          </w:p>
        </w:tc>
      </w:tr>
      <w:tr>
        <w:trPr/>
        <w:tc>
          <w:tcPr>
            <w:tcW w:w="679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(3,572</w:t>
            </w:r>
          </w:p>
        </w:tc>
        <w:tc>
          <w:tcPr>
            <w:tcW w:w="17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(18,227</w:t>
            </w:r>
          </w:p>
        </w:tc>
        <w:tc>
          <w:tcPr>
            <w:tcW w:w="1015"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Operating lease assets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581</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1,623</w:t>
            </w:r>
          </w:p>
        </w:tc>
        <w:tc>
          <w:tcPr>
            <w:tcW w:w="1015" w:type="dxa"/>
            <w:tcBorders/>
            <w:shd w:fill="CFF0FC" w:val="clear"/>
            <w:vAlign w:val="center"/>
          </w:tcPr>
          <w:p>
            <w:pPr>
              <w:pStyle w:val="TableContents"/>
              <w:bidi w:val="0"/>
              <w:spacing w:before="0" w:after="283"/>
              <w:ind w:left="0" w:right="0" w:firstLine="600"/>
              <w:jc w:val="left"/>
              <w:rPr/>
            </w:pPr>
            <w:r>
              <w:rPr/>
              <w:t> </w:t>
            </w:r>
          </w:p>
        </w:tc>
      </w:tr>
      <w:tr>
        <w:trPr/>
        <w:tc>
          <w:tcPr>
            <w:tcW w:w="679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Income taxes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12,223</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10,029</w:t>
            </w:r>
          </w:p>
        </w:tc>
        <w:tc>
          <w:tcPr>
            <w:tcW w:w="1015" w:type="dxa"/>
            <w:tcBorders/>
            <w:shd w:fill="FFFFFF" w:val="clear"/>
            <w:vAlign w:val="center"/>
          </w:tcPr>
          <w:p>
            <w:pPr>
              <w:pStyle w:val="TableContents"/>
              <w:bidi w:val="0"/>
              <w:spacing w:before="0" w:after="283"/>
              <w:ind w:left="0" w:right="0" w:firstLine="600"/>
              <w:jc w:val="left"/>
              <w:rPr/>
            </w:pPr>
            <w:r>
              <w:rPr/>
              <w:t> </w:t>
            </w:r>
          </w:p>
        </w:tc>
      </w:tr>
      <w:tr>
        <w:trPr/>
        <w:tc>
          <w:tcPr>
            <w:tcW w:w="679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(9,368</w:t>
            </w:r>
          </w:p>
        </w:tc>
        <w:tc>
          <w:tcPr>
            <w:tcW w:w="17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2,466</w:t>
            </w:r>
          </w:p>
        </w:tc>
        <w:tc>
          <w:tcPr>
            <w:tcW w:w="1015" w:type="dxa"/>
            <w:tcBorders/>
            <w:shd w:fill="CFF0FC" w:val="clear"/>
            <w:vAlign w:val="center"/>
          </w:tcPr>
          <w:p>
            <w:pPr>
              <w:pStyle w:val="TableContents"/>
              <w:bidi w:val="0"/>
              <w:spacing w:before="0" w:after="283"/>
              <w:ind w:left="0" w:right="0" w:firstLine="600"/>
              <w:jc w:val="left"/>
              <w:rPr/>
            </w:pPr>
            <w:r>
              <w:rPr/>
              <w:t> </w:t>
            </w:r>
          </w:p>
        </w:tc>
      </w:tr>
      <w:tr>
        <w:trPr/>
        <w:tc>
          <w:tcPr>
            <w:tcW w:w="679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Accrued expenses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(9,335</w:t>
            </w:r>
          </w:p>
        </w:tc>
        <w:tc>
          <w:tcPr>
            <w:tcW w:w="17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(2,664</w:t>
            </w:r>
          </w:p>
        </w:tc>
        <w:tc>
          <w:tcPr>
            <w:tcW w:w="1015"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(1,181</w:t>
            </w:r>
          </w:p>
        </w:tc>
        <w:tc>
          <w:tcPr>
            <w:tcW w:w="17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(4,687</w:t>
            </w:r>
          </w:p>
        </w:tc>
        <w:tc>
          <w:tcPr>
            <w:tcW w:w="1015"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Deferred revenues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6,646</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2,557</w:t>
            </w:r>
          </w:p>
        </w:tc>
        <w:tc>
          <w:tcPr>
            <w:tcW w:w="1015" w:type="dxa"/>
            <w:tcBorders/>
            <w:shd w:fill="FFFFFF" w:val="clear"/>
            <w:vAlign w:val="center"/>
          </w:tcPr>
          <w:p>
            <w:pPr>
              <w:pStyle w:val="TableContents"/>
              <w:bidi w:val="0"/>
              <w:spacing w:before="0" w:after="283"/>
              <w:ind w:left="0" w:right="0" w:firstLine="600"/>
              <w:jc w:val="left"/>
              <w:rPr/>
            </w:pPr>
            <w:r>
              <w:rPr/>
              <w:t> </w:t>
            </w:r>
          </w:p>
        </w:tc>
      </w:tr>
      <w:tr>
        <w:trPr/>
        <w:tc>
          <w:tcPr>
            <w:tcW w:w="679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Other liabilities</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(192</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FFFFFF" w:val="clear"/>
            <w:vAlign w:val="center"/>
          </w:tcPr>
          <w:p>
            <w:pPr>
              <w:pStyle w:val="TableContents"/>
              <w:bidi w:val="0"/>
              <w:spacing w:before="0" w:after="283"/>
              <w:ind w:left="800" w:right="0" w:firstLine="800"/>
              <w:jc w:val="left"/>
              <w:rPr>
                <w:rFonts w:ascii="Times New Roman" w:hAnsi="Times New Roman"/>
                <w:b w:val="false"/>
                <w:color w:val="000000"/>
                <w:sz w:val="18"/>
              </w:rPr>
            </w:pPr>
            <w:r>
              <w:rPr>
                <w:rFonts w:ascii="Times New Roman" w:hAnsi="Times New Roman"/>
                <w:b w:val="false"/>
                <w:color w:val="000000"/>
                <w:sz w:val="18"/>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163,138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118,438</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015" w:type="dxa"/>
            <w:tcBorders/>
            <w:shd w:fill="CFF0FC" w:val="clear"/>
            <w:vAlign w:val="center"/>
          </w:tcPr>
          <w:p>
            <w:pPr>
              <w:pStyle w:val="TableContents"/>
              <w:bidi w:val="0"/>
              <w:spacing w:before="0" w:after="283"/>
              <w:ind w:left="0" w:right="0" w:firstLine="200"/>
              <w:jc w:val="righ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Purchases of software, equipment, and property</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(43,187</w:t>
            </w:r>
          </w:p>
        </w:tc>
        <w:tc>
          <w:tcPr>
            <w:tcW w:w="17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(38,844</w:t>
            </w:r>
          </w:p>
        </w:tc>
        <w:tc>
          <w:tcPr>
            <w:tcW w:w="101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Acquisition of Safekeep, Inc., net of cash acquired</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color w:val="000000"/>
              </w:rPr>
            </w:pPr>
            <w:r>
              <w:rPr>
                <w:color w:val="000000"/>
              </w:rPr>
              <w:t>—</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(32,242</w:t>
            </w:r>
          </w:p>
        </w:tc>
        <w:tc>
          <w:tcPr>
            <w:tcW w:w="101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Proceeds from sale of cost method investment</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3,901</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791"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18"/>
              </w:rPr>
            </w:pPr>
            <w:r>
              <w:rPr>
                <w:rFonts w:ascii="Times New Roman" w:hAnsi="Times New Roman"/>
                <w:b w:val="false"/>
                <w:color w:val="000000"/>
                <w:sz w:val="18"/>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(43,187</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(67,185</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015" w:type="dxa"/>
            <w:tcBorders/>
            <w:shd w:fill="FFFFFF" w:val="clear"/>
            <w:vAlign w:val="center"/>
          </w:tcPr>
          <w:p>
            <w:pPr>
              <w:pStyle w:val="TableContents"/>
              <w:bidi w:val="0"/>
              <w:spacing w:before="0" w:after="283"/>
              <w:ind w:left="0" w:right="0" w:firstLine="200"/>
              <w:jc w:val="right"/>
              <w:rPr/>
            </w:pPr>
            <w:r>
              <w:rPr/>
              <w:t> </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23,051</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22,814</w:t>
            </w:r>
          </w:p>
        </w:tc>
        <w:tc>
          <w:tcPr>
            <w:tcW w:w="1015" w:type="dxa"/>
            <w:tcBorders/>
            <w:shd w:fill="CFF0FC" w:val="clear"/>
            <w:vAlign w:val="center"/>
          </w:tcPr>
          <w:p>
            <w:pPr>
              <w:pStyle w:val="TableContents"/>
              <w:bidi w:val="0"/>
              <w:spacing w:before="0" w:after="283"/>
              <w:ind w:left="0" w:right="0" w:firstLine="200"/>
              <w:jc w:val="lef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Proceeds from employee stock purchase plan</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4,761</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3,197</w:t>
            </w:r>
          </w:p>
        </w:tc>
        <w:tc>
          <w:tcPr>
            <w:tcW w:w="1015" w:type="dxa"/>
            <w:tcBorders/>
            <w:shd w:fill="FFFFFF" w:val="clear"/>
            <w:vAlign w:val="center"/>
          </w:tcPr>
          <w:p>
            <w:pPr>
              <w:pStyle w:val="TableContents"/>
              <w:bidi w:val="0"/>
              <w:spacing w:before="0" w:after="283"/>
              <w:ind w:left="0" w:right="0" w:firstLine="200"/>
              <w:jc w:val="left"/>
              <w:rPr/>
            </w:pPr>
            <w:r>
              <w:rPr/>
              <w:t> </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Payments for employee taxes withheld upon vesting of equity awards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(16,429</w:t>
            </w:r>
          </w:p>
        </w:tc>
        <w:tc>
          <w:tcPr>
            <w:tcW w:w="17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(5,005</w:t>
            </w:r>
          </w:p>
        </w:tc>
        <w:tc>
          <w:tcPr>
            <w:tcW w:w="101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Principal payments on long-term debt</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(6,000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(6,000</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18"/>
              </w:rPr>
            </w:pPr>
            <w:r>
              <w:rPr>
                <w:rFonts w:ascii="Times New Roman" w:hAnsi="Times New Roman"/>
                <w:b w:val="false"/>
                <w:color w:val="000000"/>
                <w:sz w:val="18"/>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5,383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15,006</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EFFECT OF EXCHANGE RATE CHANGES ON CASH AND CASH EQUIVALENTS</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(650</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79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CHANGE IN CASH AND CASH EQUIVALENTS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124,945</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65,609</w:t>
            </w:r>
          </w:p>
        </w:tc>
        <w:tc>
          <w:tcPr>
            <w:tcW w:w="1015" w:type="dxa"/>
            <w:tcBorders/>
            <w:shd w:fill="CFF0FC"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015" w:type="dxa"/>
            <w:tcBorders/>
            <w:shd w:fill="FFFFFF" w:val="clear"/>
            <w:vAlign w:val="center"/>
          </w:tcPr>
          <w:p>
            <w:pPr>
              <w:pStyle w:val="TableContents"/>
              <w:bidi w:val="0"/>
              <w:spacing w:before="0" w:after="283"/>
              <w:ind w:left="0" w:right="0" w:firstLine="200"/>
              <w:jc w:val="right"/>
              <w:rPr/>
            </w:pPr>
            <w:r>
              <w:rPr/>
              <w:t> </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Beginning of period</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323,788</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182,544</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End of period</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448,733</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248,153</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015" w:type="dxa"/>
            <w:tcBorders/>
            <w:shd w:fill="CFF0FC" w:val="clear"/>
            <w:vAlign w:val="center"/>
          </w:tcPr>
          <w:p>
            <w:pPr>
              <w:pStyle w:val="TableContents"/>
              <w:bidi w:val="0"/>
              <w:spacing w:before="0" w:after="283"/>
              <w:ind w:left="0" w:right="0" w:firstLine="200"/>
              <w:jc w:val="righ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Noncash purchases of software, equipment, and property</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1,923</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Contingent consideration related to business acquisition</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200</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SUPPLEMENTAL DISCLOSURES OF CASH FLOW INFORMATION:</w:t>
            </w:r>
          </w:p>
        </w:tc>
        <w:tc>
          <w:tcPr>
            <w:tcW w:w="146"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015" w:type="dxa"/>
            <w:tcBorders/>
            <w:shd w:fill="FFFFFF" w:val="clear"/>
            <w:vAlign w:val="center"/>
          </w:tcPr>
          <w:p>
            <w:pPr>
              <w:pStyle w:val="TableContents"/>
              <w:bidi w:val="0"/>
              <w:spacing w:before="0" w:after="283"/>
              <w:ind w:left="0" w:right="0" w:firstLine="200"/>
              <w:jc w:val="right"/>
              <w:rPr/>
            </w:pPr>
            <w:r>
              <w:rPr/>
              <w:t> </w:t>
            </w:r>
          </w:p>
        </w:tc>
      </w:tr>
      <w:tr>
        <w:trPr/>
        <w:tc>
          <w:tcPr>
            <w:tcW w:w="67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Cash paid for interest</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40,983</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24,150</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Cash paid for income taxes—Net</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27,316</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55,526</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 notes to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9" w:name="notes_to_condensed_consolidated"/>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1.</w:t>
      </w:r>
    </w:p>
    <w:p>
      <w:pPr>
        <w:pStyle w:val="TextBody"/>
        <w:bidi w:val="0"/>
        <w:spacing w:before="240" w:after="283"/>
        <w:jc w:val="left"/>
        <w:rPr>
          <w:rFonts w:ascii="Times New Roman" w:hAnsi="Times New Roman"/>
          <w:sz w:val="20"/>
        </w:rPr>
      </w:pPr>
      <w:r>
        <w:rPr>
          <w:rFonts w:ascii="Times New Roman" w:hAnsi="Times New Roman"/>
          <w:b/>
          <w:caps/>
          <w:color w:val="000000"/>
          <w:sz w:val="20"/>
        </w:rPr>
        <w:t>ORGANIZATION AND nature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CCC Intelligent Solutions Holdings Inc. (the "Company"), a Delaware corporation, is a leading provider of innovative cloud, mobile, telematics, hyperscale technologies, and applications for the property and casualty ("P&amp;C") insurance economy. Our cloud-based software as a service ("SaaS") platform connects trading partners, facilitates commerce, and supports mission-critical, artificial intelligence ("AI") enabled digital workflows. Our platform digitizes workflows and connects companies across the P&amp;C insurance economy, including insurance carriers, collision repairers, parts suppliers, automotive manufacturers, financial institutions, and others.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is headquartered in Chicago, Illinois. The Company’s primary operations are in the United States ("U.S.") and it also has operations in China.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was originally incorporated as a Cayman Islands exempted company on July 3, 2020 as a special purpose acquisition company under the name Dragoneer Growth Opportunities Corp. ("Dragoneer"). On February 2, 2021, Cypress Holdings Inc. ("CCCIS"), a Delaware corporation, entered into a Business Combination Agreement (the "Business Combination Agreement") with Dragoneer. In connection with the closing (the "Closing") of the transactions contemplated by the Business Combination Agreement (the "Business Combination"), Dragoneer changed its jurisdiction of incorporation by deregistering as an exempted company in the Cayman Islands and continuing and domesticating as a Delaware corporation on July 30, 2021, upon which Dragoneer changed its name to CCC Intelligent Solutions Holdings Inc.</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w:t>
      </w:r>
    </w:p>
    <w:p>
      <w:pPr>
        <w:pStyle w:val="TextBody"/>
        <w:bidi w:val="0"/>
        <w:spacing w:before="360" w:after="283"/>
        <w:jc w:val="left"/>
        <w:rPr>
          <w:rFonts w:ascii="Times New Roman" w:hAnsi="Times New Roman"/>
          <w:sz w:val="20"/>
        </w:rPr>
      </w:pPr>
      <w:r>
        <w:rPr>
          <w:rFonts w:ascii="Times New Roman" w:hAnsi="Times New Roman"/>
          <w:b/>
          <w:caps/>
          <w:color w:val="000000"/>
          <w:sz w:val="20"/>
        </w:rPr>
        <w:t>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w:t>
      </w:r>
      <w:r>
        <w:rPr>
          <w:rFonts w:ascii="Times New Roman" w:hAnsi="Times New Roman"/>
          <w:b w:val="false"/>
          <w:color w:val="000000"/>
          <w:sz w:val="20"/>
        </w:rPr>
        <w:t>The condensed consolidated balance sheets as of September 30, 2023 and December 31, 2022, the condensed consolidated statements of operations and comprehensive (loss) income for the three and nine months ended September 30, 2023 and 2022, the condensed consolidated statements of mezzanine equity and stockholders’ equity for the three and nine months ended September 30, 2023 and 2022, and the condensed consolidated statements of cash flows for the nine months ended September 30, 2023 and 2022 have been prepared by the Company and have not been audited. In the opinion of management, all adjustments (which include only normal recurring adjustments except where disclosed) necessary for the fair presentation of the financial position, results of operations and cash flows have been made. The results of operations for any interim period are not necessarily indicative of the results to be expected for the full year or any future period.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condensed consolidated financial statements have been prepared in accordance with generally accepted accounting principles ("GAAP") for interim financial information and in accordance with the instructions to Form 10-Q and Regulation S-X of the Securities and Exchange Commission ("SEC"). 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Certain information and footnote disclosures normally included in consolidated financial statements prepared in accordance with GAAP have been condensed or omitted, pursuant to the rules and regulations of the SEC for interim financial reporting. Accordingly, the condensed consolidated financial statements may not include all the information and footnotes necessary for a complete presentation of financial position, results of operations or cash flows. These condensed consolidated financial statements should be read in conjunction with the Company's audited consolidated financial statements and notes thereto included in the Company's Annual Report on Form 10-K for the year ended December 31, 2022.</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significant accounting policies are described in Note 2, Summary of Significant Accounting Policies, to the consolidated financial statements included in the Company's Annual Report on Form 10-K for the year ended December 31, 2022. There have been no material changes to the significant accounting policies since December 31, 2022.</w:t>
      </w:r>
    </w:p>
    <w:p>
      <w:pPr>
        <w:pStyle w:val="TextBody"/>
        <w:bidi w:val="0"/>
        <w:spacing w:before="120" w:after="283"/>
        <w:jc w:val="left"/>
        <w:rPr>
          <w:rFonts w:ascii="Times New Roman" w:hAnsi="Times New Roman"/>
          <w:sz w:val="20"/>
        </w:rPr>
      </w:pPr>
      <w:r>
        <w:rPr>
          <w:rFonts w:ascii="Times New Roman" w:hAnsi="Times New Roman"/>
          <w:b/>
          <w:color w:val="000000"/>
          <w:sz w:val="20"/>
        </w:rPr>
        <w:t>Basis of Accounting</w:t>
      </w:r>
      <w:r>
        <w:rPr>
          <w:rFonts w:ascii="Times New Roman" w:hAnsi="Times New Roman"/>
          <w:color w:val="000000"/>
          <w:sz w:val="20"/>
        </w:rPr>
        <w:t>—</w:t>
      </w:r>
      <w:r>
        <w:rPr>
          <w:rFonts w:ascii="Times New Roman" w:hAnsi="Times New Roman"/>
          <w:b w:val="false"/>
          <w:color w:val="000000"/>
          <w:sz w:val="20"/>
        </w:rPr>
        <w:t>The accompanying condensed consolidated financial statements are prepared in accordance with GAAP and include the accounts of the Company and its wholly-owned subsidiaries and majority-owned subsidiaries. All intercompany balances and transactions have been eliminated in consolidation. The condensed consolidated financial statements include 100% of the accounts of wholly-owned and majority-owned subsidiaries and the ownership interest of the minority investor is recorded as a non-controlling interest in a subsidiary.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w:t>
      </w:r>
      <w:r>
        <w:rPr>
          <w:rFonts w:ascii="Times New Roman" w:hAnsi="Times New Roman"/>
          <w:b w:val="false"/>
          <w:color w:val="000000"/>
          <w:sz w:val="20"/>
        </w:rPr>
        <w:t>The preparation of the condensed consolidated financial statements requires management to make estimates and assumptions that affect the reported amounts, and the disclosures of contingent amounts in the Company’s condensed consolidated financial statements and the accompanying notes. Although the Company regularly assesses these estimates, actual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results could differ from those estimates. Changes in estimates are recorded in the period in which they become known. The Company bases its estimates on historical experience and various other assumptions that it believes to be reasonable under the circumstances. Actual results could differ from management’s estimates if past experience or other assumptions are not substantially accurate. Significant estimates in these condensed consolidated financial statements include the estimation of contract transaction prices, the determination of the amortization period for contract assets, the valuation of goodwill and intangible assets, the valuation of the warrant liabilities, the estimates and assumptions associated with stock incentive plans, and the measurement of expected contingent consideration in connection with business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Redeemable Non-Controlling Interest</w:t>
      </w:r>
      <w:r>
        <w:rPr>
          <w:rFonts w:ascii="Times New Roman" w:hAnsi="Times New Roman"/>
          <w:color w:val="000000"/>
          <w:sz w:val="20"/>
        </w:rPr>
        <w:t>—</w:t>
      </w:r>
      <w:r>
        <w:rPr>
          <w:rFonts w:ascii="Times New Roman" w:hAnsi="Times New Roman"/>
          <w:b w:val="false"/>
          <w:color w:val="000000"/>
          <w:sz w:val="20"/>
        </w:rPr>
        <w:t>The Company presents a redeemable non-controlling interest as mezzanine equity within its condensed consolidated balance sheets when it is redeemable at a fixed or determinable price on a fixed or determinable date at the option of the holder or upon the occurrence of an event that is not solely within the control of the Company.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redeemable non-controlling interest was initially measured at fair value on the date of issuance. When the redemption of a mezzanine-classified non-controlling interest becomes probable, the carrying amount of the redeemable non-controlling interest is increased by periodic accretions using the interest method so that the carrying amount will equal the redemption amount on the date that the shares become redeemable. These adjustments are recorded as accretion of redeemable non-controlling interest, with an offset to additional paid-in capital, on the condensed consolidated statements of mezzanine equity and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such charges to additional paid-in capital affect net (loss) income available to CCC common stockholders as part of the Company's calculation of net (loss) income per share attributable to common stockholders.</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w:t>
      </w:r>
      <w:r>
        <w:rPr>
          <w:rFonts w:ascii="Times New Roman" w:hAnsi="Times New Roman"/>
          <w:b w:val="false"/>
          <w:color w:val="000000"/>
          <w:sz w:val="20"/>
        </w:rPr>
        <w:t>In March 2020, the Financial Accounting Standards Board ("FASB") issued Accounting Standards Update ("ASU") 2020-04,</w:t>
      </w:r>
      <w:r>
        <w:rPr>
          <w:rFonts w:ascii="Times New Roman" w:hAnsi="Times New Roman"/>
          <w:color w:val="000000"/>
          <w:sz w:val="20"/>
        </w:rPr>
        <w:t xml:space="preserve"> </w:t>
      </w:r>
      <w:r>
        <w:rPr>
          <w:rFonts w:ascii="Times New Roman" w:hAnsi="Times New Roman"/>
          <w:b w:val="false"/>
          <w:i/>
          <w:color w:val="000000"/>
          <w:sz w:val="20"/>
        </w:rPr>
        <w:t>Reference Rate Reform (Topic 848): Facilitation of the Effects of Reference Rate Reform on Financial Reporting</w:t>
      </w:r>
      <w:r>
        <w:rPr>
          <w:rFonts w:ascii="Times New Roman" w:hAnsi="Times New Roman"/>
          <w:b w:val="false"/>
          <w:color w:val="000000"/>
          <w:sz w:val="20"/>
        </w:rPr>
        <w:t>, and in January 2021 subsequently issued ASU 2021-01, which refines the scope of Topic 848. These ASUs provide optional expedients and exceptions for applying GAAP to contracts, hedging relationships, and other transactions, subject to meeting certain criteria, that reference the London Interbank Offered Rate ("LIBOR"), or another rate that is expected to be discontinued. ASU 2020-04 was effective upon issuance. In December 2022, the FASB issued ASU 2022-06 that defers the sunset date for applying the reference rate reform relief in Accounting Standards Codification ("ASC") 848 to December 31, 2024. The Company adopted these standards during the three months ended June 30, 2023 and transitioned the reference rate within its credit agreement and related interest rate cap agreements from LIBOR to the Secured Overnight Financing Rate ("SOFR") (see Note 14). The adoption of these standards did not have a material impact on the condensed consolidated financial statements.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3.</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BUSINESS ACQUISITION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February 8, 2022, the Company completed its acquisition of Safekeep, Inc. ("Safekeep"), a privately held company that leverages AI to streamline and improve subrogation management across auto, property, workers’ compensation and other insurance lines of business. Leveraging Safekeep’s AI-enabled subrogation solutions, the acquisition broadens the Company’s portfolio of cloud-based solutions available to its insurance customers.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exchange for all the outstanding shares of Safekeep, the Company paid total cash consideration of $32.3</w:t>
      </w:r>
      <w:r>
        <w:rPr>
          <w:rFonts w:ascii="Times New Roman" w:hAnsi="Times New Roman"/>
          <w:color w:val="000000"/>
          <w:sz w:val="20"/>
        </w:rPr>
        <w:t xml:space="preserve"> </w:t>
      </w:r>
      <w:r>
        <w:rPr>
          <w:rFonts w:ascii="Times New Roman" w:hAnsi="Times New Roman"/>
          <w:b w:val="false"/>
          <w:color w:val="000000"/>
          <w:sz w:val="20"/>
        </w:rPr>
        <w:t>million upon closing. In accordance with the acquisition agreement, the Company placed $6.0</w:t>
      </w:r>
      <w:r>
        <w:rPr>
          <w:rFonts w:ascii="Times New Roman" w:hAnsi="Times New Roman"/>
          <w:color w:val="000000"/>
          <w:sz w:val="20"/>
        </w:rPr>
        <w:t xml:space="preserve"> </w:t>
      </w:r>
      <w:r>
        <w:rPr>
          <w:rFonts w:ascii="Times New Roman" w:hAnsi="Times New Roman"/>
          <w:b w:val="false"/>
          <w:color w:val="000000"/>
          <w:sz w:val="20"/>
        </w:rPr>
        <w:t>million in escrow for a general indemnity holdback to be paid to the sellers within 15 months of closing subject to reduction for certain indemnifications and other potential obligations of the selling shareholders. The remaining cash held in escrow was paid to the sellers in May 2023.</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additional consideration for the shares, the acquisition agreement includes a contingent earnout for additional cash consideration. The potential amount of the earnout is calculated as a multiple of revenue, above a defined floor, during the 12-month measurement period ending December 31, 2024 and is not to exceed $90.0</w:t>
      </w:r>
      <w:r>
        <w:rPr>
          <w:rFonts w:ascii="Times New Roman" w:hAnsi="Times New Roman"/>
          <w:color w:val="000000"/>
          <w:sz w:val="20"/>
        </w:rPr>
        <w:t xml:space="preserve"> </w:t>
      </w:r>
      <w:r>
        <w:rPr>
          <w:rFonts w:ascii="Times New Roman" w:hAnsi="Times New Roman"/>
          <w:b w:val="false"/>
          <w:color w:val="000000"/>
          <w:sz w:val="20"/>
        </w:rPr>
        <w:t>million. The fair value of the contingent consideration as of the acquisition date of $0.2</w:t>
      </w:r>
      <w:r>
        <w:rPr>
          <w:rFonts w:ascii="Times New Roman" w:hAnsi="Times New Roman"/>
          <w:color w:val="000000"/>
          <w:sz w:val="20"/>
        </w:rPr>
        <w:t xml:space="preserve"> </w:t>
      </w:r>
      <w:r>
        <w:rPr>
          <w:rFonts w:ascii="Times New Roman" w:hAnsi="Times New Roman"/>
          <w:b w:val="false"/>
          <w:color w:val="000000"/>
          <w:sz w:val="20"/>
        </w:rPr>
        <w:t>million was estimated using a Monte Carlo simulation model that relies on unobservable inputs, including management estimates and assumptions. Thus, the contingent earnout is a Level 3 measurement.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acquisition date fair value of the consideration transferred was $32.5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which consisted of the following (in thousands):</w:t>
      </w:r>
    </w:p>
    <w:tbl>
      <w:tblPr>
        <w:tblW w:w="6505" w:type="dxa"/>
        <w:jc w:val="left"/>
        <w:tblInd w:w="0" w:type="dxa"/>
        <w:tblLayout w:type="fixed"/>
        <w:tblCellMar>
          <w:top w:w="28" w:type="dxa"/>
          <w:left w:w="28" w:type="dxa"/>
          <w:bottom w:w="28" w:type="dxa"/>
          <w:right w:w="28" w:type="dxa"/>
        </w:tblCellMar>
      </w:tblPr>
      <w:tblGrid>
        <w:gridCol w:w="5281"/>
        <w:gridCol w:w="146"/>
        <w:gridCol w:w="211"/>
        <w:gridCol w:w="676"/>
        <w:gridCol w:w="19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through closing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32,300</w:t>
            </w:r>
          </w:p>
        </w:tc>
        <w:tc>
          <w:tcPr>
            <w:tcW w:w="191" w:type="dxa"/>
            <w:tcBorders/>
            <w:shd w:fill="CFF0FC" w:val="clear"/>
            <w:vAlign w:val="center"/>
          </w:tcPr>
          <w:p>
            <w:pPr>
              <w:pStyle w:val="TableContents"/>
              <w:bidi w:val="0"/>
              <w:spacing w:before="0" w:after="283"/>
              <w:jc w:val="left"/>
              <w:rPr/>
            </w:pPr>
            <w:r>
              <w:rPr/>
              <w:t> </w:t>
            </w:r>
          </w:p>
        </w:tc>
      </w:tr>
      <w:tr>
        <w:trPr/>
        <w:tc>
          <w:tcPr>
            <w:tcW w:w="52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Fair value of contingent earnout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acquisition date fair value of the consideration transferred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val="false"/>
          <w:color w:val="000000"/>
          <w:sz w:val="20"/>
        </w:rPr>
        <w:t xml:space="preserve">The acquisition was accounted for as a business combination and reflects the application of acquisition accounting in accordance with ASC Topic 805, </w:t>
      </w:r>
      <w:r>
        <w:rPr>
          <w:rFonts w:ascii="Times New Roman" w:hAnsi="Times New Roman"/>
          <w:b w:val="false"/>
          <w:i/>
          <w:color w:val="000000"/>
          <w:sz w:val="20"/>
        </w:rPr>
        <w:t>Business Combinations</w:t>
      </w:r>
      <w:r>
        <w:rPr>
          <w:rFonts w:ascii="Times New Roman" w:hAnsi="Times New Roman"/>
          <w:b w:val="false"/>
          <w:color w:val="000000"/>
          <w:sz w:val="20"/>
        </w:rPr>
        <w:t>. The total purchase consideration was allocated to the assets acquired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and liabilities assumed based on their fair values as of the acquisition date with the excess purchase price assigned to goodwill. The goodwill was primarily attributable to the expected synergies from the combined service offerings and the value of the acquired workforce. The goodwill is not deductible for tax purposes.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estimates of the fair values of the assets acquired, liabilities assumed and contingent consideration were based on information that was available at the date of the acquisition. During the measurement period, which may be up to one year from the acquisition date, adjustments may be recorded to the fair value of these tangible and intangible assets acquired and liabilities assumed, including uncertain tax positions and tax-related valuation allowances, with the corresponding offset to goodwill. In December 2022, the Company recorded a measurement period adjustment to reflect the facts and circumstances in existence at the acquisition date. The adjustment related to the valuation of the deferred tax liabilities for $0.9</w:t>
      </w:r>
      <w:r>
        <w:rPr>
          <w:rFonts w:ascii="Times New Roman" w:hAnsi="Times New Roman"/>
          <w:color w:val="000000"/>
          <w:sz w:val="20"/>
        </w:rPr>
        <w:t xml:space="preserve"> </w:t>
      </w:r>
      <w:r>
        <w:rPr>
          <w:rFonts w:ascii="Times New Roman" w:hAnsi="Times New Roman"/>
          <w:b w:val="false"/>
          <w:color w:val="000000"/>
          <w:sz w:val="20"/>
        </w:rPr>
        <w:t>million, with a corresponding increase in goodwill. There were no other significant changes to the preliminary purchase price allocation. The purchase price allocation of estimated fair values was finalized as of December 31, 2022.</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the final allocation of the consideration to the fair values of the assets acquired and liabilities assumed at the acquisition date (in thousands):</w:t>
      </w:r>
    </w:p>
    <w:tbl>
      <w:tblPr>
        <w:tblW w:w="5050" w:type="dxa"/>
        <w:jc w:val="left"/>
        <w:tblInd w:w="0" w:type="dxa"/>
        <w:tblLayout w:type="fixed"/>
        <w:tblCellMar>
          <w:top w:w="28" w:type="dxa"/>
          <w:left w:w="28" w:type="dxa"/>
          <w:bottom w:w="28" w:type="dxa"/>
          <w:right w:w="28" w:type="dxa"/>
        </w:tblCellMar>
      </w:tblPr>
      <w:tblGrid>
        <w:gridCol w:w="3426"/>
        <w:gridCol w:w="146"/>
        <w:gridCol w:w="211"/>
        <w:gridCol w:w="676"/>
        <w:gridCol w:w="59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 acquired:</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4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42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Intangible asset - acquired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 acquired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4,950</w:t>
            </w:r>
          </w:p>
        </w:tc>
        <w:tc>
          <w:tcPr>
            <w:tcW w:w="591" w:type="dxa"/>
            <w:tcBorders/>
            <w:shd w:fill="FFFFFF" w:val="clear"/>
            <w:vAlign w:val="center"/>
          </w:tcPr>
          <w:p>
            <w:pPr>
              <w:pStyle w:val="TableContents"/>
              <w:bidi w:val="0"/>
              <w:spacing w:before="0" w:after="283"/>
              <w:jc w:val="lef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Liabilities assumed:</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4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42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 assumed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assets acquired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4,255</w:t>
            </w:r>
          </w:p>
        </w:tc>
        <w:tc>
          <w:tcPr>
            <w:tcW w:w="591" w:type="dxa"/>
            <w:tcBorders/>
            <w:shd w:fill="CFF0FC" w:val="cle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purchase price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val="false"/>
          <w:color w:val="000000"/>
          <w:sz w:val="20"/>
        </w:rPr>
        <w:t>The acquired technology intangible asset has an estimated useful life of seven years</w:t>
      </w:r>
      <w:r>
        <w:rPr>
          <w:rFonts w:ascii="Times New Roman" w:hAnsi="Times New Roman"/>
          <w:color w:val="000000"/>
          <w:sz w:val="20"/>
        </w:rPr>
        <w:t xml:space="preserve"> </w:t>
      </w:r>
      <w:r>
        <w:rPr>
          <w:rFonts w:ascii="Times New Roman" w:hAnsi="Times New Roman"/>
          <w:b w:val="false"/>
          <w:color w:val="000000"/>
          <w:sz w:val="20"/>
        </w:rPr>
        <w:t>and is being amortized on a straight-line basis.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fair value of the acquired technology intangible asset was determined by a valuation model based on estimates of future operating projections as well as judgments on the discount rate and other variables. This fair value measurement is based on significant unobservable inputs, including management estimates and assumptions and thus represents a Level 3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2022, the Company incurred $1.2</w:t>
      </w:r>
      <w:r>
        <w:rPr>
          <w:rFonts w:ascii="Times New Roman" w:hAnsi="Times New Roman"/>
          <w:color w:val="000000"/>
          <w:sz w:val="20"/>
        </w:rPr>
        <w:t xml:space="preserve"> </w:t>
      </w:r>
      <w:r>
        <w:rPr>
          <w:rFonts w:ascii="Times New Roman" w:hAnsi="Times New Roman"/>
          <w:b w:val="false"/>
          <w:color w:val="000000"/>
          <w:sz w:val="20"/>
        </w:rPr>
        <w:t>million of transaction costs associated with the acquisition. The transaction costs are</w:t>
      </w:r>
      <w:r>
        <w:rPr>
          <w:rFonts w:ascii="Times New Roman" w:hAnsi="Times New Roman"/>
          <w:color w:val="000000"/>
          <w:sz w:val="20"/>
        </w:rPr>
        <w:t xml:space="preserve"> </w:t>
      </w:r>
      <w:r>
        <w:rPr>
          <w:rFonts w:ascii="Times New Roman" w:hAnsi="Times New Roman"/>
          <w:b w:val="false"/>
          <w:color w:val="000000"/>
          <w:sz w:val="20"/>
        </w:rPr>
        <w:t>included in general and administrative expenses within the accompanying condensed consolidated statement of operations and comprehensive (loss) income.</w:t>
      </w:r>
      <w:r>
        <w:rPr>
          <w:rFonts w:ascii="Times New Roman" w:hAnsi="Times New Roman"/>
          <w:color w:val="000000"/>
          <w:sz w:val="20"/>
        </w:rPr>
        <w:t xml:space="preserve">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4.</w:t>
      </w:r>
    </w:p>
    <w:p>
      <w:pPr>
        <w:pStyle w:val="TextBody"/>
        <w:bidi w:val="0"/>
        <w:spacing w:before="160" w:after="283"/>
        <w:jc w:val="left"/>
        <w:rPr/>
      </w:pPr>
      <w:r>
        <w:rPr>
          <w:rFonts w:ascii="Times New Roman" w:hAnsi="Times New Roman"/>
          <w:b/>
          <w:caps/>
          <w:color w:val="000000"/>
          <w:sz w:val="20"/>
        </w:rPr>
        <w:t>REvenue</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Disaggregation of Revenue</w:t>
      </w:r>
      <w:r>
        <w:rPr>
          <w:rFonts w:ascii="Times New Roman" w:hAnsi="Times New Roman"/>
          <w:color w:val="000000"/>
          <w:sz w:val="20"/>
        </w:rPr>
        <w:t>—</w:t>
      </w:r>
      <w:r>
        <w:rPr>
          <w:rFonts w:ascii="Times New Roman" w:hAnsi="Times New Roman"/>
          <w:b w:val="false"/>
          <w:color w:val="000000"/>
          <w:sz w:val="20"/>
        </w:rPr>
        <w:t>The Company provides disaggregation of revenue based on type of service as it believes these categories best depict how the nature, amount, timing and uncertainty of revenue and cash flows are affected by economic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revenue by type of service for the three and nine months ended September 30, 2023 and 2022 (in thousands):</w:t>
      </w:r>
      <w:r>
        <w:rPr>
          <w:rFonts w:ascii="Times New Roman" w:hAnsi="Times New Roman"/>
          <w:color w:val="000000"/>
          <w:sz w:val="20"/>
        </w:rPr>
        <w:t xml:space="preserve"> </w:t>
      </w:r>
    </w:p>
    <w:p>
      <w:pPr>
        <w:pStyle w:val="TextBody"/>
        <w:bidi w:val="0"/>
        <w:jc w:val="left"/>
        <w:rPr/>
      </w:pPr>
      <w:r>
        <w:rPr/>
        <w:t> </w:t>
      </w:r>
    </w:p>
    <w:tbl>
      <w:tblPr>
        <w:tblW w:w="7726" w:type="dxa"/>
        <w:jc w:val="left"/>
        <w:tblInd w:w="0" w:type="dxa"/>
        <w:tblLayout w:type="fixed"/>
        <w:tblCellMar>
          <w:top w:w="28" w:type="dxa"/>
          <w:left w:w="28" w:type="dxa"/>
          <w:bottom w:w="28" w:type="dxa"/>
          <w:right w:w="28" w:type="dxa"/>
        </w:tblCellMar>
      </w:tblPr>
      <w:tblGrid>
        <w:gridCol w:w="1951"/>
        <w:gridCol w:w="146"/>
        <w:gridCol w:w="235"/>
        <w:gridCol w:w="870"/>
        <w:gridCol w:w="162"/>
        <w:gridCol w:w="162"/>
        <w:gridCol w:w="235"/>
        <w:gridCol w:w="870"/>
        <w:gridCol w:w="146"/>
        <w:gridCol w:w="146"/>
        <w:gridCol w:w="223"/>
        <w:gridCol w:w="829"/>
        <w:gridCol w:w="154"/>
        <w:gridCol w:w="154"/>
        <w:gridCol w:w="223"/>
        <w:gridCol w:w="829"/>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 subscriptions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212,497</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611,582</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556,470</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26,195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221,147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198,734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637,777</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578,342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b w:val="false"/>
          <w:i/>
          <w:color w:val="000000"/>
          <w:sz w:val="20"/>
        </w:rPr>
        <w:t>Transaction Price Allocated to the Remaining Performance Obligations</w:t>
      </w:r>
      <w:r>
        <w:rPr>
          <w:rFonts w:ascii="Times New Roman" w:hAnsi="Times New Roman"/>
          <w:color w:val="000000"/>
          <w:sz w:val="20"/>
        </w:rPr>
        <w:t>—</w:t>
      </w:r>
      <w:r>
        <w:rPr>
          <w:rFonts w:ascii="Times New Roman" w:hAnsi="Times New Roman"/>
          <w:b w:val="false"/>
          <w:color w:val="000000"/>
          <w:sz w:val="20"/>
        </w:rPr>
        <w:t>Remaining performance obligations represent contracted revenue that has not yet been recognized, which includes deferred revenue and amounts that will be invoiced and recognized as revenue in future periods. As of September 30, 2023, approximately $1,423</w:t>
      </w:r>
      <w:r>
        <w:rPr>
          <w:rFonts w:ascii="Times New Roman" w:hAnsi="Times New Roman"/>
          <w:color w:val="000000"/>
          <w:sz w:val="20"/>
        </w:rPr>
        <w:t xml:space="preserve"> </w:t>
      </w:r>
      <w:r>
        <w:rPr>
          <w:rFonts w:ascii="Times New Roman" w:hAnsi="Times New Roman"/>
          <w:b w:val="false"/>
          <w:color w:val="000000"/>
          <w:sz w:val="20"/>
        </w:rPr>
        <w:t>million of revenue is expected to be recognized from remaining performance obligations in the amount of approximately $561</w:t>
      </w:r>
      <w:r>
        <w:rPr>
          <w:rFonts w:ascii="Times New Roman" w:hAnsi="Times New Roman"/>
          <w:color w:val="000000"/>
          <w:sz w:val="20"/>
        </w:rPr>
        <w:t xml:space="preserve"> </w:t>
      </w:r>
      <w:r>
        <w:rPr>
          <w:rFonts w:ascii="Times New Roman" w:hAnsi="Times New Roman"/>
          <w:b w:val="false"/>
          <w:color w:val="000000"/>
          <w:sz w:val="20"/>
        </w:rPr>
        <w:t>million during the following twelve months, and approximately $862</w:t>
      </w:r>
      <w:r>
        <w:rPr>
          <w:rFonts w:ascii="Times New Roman" w:hAnsi="Times New Roman"/>
          <w:color w:val="000000"/>
          <w:sz w:val="20"/>
        </w:rPr>
        <w:t xml:space="preserve"> </w:t>
      </w:r>
      <w:r>
        <w:rPr>
          <w:rFonts w:ascii="Times New Roman" w:hAnsi="Times New Roman"/>
          <w:b w:val="false"/>
          <w:color w:val="000000"/>
          <w:sz w:val="20"/>
        </w:rPr>
        <w:t>million thereafter. The estimated revenues do not include unexercised contract renewals.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val="false"/>
          <w:color w:val="000000"/>
          <w:sz w:val="20"/>
        </w:rPr>
        <w:t>remaining performance obligations exclude future transaction revenue where revenue is recognized as the services are rendered and in the amount to which the Company has the right to invoice.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i/>
          <w:color w:val="000000"/>
          <w:sz w:val="20"/>
        </w:rPr>
        <w:t>Deferred Revenue</w:t>
      </w:r>
      <w:r>
        <w:rPr>
          <w:rFonts w:ascii="Times New Roman" w:hAnsi="Times New Roman"/>
          <w:color w:val="000000"/>
          <w:sz w:val="20"/>
        </w:rPr>
        <w:t>—</w:t>
      </w:r>
      <w:r>
        <w:rPr>
          <w:rFonts w:ascii="Times New Roman" w:hAnsi="Times New Roman"/>
          <w:b w:val="false"/>
          <w:color w:val="000000"/>
          <w:sz w:val="20"/>
        </w:rPr>
        <w:t>Revenue recognized for the three months ended September 30, 2023 from amounts in deferred revenue as of June 30, 2023 was $37.1</w:t>
      </w:r>
      <w:r>
        <w:rPr>
          <w:rFonts w:ascii="Times New Roman" w:hAnsi="Times New Roman"/>
          <w:color w:val="000000"/>
          <w:sz w:val="20"/>
        </w:rPr>
        <w:t xml:space="preserve"> </w:t>
      </w:r>
      <w:r>
        <w:rPr>
          <w:rFonts w:ascii="Times New Roman" w:hAnsi="Times New Roman"/>
          <w:b w:val="false"/>
          <w:color w:val="000000"/>
          <w:sz w:val="20"/>
        </w:rPr>
        <w:t>million. Revenue recognized for the three months ended September 30, 2022</w:t>
      </w:r>
      <w:r>
        <w:rPr>
          <w:rFonts w:ascii="Times New Roman" w:hAnsi="Times New Roman"/>
          <w:color w:val="000000"/>
          <w:sz w:val="20"/>
        </w:rPr>
        <w:t xml:space="preserve"> </w:t>
      </w:r>
      <w:r>
        <w:rPr>
          <w:rFonts w:ascii="Times New Roman" w:hAnsi="Times New Roman"/>
          <w:b w:val="false"/>
          <w:color w:val="000000"/>
          <w:sz w:val="20"/>
        </w:rPr>
        <w:t>from amounts in deferred revenue as of June 30, 2022 was $32.2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b w:val="false"/>
          <w:color w:val="000000"/>
          <w:sz w:val="24"/>
        </w:rPr>
        <w:t>.</w:t>
      </w:r>
    </w:p>
    <w:p>
      <w:pPr>
        <w:pStyle w:val="TextBody"/>
        <w:bidi w:val="0"/>
        <w:jc w:val="left"/>
        <w:rPr>
          <w:rFonts w:ascii="Times New Roman" w:hAnsi="Times New Roman"/>
          <w:sz w:val="20"/>
        </w:rPr>
      </w:pPr>
      <w:r>
        <w:rPr>
          <w:rFonts w:ascii="Times New Roman" w:hAnsi="Times New Roman"/>
          <w:b w:val="false"/>
          <w:color w:val="000000"/>
          <w:sz w:val="20"/>
        </w:rPr>
        <w:t>Revenue recognized for the nine months ended September 30, 2023</w:t>
      </w:r>
      <w:r>
        <w:rPr>
          <w:rFonts w:ascii="Times New Roman" w:hAnsi="Times New Roman"/>
          <w:color w:val="000000"/>
          <w:sz w:val="20"/>
        </w:rPr>
        <w:t xml:space="preserve"> </w:t>
      </w:r>
      <w:r>
        <w:rPr>
          <w:rFonts w:ascii="Times New Roman" w:hAnsi="Times New Roman"/>
          <w:b w:val="false"/>
          <w:color w:val="000000"/>
          <w:sz w:val="20"/>
        </w:rPr>
        <w:t>from amounts in deferred revenue as of December 31, 2022 was $34.7</w:t>
      </w:r>
      <w:r>
        <w:rPr>
          <w:rFonts w:ascii="Times New Roman" w:hAnsi="Times New Roman"/>
          <w:color w:val="000000"/>
          <w:sz w:val="20"/>
        </w:rPr>
        <w:t xml:space="preserve"> </w:t>
      </w:r>
      <w:r>
        <w:rPr>
          <w:rFonts w:ascii="Times New Roman" w:hAnsi="Times New Roman"/>
          <w:b w:val="false"/>
          <w:color w:val="000000"/>
          <w:sz w:val="20"/>
        </w:rPr>
        <w:t>million. Revenue recognized for the nine months ended September 30, 2022</w:t>
      </w:r>
      <w:r>
        <w:rPr>
          <w:rFonts w:ascii="Times New Roman" w:hAnsi="Times New Roman"/>
          <w:color w:val="000000"/>
          <w:sz w:val="20"/>
        </w:rPr>
        <w:t xml:space="preserve"> </w:t>
      </w:r>
      <w:r>
        <w:rPr>
          <w:rFonts w:ascii="Times New Roman" w:hAnsi="Times New Roman"/>
          <w:b w:val="false"/>
          <w:color w:val="000000"/>
          <w:sz w:val="20"/>
        </w:rPr>
        <w:t>from amounts in deferred revenue as of December 31, 2021 was $30.7</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Contract Assets and Liabilities</w:t>
      </w:r>
      <w:r>
        <w:rPr>
          <w:rFonts w:ascii="Times New Roman" w:hAnsi="Times New Roman"/>
          <w:color w:val="000000"/>
          <w:sz w:val="20"/>
        </w:rPr>
        <w:t>—</w:t>
      </w:r>
      <w:r>
        <w:rPr>
          <w:rFonts w:ascii="Times New Roman" w:hAnsi="Times New Roman"/>
          <w:b w:val="false"/>
          <w:color w:val="000000"/>
          <w:sz w:val="20"/>
        </w:rPr>
        <w:t xml:space="preserve">The opening and closing balances of the Company’s receivables, contract assets and contract liabilities from contracts with customers are as follows (in thousands): </w:t>
      </w:r>
    </w:p>
    <w:p>
      <w:pPr>
        <w:pStyle w:val="TextBody"/>
        <w:bidi w:val="0"/>
        <w:jc w:val="left"/>
        <w:rPr/>
      </w:pPr>
      <w:r>
        <w:rPr/>
        <w:t> </w:t>
      </w:r>
    </w:p>
    <w:tbl>
      <w:tblPr>
        <w:tblW w:w="7215" w:type="dxa"/>
        <w:jc w:val="left"/>
        <w:tblInd w:w="0" w:type="dxa"/>
        <w:tblLayout w:type="fixed"/>
        <w:tblCellMar>
          <w:top w:w="28" w:type="dxa"/>
          <w:left w:w="28" w:type="dxa"/>
          <w:bottom w:w="28" w:type="dxa"/>
          <w:right w:w="28" w:type="dxa"/>
        </w:tblCellMar>
      </w:tblPr>
      <w:tblGrid>
        <w:gridCol w:w="4021"/>
        <w:gridCol w:w="146"/>
        <w:gridCol w:w="276"/>
        <w:gridCol w:w="1029"/>
        <w:gridCol w:w="146"/>
        <w:gridCol w:w="146"/>
        <w:gridCol w:w="299"/>
        <w:gridCol w:w="96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receivables-net of allowances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117,799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98,353</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contract costs</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16,556</w:t>
            </w:r>
          </w:p>
        </w:tc>
        <w:tc>
          <w:tcPr>
            <w:tcW w:w="1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deferred contract costs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20,161</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 (accounts receivable, non-current)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16,437</w:t>
            </w:r>
          </w:p>
        </w:tc>
        <w:tc>
          <w:tcPr>
            <w:tcW w:w="1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35,239</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liabilities (deferred revenues, non-current)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val="false"/>
          <w:color w:val="000000"/>
          <w:sz w:val="20"/>
        </w:rPr>
        <w:t>A summary of the activity impacting deferred revenue balances during the three and nine months ended September 30, 2023 and 2022 is presented below (in thousands):</w:t>
      </w:r>
      <w:r>
        <w:rPr>
          <w:rFonts w:ascii="Times New Roman" w:hAnsi="Times New Roman"/>
          <w:color w:val="000000"/>
          <w:sz w:val="20"/>
        </w:rPr>
        <w:t xml:space="preserve"> </w:t>
      </w:r>
    </w:p>
    <w:tbl>
      <w:tblPr>
        <w:tblW w:w="8393" w:type="dxa"/>
        <w:jc w:val="left"/>
        <w:tblInd w:w="0" w:type="dxa"/>
        <w:tblLayout w:type="fixed"/>
        <w:tblCellMar>
          <w:top w:w="28" w:type="dxa"/>
          <w:left w:w="28" w:type="dxa"/>
          <w:bottom w:w="28" w:type="dxa"/>
          <w:right w:w="28" w:type="dxa"/>
        </w:tblCellMar>
      </w:tblPr>
      <w:tblGrid>
        <w:gridCol w:w="2721"/>
        <w:gridCol w:w="231"/>
        <w:gridCol w:w="922"/>
        <w:gridCol w:w="182"/>
        <w:gridCol w:w="160"/>
        <w:gridCol w:w="231"/>
        <w:gridCol w:w="807"/>
        <w:gridCol w:w="166"/>
        <w:gridCol w:w="146"/>
        <w:gridCol w:w="211"/>
        <w:gridCol w:w="841"/>
        <w:gridCol w:w="166"/>
        <w:gridCol w:w="146"/>
        <w:gridCol w:w="211"/>
        <w:gridCol w:w="841"/>
        <w:gridCol w:w="411"/>
      </w:tblGrid>
      <w:tr>
        <w:trPr/>
        <w:tc>
          <w:tcPr>
            <w:tcW w:w="27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411" w:type="dxa"/>
            <w:tcBorders/>
            <w:shd w:fill="FFFFFF" w:val="cle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41,203</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32,616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Revenue recognized</w:t>
            </w:r>
            <w:r>
              <w:rPr>
                <w:rFonts w:ascii="Times New Roman" w:hAnsi="Times New Roman"/>
                <w:b w:val="false"/>
                <w:color w:val="000000"/>
                <w:sz w:val="13"/>
              </w:rPr>
              <w:t>1</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(109,109</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(94,997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(323,827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(277,250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Additional amounts deferred</w:t>
            </w:r>
            <w:r>
              <w:rPr>
                <w:rFonts w:ascii="Times New Roman" w:hAnsi="Times New Roman"/>
                <w:b w:val="false"/>
                <w:color w:val="000000"/>
                <w:sz w:val="13"/>
              </w:rPr>
              <w:t>1</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110,934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279,576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43,028</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34,942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1153"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3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Classified as:</w:t>
            </w:r>
          </w:p>
        </w:tc>
        <w:tc>
          <w:tcPr>
            <w:tcW w:w="1153" w:type="dxa"/>
            <w:gridSpan w:val="2"/>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103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w:t>
            </w:r>
          </w:p>
        </w:tc>
        <w:tc>
          <w:tcPr>
            <w:tcW w:w="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41,885</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33,602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Non-current</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deferred revenue</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43,028</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34,942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xml:space="preserve"> </w:t>
      </w:r>
      <w:r>
        <w:rPr>
          <w:rFonts w:ascii="Times New Roman" w:hAnsi="Times New Roman"/>
          <w:b w:val="false"/>
          <w:color w:val="000000"/>
          <w:sz w:val="20"/>
        </w:rPr>
        <w:t>Amounts include total revenue deferred and recognized during each respective period.</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 summary of the activity impacting the deferred contract costs during the three and nine months ended September 30, 2023 and 2022 is presented below (in thousands):</w:t>
      </w:r>
      <w:r>
        <w:rPr>
          <w:rFonts w:ascii="Times New Roman" w:hAnsi="Times New Roman"/>
          <w:color w:val="000000"/>
          <w:sz w:val="20"/>
        </w:rPr>
        <w:t xml:space="preserve"> </w:t>
      </w:r>
    </w:p>
    <w:tbl>
      <w:tblPr>
        <w:tblW w:w="8461" w:type="dxa"/>
        <w:jc w:val="left"/>
        <w:tblInd w:w="0" w:type="dxa"/>
        <w:tblLayout w:type="fixed"/>
        <w:tblCellMar>
          <w:top w:w="28" w:type="dxa"/>
          <w:left w:w="28" w:type="dxa"/>
          <w:bottom w:w="28" w:type="dxa"/>
          <w:right w:w="28" w:type="dxa"/>
        </w:tblCellMar>
      </w:tblPr>
      <w:tblGrid>
        <w:gridCol w:w="2646"/>
        <w:gridCol w:w="146"/>
        <w:gridCol w:w="256"/>
        <w:gridCol w:w="821"/>
        <w:gridCol w:w="201"/>
        <w:gridCol w:w="177"/>
        <w:gridCol w:w="256"/>
        <w:gridCol w:w="821"/>
        <w:gridCol w:w="166"/>
        <w:gridCol w:w="146"/>
        <w:gridCol w:w="231"/>
        <w:gridCol w:w="806"/>
        <w:gridCol w:w="181"/>
        <w:gridCol w:w="159"/>
        <w:gridCol w:w="231"/>
        <w:gridCol w:w="806"/>
        <w:gridCol w:w="411"/>
      </w:tblGrid>
      <w:tr>
        <w:trPr/>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3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411" w:type="dxa"/>
            <w:tcBorders/>
            <w:shd w:fill="FFFFFF" w:val="clear"/>
            <w:vAlign w:val="center"/>
          </w:tcPr>
          <w:p>
            <w:pPr>
              <w:pStyle w:val="TableContents"/>
              <w:bidi w:val="0"/>
              <w:spacing w:before="0" w:after="283"/>
              <w:jc w:val="center"/>
              <w:rPr/>
            </w:pPr>
            <w:r>
              <w:rPr/>
              <w:t> </w:t>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36,351</w:t>
            </w:r>
          </w:p>
        </w:tc>
        <w:tc>
          <w:tcPr>
            <w:tcW w:w="201"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36,717</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37,186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6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Costs amortized</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(4,705</w:t>
            </w:r>
          </w:p>
        </w:tc>
        <w:tc>
          <w:tcPr>
            <w:tcW w:w="2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(14,128</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(13,072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amounts deferred</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4,927</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36,573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36,573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34,606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6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Classified as:</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16,994</w:t>
            </w:r>
          </w:p>
        </w:tc>
        <w:tc>
          <w:tcPr>
            <w:tcW w:w="201"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16,994</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15,788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6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Non-current</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19,579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deferred contract costs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36,573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36,573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34,606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5.</w:t>
      </w:r>
    </w:p>
    <w:p>
      <w:pPr>
        <w:pStyle w:val="TextBody"/>
        <w:bidi w:val="0"/>
        <w:spacing w:before="120" w:after="283"/>
        <w:jc w:val="left"/>
        <w:rPr/>
      </w:pPr>
      <w:r>
        <w:rPr>
          <w:rFonts w:ascii="Times New Roman" w:hAnsi="Times New Roman"/>
          <w:b/>
          <w:caps/>
          <w:color w:val="000000"/>
          <w:sz w:val="20"/>
        </w:rPr>
        <w:t>FAIR VALUE measurements</w:t>
      </w:r>
      <w:r>
        <w:rPr>
          <w:color w:val="00000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Assets and Liabilities Measured at Fair Value on a Recurring Basis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Private Warrants</w:t>
      </w:r>
      <w:r>
        <w:rPr>
          <w:rFonts w:ascii="Times New Roman" w:hAnsi="Times New Roman"/>
          <w:color w:val="000000"/>
          <w:sz w:val="20"/>
        </w:rPr>
        <w:t>—</w:t>
      </w:r>
      <w:r>
        <w:rPr>
          <w:rFonts w:ascii="Times New Roman" w:hAnsi="Times New Roman"/>
          <w:b w:val="false"/>
          <w:color w:val="000000"/>
          <w:sz w:val="20"/>
        </w:rPr>
        <w:t>As of September 30, 2023 and December 31, 2022, the Company's Private Warrants are recognized as liabilities and measured at fair value on a recurring basis.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Private Warrants are valued using Level 1 and Level 2 inputs within the Black-Scholes option pricing model. The assumptions utilized under the Black-Scholes option pricing model require judgments and estimates. Changes in these inputs and assumptions could affect the measurement of the estimated fair value of the Private Warrants. Accordingly, the Private Warrants are classified within Level 2 of the fair value hierarchy.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valuation of the Private Warrants as of September 30, 2023 and December 31, 2022 was determined using the Black-Scholes option pricing model using the following assumptions:</w:t>
      </w:r>
    </w:p>
    <w:p>
      <w:pPr>
        <w:pStyle w:val="TextBody"/>
        <w:bidi w:val="0"/>
        <w:jc w:val="left"/>
        <w:rPr/>
      </w:pPr>
      <w:r>
        <w:rPr/>
        <w:t> </w:t>
      </w:r>
    </w:p>
    <w:tbl>
      <w:tblPr>
        <w:tblW w:w="5575" w:type="dxa"/>
        <w:jc w:val="left"/>
        <w:tblInd w:w="0" w:type="dxa"/>
        <w:tblLayout w:type="fixed"/>
        <w:tblCellMar>
          <w:top w:w="28" w:type="dxa"/>
          <w:left w:w="28" w:type="dxa"/>
          <w:bottom w:w="28" w:type="dxa"/>
          <w:right w:w="28" w:type="dxa"/>
        </w:tblCellMar>
      </w:tblPr>
      <w:tblGrid>
        <w:gridCol w:w="2131"/>
        <w:gridCol w:w="146"/>
        <w:gridCol w:w="310"/>
        <w:gridCol w:w="995"/>
        <w:gridCol w:w="271"/>
        <w:gridCol w:w="146"/>
        <w:gridCol w:w="300"/>
        <w:gridCol w:w="960"/>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 estimated fair value of each Private Warrant using the Company's stock price on the valuation date and above assumptions was $4.60</w:t>
      </w:r>
      <w:r>
        <w:rPr>
          <w:rFonts w:ascii="Times New Roman" w:hAnsi="Times New Roman"/>
          <w:color w:val="000000"/>
          <w:sz w:val="20"/>
        </w:rPr>
        <w:t xml:space="preserve"> </w:t>
      </w:r>
      <w:r>
        <w:rPr>
          <w:rFonts w:ascii="Times New Roman" w:hAnsi="Times New Roman"/>
          <w:b w:val="false"/>
          <w:color w:val="000000"/>
          <w:sz w:val="20"/>
        </w:rPr>
        <w:t>and $2.05</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Contingent Consideration Liability</w:t>
      </w:r>
      <w:r>
        <w:rPr>
          <w:rFonts w:ascii="Times New Roman" w:hAnsi="Times New Roman"/>
          <w:color w:val="000000"/>
          <w:sz w:val="20"/>
        </w:rPr>
        <w:t>—</w:t>
      </w:r>
      <w:r>
        <w:rPr>
          <w:rFonts w:ascii="Times New Roman" w:hAnsi="Times New Roman"/>
          <w:b w:val="false"/>
          <w:color w:val="000000"/>
          <w:sz w:val="20"/>
        </w:rPr>
        <w:t>The contingent consideration liability related to the acquisition of Safekeep (see Note 3), recognized within other liabilities on the condensed consolidated balance sheet, is adjusted each reporting period for changes in fair value, which can result from changes in anticipated payments and changes in assumed discount rates. These inputs are unobservable in the market and therefore categorized as Level 3 inputs.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estimated fair value of the contingent consideration was determined using probability-weighted discounted cash flows and a Monte Carlo simulation model. The discount rate, based on the Company's estimated cost of debt, was 10%.</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December 31, 2022, the contingent consideration liability had a fair value of $0.1</w:t>
      </w:r>
      <w:r>
        <w:rPr>
          <w:rFonts w:ascii="Times New Roman" w:hAnsi="Times New Roman"/>
          <w:color w:val="000000"/>
          <w:sz w:val="20"/>
        </w:rPr>
        <w:t xml:space="preserve"> </w:t>
      </w:r>
      <w:r>
        <w:rPr>
          <w:rFonts w:ascii="Times New Roman" w:hAnsi="Times New Roman"/>
          <w:b w:val="false"/>
          <w:color w:val="000000"/>
          <w:sz w:val="20"/>
        </w:rPr>
        <w:t>million. As of September 30, 2023, there were no significant changes to the inputs used within the Monte Carlo simulation model and the estimated fair value of the contingent consideration liability was $0.1</w:t>
      </w:r>
      <w:r>
        <w:rPr>
          <w:rFonts w:ascii="Times New Roman" w:hAnsi="Times New Roman"/>
          <w:color w:val="000000"/>
          <w:sz w:val="20"/>
        </w:rPr>
        <w:t xml:space="preserve"> </w:t>
      </w:r>
      <w:r>
        <w:rPr>
          <w:rFonts w:ascii="Times New Roman" w:hAnsi="Times New Roman"/>
          <w:b w:val="false"/>
          <w:color w:val="000000"/>
          <w:sz w:val="20"/>
        </w:rPr>
        <w:t>million. The contingent consideration liability is classified within other liabilities in the accompanying condensed consolidated balance sheets. The Company did not recognize any change in the estimated fair value of the contingent consideration liability during the three and nine months ended September 30, 2023 or the three and nine months ended September 30, 2022.</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Interest Rate Cap</w:t>
      </w:r>
      <w:r>
        <w:rPr>
          <w:rFonts w:ascii="Times New Roman" w:hAnsi="Times New Roman"/>
          <w:color w:val="000000"/>
          <w:sz w:val="20"/>
        </w:rPr>
        <w:t>—</w:t>
      </w:r>
      <w:r>
        <w:rPr>
          <w:rFonts w:ascii="Times New Roman" w:hAnsi="Times New Roman"/>
          <w:b w:val="false"/>
          <w:color w:val="000000"/>
          <w:sz w:val="20"/>
        </w:rPr>
        <w:t>In August 2022, the Company entered into two interest rate cap agreements to reduce its exposure to increases in interest rates applicable to its floating rate long-term debt (see Note 14). The fair value of the interest rate cap agreements was estimated using inputs that were observable or that could be corroborated by observable market data and therefore was classified within Level 2 of the fair value hierarchy as of September 30, 2023 and December 31,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did not designate its interest rate cap agreements as hedging instruments and records the changes in fair value within earnings. As of September 30, 2023 and December 31, 2022, the interest rate cap agreements had a fair value of $12.5</w:t>
      </w:r>
      <w:r>
        <w:rPr>
          <w:rFonts w:ascii="Times New Roman" w:hAnsi="Times New Roman"/>
          <w:color w:val="000000"/>
          <w:sz w:val="20"/>
        </w:rPr>
        <w:t xml:space="preserve"> </w:t>
      </w:r>
      <w:r>
        <w:rPr>
          <w:rFonts w:ascii="Times New Roman" w:hAnsi="Times New Roman"/>
          <w:b w:val="false"/>
          <w:color w:val="000000"/>
          <w:sz w:val="20"/>
        </w:rPr>
        <w:t>million and $12.0</w:t>
      </w:r>
      <w:r>
        <w:rPr>
          <w:rFonts w:ascii="Times New Roman" w:hAnsi="Times New Roman"/>
          <w:color w:val="000000"/>
          <w:sz w:val="20"/>
        </w:rPr>
        <w:t xml:space="preserve"> </w:t>
      </w:r>
      <w:r>
        <w:rPr>
          <w:rFonts w:ascii="Times New Roman" w:hAnsi="Times New Roman"/>
          <w:b w:val="false"/>
          <w:color w:val="000000"/>
          <w:sz w:val="20"/>
        </w:rPr>
        <w:t>million, respectively, classified within other assets in the accompanying condensed consolidated balance sheets.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presents the fair value of the assets and liabilities measured at fair value on a recurring basis as of September 30, 2023 (in thousands):</w:t>
      </w:r>
      <w:r>
        <w:rPr>
          <w:rFonts w:ascii="Times New Roman" w:hAnsi="Times New Roman"/>
          <w:color w:val="000000"/>
          <w:sz w:val="20"/>
        </w:rPr>
        <w:t xml:space="preserve"> </w:t>
      </w:r>
    </w:p>
    <w:p>
      <w:pPr>
        <w:pStyle w:val="TextBody"/>
        <w:bidi w:val="0"/>
        <w:jc w:val="left"/>
        <w:rPr/>
      </w:pPr>
      <w:r>
        <w:rPr/>
        <w:t> </w:t>
      </w:r>
    </w:p>
    <w:tbl>
      <w:tblPr>
        <w:tblW w:w="9501" w:type="dxa"/>
        <w:jc w:val="left"/>
        <w:tblInd w:w="0" w:type="dxa"/>
        <w:tblLayout w:type="fixed"/>
        <w:tblCellMar>
          <w:top w:w="28" w:type="dxa"/>
          <w:left w:w="28" w:type="dxa"/>
          <w:bottom w:w="28" w:type="dxa"/>
          <w:right w:w="28" w:type="dxa"/>
        </w:tblCellMar>
      </w:tblPr>
      <w:tblGrid>
        <w:gridCol w:w="4811"/>
        <w:gridCol w:w="146"/>
        <w:gridCol w:w="242"/>
        <w:gridCol w:w="778"/>
        <w:gridCol w:w="146"/>
        <w:gridCol w:w="146"/>
        <w:gridCol w:w="277"/>
        <w:gridCol w:w="458"/>
        <w:gridCol w:w="146"/>
        <w:gridCol w:w="146"/>
        <w:gridCol w:w="211"/>
        <w:gridCol w:w="676"/>
        <w:gridCol w:w="146"/>
        <w:gridCol w:w="146"/>
        <w:gridCol w:w="245"/>
        <w:gridCol w:w="490"/>
        <w:gridCol w:w="291"/>
      </w:tblGrid>
      <w:tr>
        <w:trPr/>
        <w:tc>
          <w:tcPr>
            <w:tcW w:w="4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 rate cap</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Contingent consideration related to business acquisition</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Private Warrants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81,908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presents the fair value of the assets and liabilities measured at fair value on a recurring basis as of December 31, 2022 (in thousands):</w:t>
      </w:r>
      <w:r>
        <w:rPr>
          <w:rFonts w:ascii="Times New Roman" w:hAnsi="Times New Roman"/>
          <w:color w:val="000000"/>
          <w:sz w:val="20"/>
        </w:rPr>
        <w:t xml:space="preserve"> </w:t>
      </w:r>
    </w:p>
    <w:p>
      <w:pPr>
        <w:pStyle w:val="TextBody"/>
        <w:bidi w:val="0"/>
        <w:jc w:val="left"/>
        <w:rPr/>
      </w:pPr>
      <w:r>
        <w:rPr/>
        <w:t> </w:t>
      </w:r>
    </w:p>
    <w:tbl>
      <w:tblPr>
        <w:tblW w:w="9501" w:type="dxa"/>
        <w:jc w:val="left"/>
        <w:tblInd w:w="0" w:type="dxa"/>
        <w:tblLayout w:type="fixed"/>
        <w:tblCellMar>
          <w:top w:w="28" w:type="dxa"/>
          <w:left w:w="28" w:type="dxa"/>
          <w:bottom w:w="28" w:type="dxa"/>
          <w:right w:w="28" w:type="dxa"/>
        </w:tblCellMar>
      </w:tblPr>
      <w:tblGrid>
        <w:gridCol w:w="4811"/>
        <w:gridCol w:w="146"/>
        <w:gridCol w:w="242"/>
        <w:gridCol w:w="778"/>
        <w:gridCol w:w="146"/>
        <w:gridCol w:w="146"/>
        <w:gridCol w:w="277"/>
        <w:gridCol w:w="458"/>
        <w:gridCol w:w="146"/>
        <w:gridCol w:w="146"/>
        <w:gridCol w:w="211"/>
        <w:gridCol w:w="676"/>
        <w:gridCol w:w="146"/>
        <w:gridCol w:w="146"/>
        <w:gridCol w:w="245"/>
        <w:gridCol w:w="490"/>
        <w:gridCol w:w="291"/>
      </w:tblGrid>
      <w:tr>
        <w:trPr/>
        <w:tc>
          <w:tcPr>
            <w:tcW w:w="4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 rate cap</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Contingent consideration related to business acquisition</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Private Warrants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Assets and Liabilities Measured at Fair Value on a Nonrecurring Basis</w:t>
      </w:r>
      <w:r>
        <w:rPr>
          <w:rFonts w:ascii="Times New Roman" w:hAnsi="Times New Roman"/>
          <w:color w:val="000000"/>
          <w:sz w:val="20"/>
        </w:rPr>
        <w:t>—</w:t>
      </w:r>
      <w:r>
        <w:rPr>
          <w:rFonts w:ascii="Times New Roman" w:hAnsi="Times New Roman"/>
          <w:b w:val="false"/>
          <w:color w:val="000000"/>
          <w:sz w:val="20"/>
        </w:rPr>
        <w:t>The Company has assets that under certain conditions are subject to 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May 2023, the Company recognized impairment charges of goodwill and definite-lived intangible assets (see Note 11). The Company did not recognize any impairment charges related to these assets during the three months ended September 30, 2023 or during the three and nine months ended September 30, 2022.</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Fair Value of Other Financial Instruments</w:t>
      </w:r>
      <w:r>
        <w:rPr>
          <w:rFonts w:ascii="Times New Roman" w:hAnsi="Times New Roman"/>
          <w:color w:val="000000"/>
          <w:sz w:val="20"/>
        </w:rPr>
        <w:t>—</w:t>
      </w:r>
      <w:r>
        <w:rPr>
          <w:rFonts w:ascii="Times New Roman" w:hAnsi="Times New Roman"/>
          <w:b w:val="false"/>
          <w:color w:val="000000"/>
          <w:sz w:val="20"/>
        </w:rPr>
        <w:t xml:space="preserve">The following table presents the carrying amounts, net of debt discount, and the estimated fair values of the Company’s financial instruments that are not recorded at fair value on the condensed consolidated balance sheets (in thousands): </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3331"/>
        <w:gridCol w:w="146"/>
        <w:gridCol w:w="211"/>
        <w:gridCol w:w="781"/>
        <w:gridCol w:w="146"/>
        <w:gridCol w:w="146"/>
        <w:gridCol w:w="217"/>
        <w:gridCol w:w="803"/>
        <w:gridCol w:w="146"/>
        <w:gridCol w:w="146"/>
        <w:gridCol w:w="211"/>
        <w:gridCol w:w="781"/>
        <w:gridCol w:w="146"/>
        <w:gridCol w:w="146"/>
        <w:gridCol w:w="217"/>
        <w:gridCol w:w="803"/>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9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B Loan, including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784,035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790,331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766,260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r>
        <w:rPr>
          <w:rFonts w:ascii="Times New Roman" w:hAnsi="Times New Roman"/>
          <w:color w:val="000000"/>
          <w:sz w:val="20"/>
        </w:rPr>
        <w:t xml:space="preserve">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6.</w:t>
      </w:r>
    </w:p>
    <w:p>
      <w:pPr>
        <w:pStyle w:val="TextBody"/>
        <w:bidi w:val="0"/>
        <w:spacing w:before="360" w:after="283"/>
        <w:jc w:val="left"/>
        <w:rPr>
          <w:rFonts w:ascii="Times New Roman" w:hAnsi="Times New Roman"/>
          <w:sz w:val="20"/>
        </w:rPr>
      </w:pPr>
      <w:r>
        <w:rPr>
          <w:rFonts w:ascii="Times New Roman" w:hAnsi="Times New Roman"/>
          <w:b/>
          <w:caps/>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August 16, 2022, President Biden signed the Inflation Reduction Act of 2022 ("IRA") into law. The IRA contains several revisions to the Internal Revenue Code, including a 15% corporate minimum income tax and a 1% excise tax on corporate stock repurchases in tax years beginning after December 31, 2022. While these tax law changes have no immediate effect on our results of operations and are not expected to have a material adverse effect on our results of operations going forward, we will continue to evaluate its impact as further information becomes available.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effective tax rate for the three months ended September 30, 2023 and 2022</w:t>
      </w:r>
      <w:r>
        <w:rPr>
          <w:rFonts w:ascii="Times New Roman" w:hAnsi="Times New Roman"/>
          <w:color w:val="000000"/>
          <w:sz w:val="20"/>
        </w:rPr>
        <w:t xml:space="preserve"> </w:t>
      </w:r>
      <w:r>
        <w:rPr>
          <w:rFonts w:ascii="Times New Roman" w:hAnsi="Times New Roman"/>
          <w:b w:val="false"/>
          <w:color w:val="000000"/>
          <w:sz w:val="20"/>
        </w:rPr>
        <w:t>was (9.4)% and 26.1%, respectively. The effective tax rate for three months ended September 30, 2023 was lower than the effective tax rate for three months ended September 30, 2022</w:t>
      </w:r>
      <w:r>
        <w:rPr>
          <w:rFonts w:ascii="Times New Roman" w:hAnsi="Times New Roman"/>
          <w:color w:val="000000"/>
          <w:sz w:val="20"/>
        </w:rPr>
        <w:t xml:space="preserve"> </w:t>
      </w:r>
      <w:r>
        <w:rPr>
          <w:rFonts w:ascii="Times New Roman" w:hAnsi="Times New Roman"/>
          <w:b w:val="false"/>
          <w:color w:val="000000"/>
          <w:sz w:val="20"/>
        </w:rPr>
        <w:t>primarily due to the tax benefit received from a return to provision adjustment related to estimated research and development credits in the amount of $2.2</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effective tax rate for the nine months ended September 30, 2023 and 2022</w:t>
      </w:r>
      <w:r>
        <w:rPr>
          <w:rFonts w:ascii="Times New Roman" w:hAnsi="Times New Roman"/>
          <w:color w:val="000000"/>
          <w:sz w:val="20"/>
        </w:rPr>
        <w:t xml:space="preserve"> </w:t>
      </w:r>
      <w:r>
        <w:rPr>
          <w:rFonts w:ascii="Times New Roman" w:hAnsi="Times New Roman"/>
          <w:b w:val="false"/>
          <w:color w:val="000000"/>
          <w:sz w:val="20"/>
        </w:rPr>
        <w:t>was 1.1% and 25.4%, respectively. The effective tax rate for nine months ended September 30, 2023 was lower than the effective tax rate for nine months ended September 30, 2022</w:t>
      </w:r>
      <w:r>
        <w:rPr>
          <w:rFonts w:ascii="Times New Roman" w:hAnsi="Times New Roman"/>
          <w:color w:val="000000"/>
          <w:sz w:val="20"/>
        </w:rPr>
        <w:t xml:space="preserve"> </w:t>
      </w:r>
      <w:r>
        <w:rPr>
          <w:rFonts w:ascii="Times New Roman" w:hAnsi="Times New Roman"/>
          <w:b w:val="false"/>
          <w:color w:val="000000"/>
          <w:sz w:val="20"/>
        </w:rPr>
        <w:t>primarily due to the tax benefits received related to share-based compensation expense in the amount of $3.9</w:t>
      </w:r>
      <w:r>
        <w:rPr>
          <w:rFonts w:ascii="Times New Roman" w:hAnsi="Times New Roman"/>
          <w:color w:val="000000"/>
          <w:sz w:val="20"/>
        </w:rPr>
        <w:t xml:space="preserve"> </w:t>
      </w:r>
      <w:r>
        <w:rPr>
          <w:rFonts w:ascii="Times New Roman" w:hAnsi="Times New Roman"/>
          <w:b w:val="false"/>
          <w:color w:val="000000"/>
          <w:sz w:val="20"/>
        </w:rPr>
        <w:t>million, the impairment of certain intangible assets in the amount of $1.3</w:t>
      </w:r>
      <w:r>
        <w:rPr>
          <w:rFonts w:ascii="Times New Roman" w:hAnsi="Times New Roman"/>
          <w:color w:val="000000"/>
          <w:sz w:val="20"/>
        </w:rPr>
        <w:t xml:space="preserve"> </w:t>
      </w:r>
      <w:r>
        <w:rPr>
          <w:rFonts w:ascii="Times New Roman" w:hAnsi="Times New Roman"/>
          <w:b w:val="false"/>
          <w:color w:val="000000"/>
          <w:sz w:val="20"/>
        </w:rPr>
        <w:t>million, and a return to provision adjustment related to estimated research and development credits in the amount of $2.2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made income tax payments of $7.4</w:t>
      </w:r>
      <w:r>
        <w:rPr>
          <w:rFonts w:ascii="Times New Roman" w:hAnsi="Times New Roman"/>
          <w:color w:val="000000"/>
          <w:sz w:val="20"/>
        </w:rPr>
        <w:t xml:space="preserve"> </w:t>
      </w:r>
      <w:r>
        <w:rPr>
          <w:rFonts w:ascii="Times New Roman" w:hAnsi="Times New Roman"/>
          <w:b w:val="false"/>
          <w:color w:val="000000"/>
          <w:sz w:val="20"/>
        </w:rPr>
        <w:t>million and $16.6</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 The Company received negligible refunds from various states during the three months ended September 30, 2023 and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made income tax payments of $27.4</w:t>
      </w:r>
      <w:r>
        <w:rPr>
          <w:rFonts w:ascii="Times New Roman" w:hAnsi="Times New Roman"/>
          <w:color w:val="000000"/>
          <w:sz w:val="20"/>
        </w:rPr>
        <w:t xml:space="preserve"> </w:t>
      </w:r>
      <w:r>
        <w:rPr>
          <w:rFonts w:ascii="Times New Roman" w:hAnsi="Times New Roman"/>
          <w:b w:val="false"/>
          <w:color w:val="000000"/>
          <w:sz w:val="20"/>
        </w:rPr>
        <w:t>million and $55.5</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 The Company received refunds from various states totaling $39</w:t>
      </w:r>
      <w:r>
        <w:rPr>
          <w:rFonts w:ascii="Times New Roman" w:hAnsi="Times New Roman"/>
          <w:color w:val="000000"/>
          <w:sz w:val="20"/>
        </w:rPr>
        <w:t xml:space="preserve"> </w:t>
      </w:r>
      <w:r>
        <w:rPr>
          <w:rFonts w:ascii="Times New Roman" w:hAnsi="Times New Roman"/>
          <w:b w:val="false"/>
          <w:color w:val="000000"/>
          <w:sz w:val="20"/>
        </w:rPr>
        <w:t>thousand and $50</w:t>
      </w:r>
      <w:r>
        <w:rPr>
          <w:rFonts w:ascii="Times New Roman" w:hAnsi="Times New Roman"/>
          <w:color w:val="000000"/>
          <w:sz w:val="20"/>
        </w:rPr>
        <w:t xml:space="preserve"> </w:t>
      </w:r>
      <w:r>
        <w:rPr>
          <w:rFonts w:ascii="Times New Roman" w:hAnsi="Times New Roman"/>
          <w:b w:val="false"/>
          <w:color w:val="000000"/>
          <w:sz w:val="20"/>
        </w:rPr>
        <w:t>thousand for the nine months ended September 30, 2023 and 2022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unrecognized tax benefits were materially consistent with the amount as of December 31, 2022. The Company believes its liability for unrecognized tax benefits, excluding interest and penalties, will not significantly change over the following twelve months.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7.</w:t>
      </w:r>
    </w:p>
    <w:p>
      <w:pPr>
        <w:pStyle w:val="TextBody"/>
        <w:bidi w:val="0"/>
        <w:spacing w:before="360" w:after="283"/>
        <w:jc w:val="left"/>
        <w:rPr>
          <w:rFonts w:ascii="Times New Roman" w:hAnsi="Times New Roman"/>
          <w:sz w:val="20"/>
        </w:rPr>
      </w:pPr>
      <w:r>
        <w:rPr>
          <w:rFonts w:ascii="Times New Roman" w:hAnsi="Times New Roman"/>
          <w:b/>
          <w:caps/>
          <w:color w:val="000000"/>
          <w:sz w:val="20"/>
        </w:rPr>
        <w:t>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Accounts receivable–Net as of September 30, 2023 and December 31, 2022, consists of the following (in thousands):</w:t>
      </w:r>
      <w:r>
        <w:rPr>
          <w:rFonts w:ascii="Times New Roman" w:hAnsi="Times New Roman"/>
          <w:color w:val="000000"/>
          <w:sz w:val="20"/>
        </w:rPr>
        <w:t xml:space="preserve"> </w:t>
      </w:r>
    </w:p>
    <w:p>
      <w:pPr>
        <w:pStyle w:val="TextBody"/>
        <w:bidi w:val="0"/>
        <w:jc w:val="left"/>
        <w:rPr/>
      </w:pPr>
      <w:r>
        <w:rPr/>
        <w:t> </w:t>
      </w:r>
    </w:p>
    <w:tbl>
      <w:tblPr>
        <w:tblW w:w="7480" w:type="dxa"/>
        <w:jc w:val="left"/>
        <w:tblInd w:w="0" w:type="dxa"/>
        <w:tblLayout w:type="fixed"/>
        <w:tblCellMar>
          <w:top w:w="28" w:type="dxa"/>
          <w:left w:w="28" w:type="dxa"/>
          <w:bottom w:w="28" w:type="dxa"/>
          <w:right w:w="28" w:type="dxa"/>
        </w:tblCellMar>
      </w:tblPr>
      <w:tblGrid>
        <w:gridCol w:w="4246"/>
        <w:gridCol w:w="146"/>
        <w:gridCol w:w="276"/>
        <w:gridCol w:w="1029"/>
        <w:gridCol w:w="166"/>
        <w:gridCol w:w="146"/>
        <w:gridCol w:w="268"/>
        <w:gridCol w:w="992"/>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122,851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103,692</w:t>
            </w:r>
          </w:p>
        </w:tc>
        <w:tc>
          <w:tcPr>
            <w:tcW w:w="21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Allowance for doubtful accounts and sales reserves</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receivable–net</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98,353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As of September 30, 2023, one customer accounted for 16% and another customer accounted for 12% of accounts receivable. As of December 31, 2022, one customer accounted for 11% of accounts receivable.</w:t>
      </w:r>
    </w:p>
    <w:p>
      <w:pPr>
        <w:pStyle w:val="TextBody"/>
        <w:bidi w:val="0"/>
        <w:spacing w:before="0" w:after="120"/>
        <w:jc w:val="left"/>
        <w:rPr>
          <w:rFonts w:ascii="Times New Roman" w:hAnsi="Times New Roman"/>
          <w:sz w:val="20"/>
        </w:rPr>
      </w:pPr>
      <w:r>
        <w:rPr>
          <w:rFonts w:ascii="Times New Roman" w:hAnsi="Times New Roman"/>
          <w:b w:val="false"/>
          <w:color w:val="000000"/>
          <w:sz w:val="20"/>
        </w:rPr>
        <w:t>Changes to the allowance for doubtful accounts and sales reserves during the three and nine months ended September 30, 2023 and 2022 consist of the following (in thousands):</w:t>
      </w:r>
      <w:r>
        <w:rPr>
          <w:rFonts w:ascii="Times New Roman" w:hAnsi="Times New Roman"/>
          <w:color w:val="000000"/>
          <w:sz w:val="20"/>
        </w:rPr>
        <w:t xml:space="preserve"> </w:t>
      </w:r>
    </w:p>
    <w:tbl>
      <w:tblPr>
        <w:tblW w:w="9005" w:type="dxa"/>
        <w:jc w:val="left"/>
        <w:tblInd w:w="0" w:type="dxa"/>
        <w:tblLayout w:type="fixed"/>
        <w:tblCellMar>
          <w:top w:w="28" w:type="dxa"/>
          <w:left w:w="28" w:type="dxa"/>
          <w:bottom w:w="28" w:type="dxa"/>
          <w:right w:w="28" w:type="dxa"/>
        </w:tblCellMar>
      </w:tblPr>
      <w:tblGrid>
        <w:gridCol w:w="3311"/>
        <w:gridCol w:w="146"/>
        <w:gridCol w:w="285"/>
        <w:gridCol w:w="771"/>
        <w:gridCol w:w="224"/>
        <w:gridCol w:w="197"/>
        <w:gridCol w:w="285"/>
        <w:gridCol w:w="771"/>
        <w:gridCol w:w="166"/>
        <w:gridCol w:w="146"/>
        <w:gridCol w:w="255"/>
        <w:gridCol w:w="763"/>
        <w:gridCol w:w="200"/>
        <w:gridCol w:w="176"/>
        <w:gridCol w:w="255"/>
        <w:gridCol w:w="763"/>
        <w:gridCol w:w="291"/>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291" w:type="dxa"/>
            <w:tcBorders/>
            <w:shd w:fill="FFFFFF" w:val="clear"/>
            <w:vAlign w:val="center"/>
          </w:tcPr>
          <w:p>
            <w:pPr>
              <w:pStyle w:val="TableContents"/>
              <w:bidi w:val="0"/>
              <w:spacing w:before="0" w:after="283"/>
              <w:jc w:val="center"/>
              <w:rPr/>
            </w:pPr>
            <w:r>
              <w:rPr/>
              <w:t> </w:t>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5,874</w:t>
            </w:r>
          </w:p>
        </w:tc>
        <w:tc>
          <w:tcPr>
            <w:tcW w:w="224"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right"/>
              <w:rPr/>
            </w:pPr>
            <w:r>
              <w:rPr/>
              <w:t> </w:t>
            </w:r>
          </w:p>
        </w:tc>
        <w:tc>
          <w:tcPr>
            <w:tcW w:w="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5,339</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3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Charges to bad debt and sales reserves</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22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5,302</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Write-offs, net</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(972</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7" w:type="dxa"/>
            <w:tcBorders/>
            <w:shd w:fill="CFF0FC" w:val="cle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(5,589</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5,052</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5,052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8.</w:t>
      </w:r>
    </w:p>
    <w:p>
      <w:pPr>
        <w:pStyle w:val="TextBody"/>
        <w:bidi w:val="0"/>
        <w:spacing w:before="160" w:after="283"/>
        <w:jc w:val="left"/>
        <w:rPr>
          <w:rFonts w:ascii="Times New Roman" w:hAnsi="Times New Roman"/>
          <w:sz w:val="20"/>
        </w:rPr>
      </w:pPr>
      <w:r>
        <w:rPr>
          <w:rFonts w:ascii="Times New Roman" w:hAnsi="Times New Roman"/>
          <w:b/>
          <w:caps/>
          <w:color w:val="000000"/>
          <w:sz w:val="20"/>
        </w:rPr>
        <w:t>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current assets as of September 30, 2023 and December 31, 2022 consists of the following (in thousands):</w:t>
      </w:r>
      <w:r>
        <w:rPr>
          <w:rFonts w:ascii="Times New Roman" w:hAnsi="Times New Roman"/>
          <w:color w:val="000000"/>
          <w:sz w:val="20"/>
        </w:rPr>
        <w:t xml:space="preserve"> </w:t>
      </w:r>
    </w:p>
    <w:p>
      <w:pPr>
        <w:pStyle w:val="TextBody"/>
        <w:bidi w:val="0"/>
        <w:jc w:val="left"/>
        <w:rPr/>
      </w:pPr>
      <w:r>
        <w:rPr/>
        <w:t> </w:t>
      </w:r>
    </w:p>
    <w:tbl>
      <w:tblPr>
        <w:tblW w:w="7347" w:type="dxa"/>
        <w:jc w:val="left"/>
        <w:tblInd w:w="0" w:type="dxa"/>
        <w:tblLayout w:type="fixed"/>
        <w:tblCellMar>
          <w:top w:w="28" w:type="dxa"/>
          <w:left w:w="28" w:type="dxa"/>
          <w:bottom w:w="28" w:type="dxa"/>
          <w:right w:w="28" w:type="dxa"/>
        </w:tblCellMar>
      </w:tblPr>
      <w:tblGrid>
        <w:gridCol w:w="3796"/>
        <w:gridCol w:w="146"/>
        <w:gridCol w:w="310"/>
        <w:gridCol w:w="995"/>
        <w:gridCol w:w="146"/>
        <w:gridCol w:w="211"/>
        <w:gridCol w:w="146"/>
        <w:gridCol w:w="146"/>
        <w:gridCol w:w="299"/>
        <w:gridCol w:w="96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3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SaaS costs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7,863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7,423</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service fees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6,492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5,268</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4,062</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software and equipment maintenance</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7,638</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Non-trade receivables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current assets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u w:val="single"/>
              </w:rPr>
            </w:pPr>
            <w:r>
              <w:rPr>
                <w:rFonts w:ascii="Times New Roman" w:hAnsi="Times New Roman"/>
                <w:b w:val="false"/>
                <w:color w:val="000000"/>
                <w:sz w:val="20"/>
                <w:u w:val="single"/>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9.</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SOFTWARE, EQUIPMENT, AND PROPERTY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Software, equipment, and property as of September 30, 2023 and December 31, 2022 consists of the following (in thousands):</w:t>
      </w:r>
      <w:r>
        <w:rPr>
          <w:rFonts w:ascii="Times New Roman" w:hAnsi="Times New Roman"/>
          <w:color w:val="000000"/>
          <w:sz w:val="20"/>
        </w:rPr>
        <w:t xml:space="preserve"> </w:t>
      </w:r>
    </w:p>
    <w:p>
      <w:pPr>
        <w:pStyle w:val="TextBody"/>
        <w:bidi w:val="0"/>
        <w:jc w:val="left"/>
        <w:rPr/>
      </w:pPr>
      <w:r>
        <w:rPr/>
        <w:t> </w:t>
      </w:r>
    </w:p>
    <w:tbl>
      <w:tblPr>
        <w:tblW w:w="7465" w:type="dxa"/>
        <w:jc w:val="left"/>
        <w:tblInd w:w="0" w:type="dxa"/>
        <w:tblLayout w:type="fixed"/>
        <w:tblCellMar>
          <w:top w:w="28" w:type="dxa"/>
          <w:left w:w="28" w:type="dxa"/>
          <w:bottom w:w="28" w:type="dxa"/>
          <w:right w:w="28" w:type="dxa"/>
        </w:tblCellMar>
      </w:tblPr>
      <w:tblGrid>
        <w:gridCol w:w="4051"/>
        <w:gridCol w:w="146"/>
        <w:gridCol w:w="261"/>
        <w:gridCol w:w="1044"/>
        <w:gridCol w:w="166"/>
        <w:gridCol w:w="146"/>
        <w:gridCol w:w="268"/>
        <w:gridCol w:w="992"/>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 licenses and database</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175,616</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33,043</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30,430</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Building and land</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4,910</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other equipment</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software, equipment, and property</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281,344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245,477</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(99,034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 equipment, and property—Net</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146,443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Depreciation and amortization expense related to software, equipment and property was $10.1</w:t>
      </w:r>
      <w:r>
        <w:rPr>
          <w:rFonts w:ascii="Times New Roman" w:hAnsi="Times New Roman"/>
          <w:color w:val="000000"/>
          <w:sz w:val="20"/>
        </w:rPr>
        <w:t xml:space="preserve"> </w:t>
      </w:r>
      <w:r>
        <w:rPr>
          <w:rFonts w:ascii="Times New Roman" w:hAnsi="Times New Roman"/>
          <w:b w:val="false"/>
          <w:color w:val="000000"/>
          <w:sz w:val="20"/>
        </w:rPr>
        <w:t>million and $6.7</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Depreciation and amortization expense related to software, equipment and property was</w:t>
      </w:r>
      <w:r>
        <w:rPr>
          <w:rFonts w:ascii="Times New Roman" w:hAnsi="Times New Roman"/>
          <w:color w:val="000000"/>
          <w:sz w:val="20"/>
        </w:rPr>
        <w:t xml:space="preserve"> </w:t>
      </w:r>
      <w:r>
        <w:rPr>
          <w:rFonts w:ascii="Times New Roman" w:hAnsi="Times New Roman"/>
          <w:b w:val="false"/>
          <w:color w:val="000000"/>
          <w:sz w:val="20"/>
        </w:rPr>
        <w:t>$28.0</w:t>
      </w:r>
      <w:r>
        <w:rPr>
          <w:rFonts w:ascii="Times New Roman" w:hAnsi="Times New Roman"/>
          <w:color w:val="000000"/>
          <w:sz w:val="20"/>
        </w:rPr>
        <w:t xml:space="preserve"> </w:t>
      </w:r>
      <w:r>
        <w:rPr>
          <w:rFonts w:ascii="Times New Roman" w:hAnsi="Times New Roman"/>
          <w:b w:val="false"/>
          <w:color w:val="000000"/>
          <w:sz w:val="20"/>
        </w:rPr>
        <w:t>million and $20.2</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leases real estate in the form of office space and data center facilities. Generally, at the inception of the contract, the term for real estate leases ranges from 1</w:t>
      </w:r>
      <w:r>
        <w:rPr>
          <w:rFonts w:ascii="Times New Roman" w:hAnsi="Times New Roman"/>
          <w:color w:val="000000"/>
          <w:sz w:val="20"/>
        </w:rPr>
        <w:t xml:space="preserve"> </w:t>
      </w:r>
      <w:r>
        <w:rPr>
          <w:rFonts w:ascii="Times New Roman" w:hAnsi="Times New Roman"/>
          <w:b w:val="false"/>
          <w:color w:val="000000"/>
          <w:sz w:val="20"/>
        </w:rPr>
        <w:t>to 17</w:t>
      </w:r>
      <w:r>
        <w:rPr>
          <w:rFonts w:ascii="Times New Roman" w:hAnsi="Times New Roman"/>
          <w:color w:val="000000"/>
          <w:sz w:val="20"/>
        </w:rPr>
        <w:t xml:space="preserve"> </w:t>
      </w:r>
      <w:r>
        <w:rPr>
          <w:rFonts w:ascii="Times New Roman" w:hAnsi="Times New Roman"/>
          <w:b w:val="false"/>
          <w:color w:val="000000"/>
          <w:sz w:val="20"/>
        </w:rPr>
        <w:t>years and the term for equipment leases is 1</w:t>
      </w:r>
      <w:r>
        <w:rPr>
          <w:rFonts w:ascii="Times New Roman" w:hAnsi="Times New Roman"/>
          <w:color w:val="000000"/>
          <w:sz w:val="20"/>
        </w:rPr>
        <w:t xml:space="preserve"> </w:t>
      </w:r>
      <w:r>
        <w:rPr>
          <w:rFonts w:ascii="Times New Roman" w:hAnsi="Times New Roman"/>
          <w:b w:val="false"/>
          <w:color w:val="000000"/>
          <w:sz w:val="20"/>
        </w:rPr>
        <w:t>to 3</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r>
        <w:rPr>
          <w:rFonts w:ascii="Times New Roman" w:hAnsi="Times New Roman"/>
          <w:b w:val="false"/>
          <w:color w:val="000000"/>
          <w:sz w:val="20"/>
        </w:rPr>
        <w:t>Some real estate leases include options to renew that can extend the original term by 3</w:t>
      </w:r>
      <w:r>
        <w:rPr>
          <w:rFonts w:ascii="Times New Roman" w:hAnsi="Times New Roman"/>
          <w:color w:val="000000"/>
          <w:sz w:val="20"/>
        </w:rPr>
        <w:t xml:space="preserve"> </w:t>
      </w:r>
      <w:r>
        <w:rPr>
          <w:rFonts w:ascii="Times New Roman" w:hAnsi="Times New Roman"/>
          <w:b w:val="false"/>
          <w:color w:val="000000"/>
          <w:sz w:val="20"/>
        </w:rPr>
        <w:t>to 5</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components of lease expense for the three and nine months ended September 30, 2023 and 2022 were as follows (in thousands):</w:t>
      </w:r>
    </w:p>
    <w:tbl>
      <w:tblPr>
        <w:tblW w:w="7608" w:type="dxa"/>
        <w:jc w:val="left"/>
        <w:tblInd w:w="0" w:type="dxa"/>
        <w:tblLayout w:type="fixed"/>
        <w:tblCellMar>
          <w:top w:w="28" w:type="dxa"/>
          <w:left w:w="28" w:type="dxa"/>
          <w:bottom w:w="28" w:type="dxa"/>
          <w:right w:w="28" w:type="dxa"/>
        </w:tblCellMar>
      </w:tblPr>
      <w:tblGrid>
        <w:gridCol w:w="1831"/>
        <w:gridCol w:w="146"/>
        <w:gridCol w:w="288"/>
        <w:gridCol w:w="780"/>
        <w:gridCol w:w="199"/>
        <w:gridCol w:w="199"/>
        <w:gridCol w:w="288"/>
        <w:gridCol w:w="780"/>
        <w:gridCol w:w="146"/>
        <w:gridCol w:w="146"/>
        <w:gridCol w:w="274"/>
        <w:gridCol w:w="743"/>
        <w:gridCol w:w="190"/>
        <w:gridCol w:w="190"/>
        <w:gridCol w:w="274"/>
        <w:gridCol w:w="743"/>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1,361</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4,350</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7,545</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2,782</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7,132</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made cash payments for operating leases of $1.8</w:t>
      </w:r>
      <w:r>
        <w:rPr>
          <w:rFonts w:ascii="Times New Roman" w:hAnsi="Times New Roman"/>
          <w:color w:val="000000"/>
          <w:sz w:val="20"/>
        </w:rPr>
        <w:t xml:space="preserve"> </w:t>
      </w:r>
      <w:r>
        <w:rPr>
          <w:rFonts w:ascii="Times New Roman" w:hAnsi="Times New Roman"/>
          <w:b w:val="false"/>
          <w:color w:val="000000"/>
          <w:sz w:val="20"/>
        </w:rPr>
        <w:t>million and $1.3</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made cash payments for operating leases of $3.8</w:t>
      </w:r>
      <w:r>
        <w:rPr>
          <w:rFonts w:ascii="Times New Roman" w:hAnsi="Times New Roman"/>
          <w:color w:val="000000"/>
          <w:sz w:val="20"/>
        </w:rPr>
        <w:t xml:space="preserve"> </w:t>
      </w:r>
      <w:r>
        <w:rPr>
          <w:rFonts w:ascii="Times New Roman" w:hAnsi="Times New Roman"/>
          <w:b w:val="false"/>
          <w:color w:val="000000"/>
          <w:sz w:val="20"/>
        </w:rPr>
        <w:t>million and $7.0</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11.</w:t>
      </w:r>
    </w:p>
    <w:p>
      <w:pPr>
        <w:pStyle w:val="TextBody"/>
        <w:bidi w:val="0"/>
        <w:spacing w:before="360" w:after="283"/>
        <w:jc w:val="left"/>
        <w:rPr>
          <w:rFonts w:ascii="Times New Roman" w:hAnsi="Times New Roman"/>
          <w:sz w:val="20"/>
        </w:rPr>
      </w:pPr>
      <w:r>
        <w:rPr>
          <w:rFonts w:ascii="Times New Roman" w:hAnsi="Times New Roman"/>
          <w:b/>
          <w:caps/>
          <w:color w:val="000000"/>
          <w:sz w:val="20"/>
        </w:rPr>
        <w:t>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Goodwill and intangible assets are primarily the result of business acquisitions.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Goodwill</w:t>
      </w:r>
      <w:r>
        <w:rPr>
          <w:rFonts w:ascii="Times New Roman" w:hAnsi="Times New Roman"/>
          <w:color w:val="000000"/>
          <w:sz w:val="20"/>
        </w:rPr>
        <w:t>—</w:t>
      </w:r>
      <w:r>
        <w:rPr>
          <w:rFonts w:ascii="Times New Roman" w:hAnsi="Times New Roman"/>
          <w:b w:val="false"/>
          <w:color w:val="000000"/>
          <w:sz w:val="20"/>
        </w:rPr>
        <w:t>During May 2023, we evaluated goodwill for impairment, due to the events described below, which indicated that the carrying amount of the China reporting unit was in excess of its estimated fair value.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China reporting unit experienced adverse impacts as a result of changes in market conditions and increases in interest rates, which contributed to reduced forecasted revenues and reduced projected future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a result of these adverse impacts, the Company performed a quantitative assessment of goodwill impairment by comparing the fair value of its China reporting unit to its carrying value, including goodwill. When performing the assessment, the Company determined the fair value of its China reporting unit based on forecasted future cash flows. Based on the Company's forecast of the future cash flows of its China reporting unit, it was determined the carrying value of goodwill for its China reporting unit was impaired during the three months ended June 30, 2023. As a result, the Company recorded a goodwill impairment charge of $77.4</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w:t>
      </w:r>
      <w:r>
        <w:rPr>
          <w:rFonts w:ascii="Times New Roman" w:hAnsi="Times New Roman"/>
          <w:color w:val="000000"/>
          <w:sz w:val="20"/>
        </w:rPr>
        <w:t xml:space="preserve"> </w:t>
      </w:r>
      <w:r>
        <w:rPr>
          <w:rFonts w:ascii="Times New Roman" w:hAnsi="Times New Roman"/>
          <w:b w:val="false"/>
          <w:color w:val="000000"/>
          <w:sz w:val="20"/>
        </w:rPr>
        <w:t>goodwill impairments were recorded during the three months ended September 30, 2023 or during the three and nine months ended September 30,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used a quantitative approach to measure the fair value of its China reporting unit using a discounted cash flow approach, which is a Level 3 measurement. The discounted cash flow analysis requires significant judgments, including estimates of future cash flows, which are dependent on internal forecasts and determination of the Company’s weighted average cost of capital, which is risk-adjusted to reflect the specific risk profile of the reporting unit being tested. The weighted average cost of capital used for the China reporting unit in the Company’s analysis was 12.5%.</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presents the gross amount, accumulated impairment loss and carrying amount of goodwill as of September 30, 2023 and December 31, 2022 (in thousands):</w:t>
      </w:r>
    </w:p>
    <w:tbl>
      <w:tblPr>
        <w:tblW w:w="8106" w:type="dxa"/>
        <w:jc w:val="left"/>
        <w:tblInd w:w="0" w:type="dxa"/>
        <w:tblLayout w:type="fixed"/>
        <w:tblCellMar>
          <w:top w:w="28" w:type="dxa"/>
          <w:left w:w="28" w:type="dxa"/>
          <w:bottom w:w="28" w:type="dxa"/>
          <w:right w:w="28" w:type="dxa"/>
        </w:tblCellMar>
      </w:tblPr>
      <w:tblGrid>
        <w:gridCol w:w="2966"/>
        <w:gridCol w:w="232"/>
        <w:gridCol w:w="1028"/>
        <w:gridCol w:w="146"/>
        <w:gridCol w:w="146"/>
        <w:gridCol w:w="290"/>
        <w:gridCol w:w="1165"/>
        <w:gridCol w:w="166"/>
        <w:gridCol w:w="146"/>
        <w:gridCol w:w="282"/>
        <w:gridCol w:w="1248"/>
        <w:gridCol w:w="291"/>
      </w:tblGrid>
      <w:tr>
        <w:trPr/>
        <w:tc>
          <w:tcPr>
            <w:tcW w:w="29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Net</w:t>
            </w:r>
          </w:p>
        </w:tc>
        <w:tc>
          <w:tcPr>
            <w:tcW w:w="291" w:type="dxa"/>
            <w:tcBorders/>
            <w:shd w:fill="FFFFFF" w:val="clear"/>
            <w:vAlign w:val="center"/>
          </w:tcPr>
          <w:p>
            <w:pPr>
              <w:pStyle w:val="TableContents"/>
              <w:bidi w:val="0"/>
              <w:spacing w:before="0" w:after="283"/>
              <w:jc w:val="center"/>
              <w:rPr/>
            </w:pPr>
            <w:r>
              <w:rPr/>
              <w:t> </w:t>
            </w:r>
          </w:p>
        </w:tc>
      </w:tr>
      <w:tr>
        <w:trPr/>
        <w:tc>
          <w:tcPr>
            <w:tcW w:w="296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Impairment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Carrying 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9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as of December 31, 2022</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1,520,926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(25,797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1,495,129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9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Balance as of September 30, 2023</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1,520,926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(103,202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1,417,724</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accumulated impairment loss as of December 31, 2022 was recognized during the year ended December 31, 2019.</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Changes in the carrying amount of goodwill during the nine months ended September 30, 2023 were as follows (in thousands):</w:t>
      </w:r>
    </w:p>
    <w:tbl>
      <w:tblPr>
        <w:tblW w:w="4365" w:type="dxa"/>
        <w:jc w:val="left"/>
        <w:tblInd w:w="0" w:type="dxa"/>
        <w:tblLayout w:type="fixed"/>
        <w:tblCellMar>
          <w:top w:w="28" w:type="dxa"/>
          <w:left w:w="28" w:type="dxa"/>
          <w:bottom w:w="28" w:type="dxa"/>
          <w:right w:w="28" w:type="dxa"/>
        </w:tblCellMar>
      </w:tblPr>
      <w:tblGrid>
        <w:gridCol w:w="2866"/>
        <w:gridCol w:w="146"/>
        <w:gridCol w:w="211"/>
        <w:gridCol w:w="931"/>
        <w:gridCol w:w="2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211" w:type="dxa"/>
            <w:tcBorders/>
            <w:shd w:fill="FFFFFF" w:val="clear"/>
            <w:vAlign w:val="center"/>
          </w:tcPr>
          <w:p>
            <w:pPr>
              <w:pStyle w:val="TableContents"/>
              <w:bidi w:val="0"/>
              <w:spacing w:before="0" w:after="283"/>
              <w:jc w:val="center"/>
              <w:rPr/>
            </w:pPr>
            <w:r>
              <w:rPr/>
              <w:t> </w:t>
            </w:r>
          </w:p>
        </w:tc>
      </w:tr>
      <w:tr>
        <w:trPr/>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211" w:type="dxa"/>
            <w:tcBorders/>
            <w:shd w:fill="FFFFFF" w:val="clear"/>
            <w:vAlign w:val="center"/>
          </w:tcPr>
          <w:p>
            <w:pPr>
              <w:pStyle w:val="TableContents"/>
              <w:bidi w:val="0"/>
              <w:spacing w:before="0" w:after="283"/>
              <w:jc w:val="center"/>
              <w:rPr/>
            </w:pPr>
            <w:r>
              <w:rPr/>
              <w:t> </w:t>
            </w:r>
          </w:p>
        </w:tc>
      </w:tr>
      <w:tr>
        <w:trPr/>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December 31, 2022</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1,495,129</w:t>
            </w:r>
          </w:p>
        </w:tc>
        <w:tc>
          <w:tcPr>
            <w:tcW w:w="21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Impairment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September 30, 2023</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1,417,724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val="false"/>
          <w:i/>
          <w:color w:val="000000"/>
          <w:sz w:val="20"/>
        </w:rPr>
        <w:t>Intangible Assets</w:t>
      </w:r>
      <w:r>
        <w:rPr>
          <w:rFonts w:ascii="Times New Roman" w:hAnsi="Times New Roman"/>
          <w:color w:val="000000"/>
          <w:sz w:val="20"/>
        </w:rPr>
        <w:t>—</w:t>
      </w:r>
      <w:r>
        <w:rPr>
          <w:rFonts w:ascii="Times New Roman" w:hAnsi="Times New Roman"/>
          <w:b w:val="false"/>
          <w:color w:val="000000"/>
          <w:sz w:val="20"/>
        </w:rPr>
        <w:t>During May 2023, the Company recorded an impairment charge to its China reporting unit's customer relationships and acquired technologies intangible assets. The Company's forecast of the revenue and expense cash flow of the China reporting unit indicated the carrying amounts of the intangible assets were not recoverable and therefore the Company recorded an impairment charge of $5.3</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No</w:t>
      </w:r>
      <w:r>
        <w:rPr>
          <w:rFonts w:ascii="Times New Roman" w:hAnsi="Times New Roman"/>
          <w:color w:val="000000"/>
          <w:sz w:val="20"/>
        </w:rPr>
        <w:t xml:space="preserve"> </w:t>
      </w:r>
      <w:r>
        <w:rPr>
          <w:rFonts w:ascii="Times New Roman" w:hAnsi="Times New Roman"/>
          <w:b w:val="false"/>
          <w:color w:val="000000"/>
          <w:sz w:val="20"/>
        </w:rPr>
        <w:t>intangible asset impairments were recorded during the three months ended September 30, 2023 or during the three and nine months ended September 30, 2022.</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intangible assets balance as of September 30, 2023 is reflected below (in thousands):</w:t>
      </w:r>
      <w:r>
        <w:rPr>
          <w:rFonts w:ascii="Times New Roman" w:hAnsi="Times New Roman"/>
          <w:color w:val="000000"/>
          <w:sz w:val="20"/>
        </w:rPr>
        <w:t xml:space="preserve"> </w:t>
      </w:r>
    </w:p>
    <w:tbl>
      <w:tblPr>
        <w:tblW w:w="10082" w:type="dxa"/>
        <w:jc w:val="left"/>
        <w:tblInd w:w="0" w:type="dxa"/>
        <w:tblLayout w:type="fixed"/>
        <w:tblCellMar>
          <w:top w:w="28" w:type="dxa"/>
          <w:left w:w="28" w:type="dxa"/>
          <w:bottom w:w="28" w:type="dxa"/>
          <w:right w:w="28" w:type="dxa"/>
        </w:tblCellMar>
      </w:tblPr>
      <w:tblGrid>
        <w:gridCol w:w="2571"/>
        <w:gridCol w:w="146"/>
        <w:gridCol w:w="321"/>
        <w:gridCol w:w="699"/>
        <w:gridCol w:w="146"/>
        <w:gridCol w:w="146"/>
        <w:gridCol w:w="246"/>
        <w:gridCol w:w="790"/>
        <w:gridCol w:w="146"/>
        <w:gridCol w:w="146"/>
        <w:gridCol w:w="211"/>
        <w:gridCol w:w="931"/>
        <w:gridCol w:w="146"/>
        <w:gridCol w:w="146"/>
        <w:gridCol w:w="248"/>
        <w:gridCol w:w="998"/>
        <w:gridCol w:w="166"/>
        <w:gridCol w:w="146"/>
        <w:gridCol w:w="211"/>
        <w:gridCol w:w="931"/>
        <w:gridCol w:w="591"/>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1,291,830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(461,112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830,718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Acquired technologies</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w:t>
            </w:r>
            <w:r>
              <w:rPr>
                <w:rFonts w:ascii="Times New Roman" w:hAnsi="Times New Roman"/>
                <w:color w:val="000000"/>
                <w:sz w:val="20"/>
              </w:rPr>
              <w:t>–</w:t>
            </w:r>
            <w:r>
              <w:rPr>
                <w:rFonts w:ascii="Times New Roman" w:hAnsi="Times New Roman"/>
                <w:b w:val="false"/>
                <w:color w:val="000000"/>
                <w:sz w:val="20"/>
              </w:rPr>
              <w:t>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184,640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Subtotal</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1,476,470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(627,385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849,085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Trademarks—indefinite life</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190,470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1,666,940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1,039,555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val="false"/>
          <w:color w:val="000000"/>
          <w:sz w:val="20"/>
        </w:rPr>
        <w:t>The intangible assets balance as of December 31, 2022 is reflected below (in thousands):</w:t>
      </w:r>
      <w:r>
        <w:rPr>
          <w:rFonts w:ascii="Times New Roman" w:hAnsi="Times New Roman"/>
          <w:color w:val="000000"/>
          <w:sz w:val="20"/>
        </w:rPr>
        <w:t xml:space="preserve"> </w:t>
      </w:r>
    </w:p>
    <w:tbl>
      <w:tblPr>
        <w:tblW w:w="9937" w:type="dxa"/>
        <w:jc w:val="left"/>
        <w:tblInd w:w="0" w:type="dxa"/>
        <w:tblLayout w:type="fixed"/>
        <w:tblCellMar>
          <w:top w:w="28" w:type="dxa"/>
          <w:left w:w="28" w:type="dxa"/>
          <w:bottom w:w="28" w:type="dxa"/>
          <w:right w:w="28" w:type="dxa"/>
        </w:tblCellMar>
      </w:tblPr>
      <w:tblGrid>
        <w:gridCol w:w="2571"/>
        <w:gridCol w:w="146"/>
        <w:gridCol w:w="1021"/>
        <w:gridCol w:w="146"/>
        <w:gridCol w:w="246"/>
        <w:gridCol w:w="790"/>
        <w:gridCol w:w="146"/>
        <w:gridCol w:w="146"/>
        <w:gridCol w:w="211"/>
        <w:gridCol w:w="931"/>
        <w:gridCol w:w="146"/>
        <w:gridCol w:w="146"/>
        <w:gridCol w:w="248"/>
        <w:gridCol w:w="998"/>
        <w:gridCol w:w="166"/>
        <w:gridCol w:w="146"/>
        <w:gridCol w:w="211"/>
        <w:gridCol w:w="931"/>
        <w:gridCol w:w="591"/>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16</w:t>
            </w:r>
            <w:r>
              <w:rPr>
                <w:rFonts w:ascii="Times New Roman" w:hAnsi="Times New Roman"/>
                <w:color w:val="000000"/>
                <w:sz w:val="20"/>
              </w:rPr>
              <w:t>–</w:t>
            </w:r>
            <w:r>
              <w:rPr>
                <w:rFonts w:ascii="Times New Roman" w:hAnsi="Times New Roman"/>
                <w:b w:val="false"/>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1,299,750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(410,095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889,655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Acquired technologies</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w:t>
            </w:r>
            <w:r>
              <w:rPr>
                <w:rFonts w:ascii="Times New Roman" w:hAnsi="Times New Roman"/>
                <w:color w:val="000000"/>
                <w:sz w:val="20"/>
              </w:rPr>
              <w:t>–</w:t>
            </w:r>
            <w:r>
              <w:rPr>
                <w:rFonts w:ascii="Times New Roman" w:hAnsi="Times New Roman"/>
                <w:b w:val="false"/>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Subtotal</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1,487,700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(559,351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928,349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Trademarks—indefinite life</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190,470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1,678,170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1,118,819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Amortization expense for intangible assets was</w:t>
      </w:r>
      <w:r>
        <w:rPr>
          <w:rFonts w:ascii="Times New Roman" w:hAnsi="Times New Roman"/>
          <w:color w:val="000000"/>
          <w:sz w:val="20"/>
        </w:rPr>
        <w:t xml:space="preserve"> </w:t>
      </w:r>
      <w:r>
        <w:rPr>
          <w:rFonts w:ascii="Times New Roman" w:hAnsi="Times New Roman"/>
          <w:b w:val="false"/>
          <w:color w:val="000000"/>
          <w:sz w:val="20"/>
        </w:rPr>
        <w:t>$24.5</w:t>
      </w:r>
      <w:r>
        <w:rPr>
          <w:rFonts w:ascii="Times New Roman" w:hAnsi="Times New Roman"/>
          <w:color w:val="000000"/>
          <w:sz w:val="20"/>
        </w:rPr>
        <w:t xml:space="preserve"> </w:t>
      </w:r>
      <w:r>
        <w:rPr>
          <w:rFonts w:ascii="Times New Roman" w:hAnsi="Times New Roman"/>
          <w:b w:val="false"/>
          <w:color w:val="000000"/>
          <w:sz w:val="20"/>
        </w:rPr>
        <w:t>million and $24.8</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Amortization expense for intangible assets was $73.9</w:t>
      </w:r>
      <w:r>
        <w:rPr>
          <w:rFonts w:ascii="Times New Roman" w:hAnsi="Times New Roman"/>
          <w:color w:val="000000"/>
          <w:sz w:val="20"/>
        </w:rPr>
        <w:t xml:space="preserve"> </w:t>
      </w:r>
      <w:r>
        <w:rPr>
          <w:rFonts w:ascii="Times New Roman" w:hAnsi="Times New Roman"/>
          <w:b w:val="false"/>
          <w:color w:val="000000"/>
          <w:sz w:val="20"/>
        </w:rPr>
        <w:t>million and $74.4</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Future amortization expense for the remainder of the year ended December 31, 2023 and the following four years ended December 31 and thereafter for intangible assets as of September 30, 2023 is as follows (in thousands):</w:t>
      </w:r>
      <w:r>
        <w:rPr>
          <w:rFonts w:ascii="Times New Roman" w:hAnsi="Times New Roman"/>
          <w:color w:val="000000"/>
          <w:sz w:val="20"/>
        </w:rPr>
        <w:t xml:space="preserve"> </w:t>
      </w:r>
    </w:p>
    <w:p>
      <w:pPr>
        <w:pStyle w:val="TextBody"/>
        <w:bidi w:val="0"/>
        <w:jc w:val="left"/>
        <w:rPr/>
      </w:pPr>
      <w:r>
        <w:rPr/>
        <w:t> </w:t>
      </w:r>
    </w:p>
    <w:tbl>
      <w:tblPr>
        <w:tblW w:w="3820" w:type="dxa"/>
        <w:jc w:val="left"/>
        <w:tblInd w:w="0" w:type="dxa"/>
        <w:tblLayout w:type="fixed"/>
        <w:tblCellMar>
          <w:top w:w="28" w:type="dxa"/>
          <w:left w:w="28" w:type="dxa"/>
          <w:bottom w:w="28" w:type="dxa"/>
          <w:right w:w="28" w:type="dxa"/>
        </w:tblCellMar>
      </w:tblPr>
      <w:tblGrid>
        <w:gridCol w:w="2491"/>
        <w:gridCol w:w="146"/>
        <w:gridCol w:w="211"/>
        <w:gridCol w:w="78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24,509</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80,768</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72,454</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72,454</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72,454</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526,446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849,085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12.</w:t>
      </w:r>
    </w:p>
    <w:p>
      <w:pPr>
        <w:pStyle w:val="TextBody"/>
        <w:bidi w:val="0"/>
        <w:spacing w:before="160" w:after="283"/>
        <w:jc w:val="left"/>
        <w:rPr>
          <w:rFonts w:ascii="Times New Roman" w:hAnsi="Times New Roman"/>
          <w:sz w:val="20"/>
        </w:rPr>
      </w:pPr>
      <w:r>
        <w:rPr>
          <w:rFonts w:ascii="Times New Roman" w:hAnsi="Times New Roman"/>
          <w:b/>
          <w:caps/>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Accrued expenses as of September 30, 2023 and December 31, 2022 consists of the following (in thousands):</w:t>
      </w:r>
      <w:r>
        <w:rPr>
          <w:rFonts w:ascii="Times New Roman" w:hAnsi="Times New Roman"/>
          <w:color w:val="000000"/>
          <w:sz w:val="20"/>
        </w:rPr>
        <w:t xml:space="preserve"> </w:t>
      </w:r>
    </w:p>
    <w:p>
      <w:pPr>
        <w:pStyle w:val="TextBody"/>
        <w:bidi w:val="0"/>
        <w:jc w:val="left"/>
        <w:rPr/>
      </w:pPr>
      <w:r>
        <w:rPr/>
        <w:t> </w:t>
      </w:r>
    </w:p>
    <w:tbl>
      <w:tblPr>
        <w:tblW w:w="5655" w:type="dxa"/>
        <w:jc w:val="left"/>
        <w:tblInd w:w="0" w:type="dxa"/>
        <w:tblLayout w:type="fixed"/>
        <w:tblCellMar>
          <w:top w:w="28" w:type="dxa"/>
          <w:left w:w="28" w:type="dxa"/>
          <w:bottom w:w="28" w:type="dxa"/>
          <w:right w:w="28" w:type="dxa"/>
        </w:tblCellMar>
      </w:tblPr>
      <w:tblGrid>
        <w:gridCol w:w="2461"/>
        <w:gridCol w:w="146"/>
        <w:gridCol w:w="310"/>
        <w:gridCol w:w="995"/>
        <w:gridCol w:w="146"/>
        <w:gridCol w:w="146"/>
        <w:gridCol w:w="299"/>
        <w:gridCol w:w="96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Compensation</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53,530</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Professional services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1,877</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Royalties and licenses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3,832</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insurance benefits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2,749</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tax</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2,615</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 license agreement</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3,243</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accrued expenses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71,445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13.</w:t>
      </w:r>
    </w:p>
    <w:p>
      <w:pPr>
        <w:pStyle w:val="TextBody"/>
        <w:bidi w:val="0"/>
        <w:spacing w:before="160" w:after="283"/>
        <w:jc w:val="left"/>
        <w:rPr>
          <w:rFonts w:ascii="Times New Roman" w:hAnsi="Times New Roman"/>
          <w:sz w:val="20"/>
        </w:rPr>
      </w:pPr>
      <w:r>
        <w:rPr>
          <w:rFonts w:ascii="Times New Roman" w:hAnsi="Times New Roman"/>
          <w:b/>
          <w:caps/>
          <w:color w:val="000000"/>
          <w:sz w:val="20"/>
        </w:rPr>
        <w:t>OTHER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liabilities as of September 30, 2023 and December 31, 2022 consists of the following (in thousands):</w:t>
      </w:r>
      <w:r>
        <w:rPr>
          <w:rFonts w:ascii="Times New Roman" w:hAnsi="Times New Roman"/>
          <w:color w:val="000000"/>
          <w:sz w:val="20"/>
        </w:rPr>
        <w:t xml:space="preserve"> </w:t>
      </w:r>
    </w:p>
    <w:p>
      <w:pPr>
        <w:pStyle w:val="TextBody"/>
        <w:bidi w:val="0"/>
        <w:jc w:val="left"/>
        <w:rPr/>
      </w:pPr>
      <w:r>
        <w:rPr/>
        <w:t> </w:t>
      </w:r>
    </w:p>
    <w:tbl>
      <w:tblPr>
        <w:tblW w:w="5835" w:type="dxa"/>
        <w:jc w:val="left"/>
        <w:tblInd w:w="0" w:type="dxa"/>
        <w:tblLayout w:type="fixed"/>
        <w:tblCellMar>
          <w:top w:w="28" w:type="dxa"/>
          <w:left w:w="28" w:type="dxa"/>
          <w:bottom w:w="28" w:type="dxa"/>
          <w:right w:w="28" w:type="dxa"/>
        </w:tblCellMar>
      </w:tblPr>
      <w:tblGrid>
        <w:gridCol w:w="2641"/>
        <w:gridCol w:w="146"/>
        <w:gridCol w:w="351"/>
        <w:gridCol w:w="954"/>
        <w:gridCol w:w="146"/>
        <w:gridCol w:w="146"/>
        <w:gridCol w:w="339"/>
        <w:gridCol w:w="92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revenue—non-current</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1,240</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 license agreement</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1,208</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Contingent consideration</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liabilities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14.</w:t>
      </w:r>
    </w:p>
    <w:p>
      <w:pPr>
        <w:pStyle w:val="TextBody"/>
        <w:bidi w:val="0"/>
        <w:spacing w:before="120" w:after="283"/>
        <w:jc w:val="left"/>
        <w:rPr>
          <w:rFonts w:ascii="Times New Roman" w:hAnsi="Times New Roman"/>
          <w:sz w:val="20"/>
        </w:rPr>
      </w:pPr>
      <w:r>
        <w:rPr>
          <w:rFonts w:ascii="Times New Roman" w:hAnsi="Times New Roman"/>
          <w:b/>
          <w:caps/>
          <w:color w:val="000000"/>
          <w:sz w:val="20"/>
        </w:rPr>
        <w:t>LONG-TERM DEBT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September 21, 2021, CCC Intelligent Solutions Inc., an indirect wholly-owned subsidiary of the Company, together with certain of the Company’s subsidiaries acting as guarantors entered into a credit agreement (as amended, the "2021 Credit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proceeds of the 2021 Credit Agreement and cash on hand were used to repay all outstanding borrowings under the Company's previous credit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2021 Credit Agreement consists of an $800.0</w:t>
      </w:r>
      <w:r>
        <w:rPr>
          <w:rFonts w:ascii="Times New Roman" w:hAnsi="Times New Roman"/>
          <w:color w:val="000000"/>
          <w:sz w:val="20"/>
        </w:rPr>
        <w:t xml:space="preserve"> </w:t>
      </w:r>
      <w:r>
        <w:rPr>
          <w:rFonts w:ascii="Times New Roman" w:hAnsi="Times New Roman"/>
          <w:b w:val="false"/>
          <w:color w:val="000000"/>
          <w:sz w:val="20"/>
        </w:rPr>
        <w:t>million term loan ("Term B Loan") and a revolving credit facility for an aggregate principal amount of $250.0</w:t>
      </w:r>
      <w:r>
        <w:rPr>
          <w:rFonts w:ascii="Times New Roman" w:hAnsi="Times New Roman"/>
          <w:color w:val="000000"/>
          <w:sz w:val="20"/>
        </w:rPr>
        <w:t xml:space="preserve"> </w:t>
      </w:r>
      <w:r>
        <w:rPr>
          <w:rFonts w:ascii="Times New Roman" w:hAnsi="Times New Roman"/>
          <w:b w:val="false"/>
          <w:color w:val="000000"/>
          <w:sz w:val="20"/>
        </w:rPr>
        <w:t>million (the "2021 Revolving Credit Facility" and together with the Term B Loan, the "2021 Credit Facilities"). The 2021 Revolving Credit Facility has a sublimit of $75.0</w:t>
      </w:r>
      <w:r>
        <w:rPr>
          <w:rFonts w:ascii="Times New Roman" w:hAnsi="Times New Roman"/>
          <w:color w:val="000000"/>
          <w:sz w:val="20"/>
        </w:rPr>
        <w:t xml:space="preserve"> </w:t>
      </w:r>
      <w:r>
        <w:rPr>
          <w:rFonts w:ascii="Times New Roman" w:hAnsi="Times New Roman"/>
          <w:b w:val="false"/>
          <w:color w:val="000000"/>
          <w:sz w:val="20"/>
        </w:rPr>
        <w:t>million for letters of credit. The Company received proceeds of $798.0</w:t>
      </w:r>
      <w:r>
        <w:rPr>
          <w:rFonts w:ascii="Times New Roman" w:hAnsi="Times New Roman"/>
          <w:color w:val="000000"/>
          <w:sz w:val="20"/>
        </w:rPr>
        <w:t xml:space="preserve"> </w:t>
      </w:r>
      <w:r>
        <w:rPr>
          <w:rFonts w:ascii="Times New Roman" w:hAnsi="Times New Roman"/>
          <w:b w:val="false"/>
          <w:color w:val="000000"/>
          <w:sz w:val="20"/>
        </w:rPr>
        <w:t>million, net of debt discount of $2.0</w:t>
      </w:r>
      <w:r>
        <w:rPr>
          <w:rFonts w:ascii="Times New Roman" w:hAnsi="Times New Roman"/>
          <w:color w:val="000000"/>
          <w:sz w:val="20"/>
        </w:rPr>
        <w:t xml:space="preserve"> </w:t>
      </w:r>
      <w:r>
        <w:rPr>
          <w:rFonts w:ascii="Times New Roman" w:hAnsi="Times New Roman"/>
          <w:b w:val="false"/>
          <w:color w:val="000000"/>
          <w:sz w:val="20"/>
        </w:rPr>
        <w:t>million, related to the Term B Loan. As of September 30, 2023 and December 31, 2022, the unamortized debt discount was $1.5</w:t>
      </w:r>
      <w:r>
        <w:rPr>
          <w:rFonts w:ascii="Times New Roman" w:hAnsi="Times New Roman"/>
          <w:color w:val="000000"/>
          <w:sz w:val="20"/>
        </w:rPr>
        <w:t xml:space="preserve"> </w:t>
      </w:r>
      <w:r>
        <w:rPr>
          <w:rFonts w:ascii="Times New Roman" w:hAnsi="Times New Roman"/>
          <w:b w:val="false"/>
          <w:color w:val="000000"/>
          <w:sz w:val="20"/>
        </w:rPr>
        <w:t>million and $1.7</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incurred $9.8</w:t>
      </w:r>
      <w:r>
        <w:rPr>
          <w:rFonts w:ascii="Times New Roman" w:hAnsi="Times New Roman"/>
          <w:color w:val="000000"/>
          <w:sz w:val="20"/>
        </w:rPr>
        <w:t xml:space="preserve"> </w:t>
      </w:r>
      <w:r>
        <w:rPr>
          <w:rFonts w:ascii="Times New Roman" w:hAnsi="Times New Roman"/>
          <w:b w:val="false"/>
          <w:color w:val="000000"/>
          <w:sz w:val="20"/>
        </w:rPr>
        <w:t>million in financing costs related to the Term B Loan. These costs were recorded to a contra debt account and are being amortized to interest expense over the term of the Term B Loan using the effective interest method. As of September 30, 2023 and December 31, 2022, the unamortized financing costs were $7.4</w:t>
      </w:r>
      <w:r>
        <w:rPr>
          <w:rFonts w:ascii="Times New Roman" w:hAnsi="Times New Roman"/>
          <w:color w:val="000000"/>
          <w:sz w:val="20"/>
        </w:rPr>
        <w:t xml:space="preserve"> </w:t>
      </w:r>
      <w:r>
        <w:rPr>
          <w:rFonts w:ascii="Times New Roman" w:hAnsi="Times New Roman"/>
          <w:b w:val="false"/>
          <w:color w:val="000000"/>
          <w:sz w:val="20"/>
        </w:rPr>
        <w:t>million and $8.2</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incurred $3.1</w:t>
      </w:r>
      <w:r>
        <w:rPr>
          <w:rFonts w:ascii="Times New Roman" w:hAnsi="Times New Roman"/>
          <w:color w:val="000000"/>
          <w:sz w:val="20"/>
        </w:rPr>
        <w:t xml:space="preserve"> </w:t>
      </w:r>
      <w:r>
        <w:rPr>
          <w:rFonts w:ascii="Times New Roman" w:hAnsi="Times New Roman"/>
          <w:b w:val="false"/>
          <w:color w:val="000000"/>
          <w:sz w:val="20"/>
        </w:rPr>
        <w:t>million in financing costs related to the 2021 Revolving Credit Facility. These costs were recorded to a deferred financing fees asset account and are being amortized to interest expense over the term of the 2021 Revolving Credit Facility. As of September 30, 2023 and December 31, 2022, the deferred financing fees asset balance was $1.8</w:t>
      </w:r>
      <w:r>
        <w:rPr>
          <w:rFonts w:ascii="Times New Roman" w:hAnsi="Times New Roman"/>
          <w:color w:val="000000"/>
          <w:sz w:val="20"/>
        </w:rPr>
        <w:t xml:space="preserve"> </w:t>
      </w:r>
      <w:r>
        <w:rPr>
          <w:rFonts w:ascii="Times New Roman" w:hAnsi="Times New Roman"/>
          <w:b w:val="false"/>
          <w:color w:val="000000"/>
          <w:sz w:val="20"/>
        </w:rPr>
        <w:t>million and $2.3</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Term B Loan requires quarterly principal payments of $2.0</w:t>
      </w:r>
      <w:r>
        <w:rPr>
          <w:rFonts w:ascii="Times New Roman" w:hAnsi="Times New Roman"/>
          <w:color w:val="000000"/>
          <w:sz w:val="20"/>
        </w:rPr>
        <w:t xml:space="preserve"> </w:t>
      </w:r>
      <w:r>
        <w:rPr>
          <w:rFonts w:ascii="Times New Roman" w:hAnsi="Times New Roman"/>
          <w:b w:val="false"/>
          <w:color w:val="000000"/>
          <w:sz w:val="20"/>
        </w:rPr>
        <w:t>million until June 30, 2028, with the remaining outstanding principal amount required to be paid on the maturity date, September 21, 2028. Beginning with the fiscal year ended December 31, 2022, if the Company's leverage ratio, as defined in the 2021 Credit Agreement, is greater than 3.5, the Term B Loan requires a principal prepayment,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2022, the Company's leverage ratio did not exceed the 3.5</w:t>
      </w:r>
      <w:r>
        <w:rPr>
          <w:rFonts w:ascii="Times New Roman" w:hAnsi="Times New Roman"/>
          <w:color w:val="000000"/>
          <w:sz w:val="20"/>
        </w:rPr>
        <w:t xml:space="preserve"> </w:t>
      </w:r>
      <w:r>
        <w:rPr>
          <w:rFonts w:ascii="Times New Roman" w:hAnsi="Times New Roman"/>
          <w:b w:val="false"/>
          <w:color w:val="000000"/>
          <w:sz w:val="20"/>
        </w:rPr>
        <w:t>threshold and the Company was not subject to the annual excess cash flow calculation and, as such, was not required to make a principal prepayment.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amount outstanding on the Term B Loan is $786.0</w:t>
      </w:r>
      <w:r>
        <w:rPr>
          <w:rFonts w:ascii="Times New Roman" w:hAnsi="Times New Roman"/>
          <w:color w:val="000000"/>
          <w:sz w:val="20"/>
        </w:rPr>
        <w:t xml:space="preserve"> </w:t>
      </w:r>
      <w:r>
        <w:rPr>
          <w:rFonts w:ascii="Times New Roman" w:hAnsi="Times New Roman"/>
          <w:b w:val="false"/>
          <w:color w:val="000000"/>
          <w:sz w:val="20"/>
        </w:rPr>
        <w:t>million and $792.0</w:t>
      </w:r>
      <w:r>
        <w:rPr>
          <w:rFonts w:ascii="Times New Roman" w:hAnsi="Times New Roman"/>
          <w:color w:val="000000"/>
          <w:sz w:val="20"/>
        </w:rPr>
        <w:t xml:space="preserve"> </w:t>
      </w:r>
      <w:r>
        <w:rPr>
          <w:rFonts w:ascii="Times New Roman" w:hAnsi="Times New Roman"/>
          <w:b w:val="false"/>
          <w:color w:val="000000"/>
          <w:sz w:val="20"/>
        </w:rPr>
        <w:t>million, respectively, of which $8.0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is classified as current in the accompanying condensed consolidated balance sheets.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Borrowings under the 2021 Credit Facilities bear interest at rates based on the ratio of CCC Intelligent Solutions Inc. and certain of its subsidiaries’ consolidated first lien net indebtedness to consolidated EBITDA for applicable periods specified in the 2021 Credit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May 19, 2023, the Company entered into Amendment No. 1 to the 2021 Credit Agreement (the "Amendment") to establish SOFR as the benchmark rate for determining the applicable interest rate, replacing LIBOR. No other terms, including the amount of borrowings, required payments or maturity date, were changed as a result of the Amendment. The Company did not incur significant costs associated with the Amendment.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Subsequent to the execution of the Amendment, the interest rate per annum applicable to the loans is based on a fluctuating rate of interest equal to the sum of an applicable rate and term SOFR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Prior to the execution of the Amendment, the interest rate per annum applicable to the loans was based on a fluctuating rate of interest equal to the sum of an applicable rate and, at the Company’s election from time to time, either: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quarterly commitment fee of up to 0.50% is payable on the unused portion of the 2021 Revolving Credit Facility. The 2021 Revolving Credit Facility matures on September 21, 2026.</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months ended September 30, 2023 and 2022, the weighted-average interest rate on the outstanding borrowings under the Term B Loan was 7.7% and 4.6%,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the nine months ended September 30, 2023 and 2022, the weighted-average interest rate on the outstanding borrowings under the Term B Loan was 7.3%</w:t>
      </w:r>
      <w:r>
        <w:rPr>
          <w:rFonts w:ascii="Times New Roman" w:hAnsi="Times New Roman"/>
          <w:color w:val="000000"/>
          <w:sz w:val="20"/>
        </w:rPr>
        <w:t xml:space="preserve"> </w:t>
      </w:r>
      <w:r>
        <w:rPr>
          <w:rFonts w:ascii="Times New Roman" w:hAnsi="Times New Roman"/>
          <w:b w:val="false"/>
          <w:color w:val="000000"/>
          <w:sz w:val="20"/>
        </w:rPr>
        <w:t>and 3.6%,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an outstanding standby letter of credit for $0.7</w:t>
      </w:r>
      <w:r>
        <w:rPr>
          <w:rFonts w:ascii="Times New Roman" w:hAnsi="Times New Roman"/>
          <w:color w:val="000000"/>
          <w:sz w:val="20"/>
        </w:rPr>
        <w:t xml:space="preserve"> </w:t>
      </w:r>
      <w:r>
        <w:rPr>
          <w:rFonts w:ascii="Times New Roman" w:hAnsi="Times New Roman"/>
          <w:b w:val="false"/>
          <w:color w:val="000000"/>
          <w:sz w:val="20"/>
        </w:rPr>
        <w:t>million which reduces the amount available to be borrowed under the 2021 Revolving Credit Facility. As of September 30, 2023 and December 31, 2022, $249.3</w:t>
      </w:r>
      <w:r>
        <w:rPr>
          <w:rFonts w:ascii="Times New Roman" w:hAnsi="Times New Roman"/>
          <w:color w:val="000000"/>
          <w:sz w:val="20"/>
        </w:rPr>
        <w:t xml:space="preserve"> </w:t>
      </w:r>
      <w:r>
        <w:rPr>
          <w:rFonts w:ascii="Times New Roman" w:hAnsi="Times New Roman"/>
          <w:b w:val="false"/>
          <w:color w:val="000000"/>
          <w:sz w:val="20"/>
        </w:rPr>
        <w:t>million was available to be borrowed.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terms of the 2021 Credit Agreement include a financial covenant which requires that, at the end of each fiscal quarter, if the aggregate amount of borrowings under the 2021 Revolving Credit Facility exceeds 35% of the aggregate commitments, leverage ratio of CCC Intelligent Solutions Inc. and certain of its subsidiaries cannot exceed 6.25</w:t>
      </w:r>
      <w:r>
        <w:rPr>
          <w:rFonts w:ascii="Times New Roman" w:hAnsi="Times New Roman"/>
          <w:color w:val="000000"/>
          <w:sz w:val="20"/>
        </w:rPr>
        <w:t xml:space="preserve"> </w:t>
      </w:r>
      <w:r>
        <w:rPr>
          <w:rFonts w:ascii="Times New Roman" w:hAnsi="Times New Roman"/>
          <w:b w:val="false"/>
          <w:color w:val="000000"/>
          <w:sz w:val="20"/>
        </w:rPr>
        <w:t>to 1.00. Borrowings under the 2021 Revolving Credit Facility did not exceed 35% of the aggregate commitments and the Company was not subject to the leverage test as of September 30, 2023 or December 31, 2022.</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Long-term debt as of September 30, 2023 and December 31, 2022 consists of the following (in thousands):</w:t>
      </w:r>
      <w:r>
        <w:rPr>
          <w:rFonts w:ascii="Times New Roman" w:hAnsi="Times New Roman"/>
          <w:color w:val="000000"/>
          <w:sz w:val="20"/>
        </w:rPr>
        <w:t xml:space="preserve"> </w:t>
      </w:r>
    </w:p>
    <w:p>
      <w:pPr>
        <w:pStyle w:val="TextBody"/>
        <w:bidi w:val="0"/>
        <w:jc w:val="left"/>
        <w:rPr/>
      </w:pPr>
      <w:r>
        <w:rPr/>
        <w:t> </w:t>
      </w:r>
    </w:p>
    <w:tbl>
      <w:tblPr>
        <w:tblW w:w="7355" w:type="dxa"/>
        <w:jc w:val="left"/>
        <w:tblInd w:w="0" w:type="dxa"/>
        <w:tblLayout w:type="fixed"/>
        <w:tblCellMar>
          <w:top w:w="28" w:type="dxa"/>
          <w:left w:w="28" w:type="dxa"/>
          <w:bottom w:w="28" w:type="dxa"/>
          <w:right w:w="28" w:type="dxa"/>
        </w:tblCellMar>
      </w:tblPr>
      <w:tblGrid>
        <w:gridCol w:w="3921"/>
        <w:gridCol w:w="146"/>
        <w:gridCol w:w="276"/>
        <w:gridCol w:w="1029"/>
        <w:gridCol w:w="166"/>
        <w:gridCol w:w="146"/>
        <w:gridCol w:w="268"/>
        <w:gridCol w:w="992"/>
        <w:gridCol w:w="411"/>
      </w:tblGrid>
      <w:tr>
        <w:trPr/>
        <w:tc>
          <w:tcPr>
            <w:tcW w:w="3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vAlign w:val="center"/>
          </w:tcPr>
          <w:p>
            <w:pPr>
              <w:pStyle w:val="TableContents"/>
              <w:bidi w:val="0"/>
              <w:spacing w:before="0" w:after="283"/>
              <w:jc w:val="center"/>
              <w:rPr/>
            </w:pPr>
            <w:r>
              <w:rPr/>
              <w:t> </w:t>
            </w:r>
          </w:p>
        </w:tc>
      </w:tr>
      <w:tr>
        <w:trPr/>
        <w:tc>
          <w:tcPr>
            <w:tcW w:w="3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B Loan</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786,000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792,000</w:t>
            </w:r>
          </w:p>
        </w:tc>
        <w:tc>
          <w:tcPr>
            <w:tcW w:w="411" w:type="dxa"/>
            <w:tcBorders/>
            <w:shd w:fill="CFF0FC" w:val="clear"/>
            <w:vAlign w:val="center"/>
          </w:tcPr>
          <w:p>
            <w:pPr>
              <w:pStyle w:val="TableContents"/>
              <w:bidi w:val="0"/>
              <w:spacing w:before="0" w:after="283"/>
              <w:jc w:val="left"/>
              <w:rPr/>
            </w:pPr>
            <w:r>
              <w:rPr/>
              <w:t> </w:t>
            </w:r>
          </w:p>
        </w:tc>
      </w:tr>
      <w:tr>
        <w:trPr/>
        <w:tc>
          <w:tcPr>
            <w:tcW w:w="39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B Loan—discount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(1,669</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B Loan—deferred financing fees</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B Loan—net of discount &amp; fees</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777,136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782,132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long-term debt—net of current portion</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774,132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Interest Rate Cap</w:t>
      </w:r>
      <w:r>
        <w:rPr>
          <w:rFonts w:ascii="Times New Roman" w:hAnsi="Times New Roman"/>
          <w:color w:val="000000"/>
          <w:sz w:val="20"/>
        </w:rPr>
        <w:t>—</w:t>
      </w:r>
      <w:r>
        <w:rPr>
          <w:rFonts w:ascii="Times New Roman" w:hAnsi="Times New Roman"/>
          <w:b w:val="false"/>
          <w:color w:val="000000"/>
          <w:sz w:val="20"/>
        </w:rPr>
        <w:t>In August 2022, the Company entered into two interest rate cap agreements to reduce its exposure to increases in interest rates applicable to its floating rate long-term debt. The aggregate notional value of the interest rate cap agreements is $600.0</w:t>
      </w:r>
      <w:r>
        <w:rPr>
          <w:rFonts w:ascii="Times New Roman" w:hAnsi="Times New Roman"/>
          <w:color w:val="000000"/>
          <w:sz w:val="20"/>
        </w:rPr>
        <w:t xml:space="preserve"> </w:t>
      </w:r>
      <w:r>
        <w:rPr>
          <w:rFonts w:ascii="Times New Roman" w:hAnsi="Times New Roman"/>
          <w:b w:val="false"/>
          <w:color w:val="000000"/>
          <w:sz w:val="20"/>
        </w:rPr>
        <w:t>million with a cap rate of 4.0% and an expiration date of July 31, 2025.</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May 2023, the Company transitioned the referenced interest rate within the two interest rate cap agreements from LIBOR to SOFR by terminating the original agreements and simultaneously entering into new agreements. The terms of the new agreements were unchanged except for the referenced interest rate. The Company elected the optional expedients available within ASC 848 to allow for this transition without any modification to the derivative classification of the interest rate cap agreements.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Cash received related to the interest rate cap agreements was $1.9</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Cash received related to the interest rate cap agreements was $4.4</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aggregate fair value of the interest rate cap agreements was $12.5</w:t>
      </w:r>
      <w:r>
        <w:rPr>
          <w:rFonts w:ascii="Times New Roman" w:hAnsi="Times New Roman"/>
          <w:color w:val="000000"/>
          <w:sz w:val="20"/>
        </w:rPr>
        <w:t xml:space="preserve"> </w:t>
      </w:r>
      <w:r>
        <w:rPr>
          <w:rFonts w:ascii="Times New Roman" w:hAnsi="Times New Roman"/>
          <w:b w:val="false"/>
          <w:color w:val="000000"/>
          <w:sz w:val="20"/>
        </w:rPr>
        <w:t>million and $12.0</w:t>
      </w:r>
      <w:r>
        <w:rPr>
          <w:rFonts w:ascii="Times New Roman" w:hAnsi="Times New Roman"/>
          <w:color w:val="000000"/>
          <w:sz w:val="20"/>
        </w:rPr>
        <w:t xml:space="preserve"> </w:t>
      </w:r>
      <w:r>
        <w:rPr>
          <w:rFonts w:ascii="Times New Roman" w:hAnsi="Times New Roman"/>
          <w:b w:val="false"/>
          <w:color w:val="000000"/>
          <w:sz w:val="20"/>
        </w:rPr>
        <w:t>million, respectively (see Note 5).</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15.</w:t>
      </w:r>
    </w:p>
    <w:p>
      <w:pPr>
        <w:pStyle w:val="TextBody"/>
        <w:bidi w:val="0"/>
        <w:spacing w:before="360" w:after="283"/>
        <w:jc w:val="left"/>
        <w:rPr>
          <w:rFonts w:ascii="Times New Roman" w:hAnsi="Times New Roman"/>
          <w:sz w:val="20"/>
        </w:rPr>
      </w:pPr>
      <w:r>
        <w:rPr>
          <w:rFonts w:ascii="Times New Roman" w:hAnsi="Times New Roman"/>
          <w:b/>
          <w:caps/>
          <w:color w:val="000000"/>
          <w:sz w:val="20"/>
        </w:rPr>
        <w:t>Capital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w:t>
      </w:r>
      <w:r>
        <w:rPr>
          <w:rFonts w:ascii="Times New Roman" w:hAnsi="Times New Roman"/>
          <w:b w:val="false"/>
          <w:color w:val="000000"/>
          <w:sz w:val="20"/>
        </w:rPr>
        <w:t>The Company is authorized to issue up to 100,000,000</w:t>
      </w:r>
      <w:r>
        <w:rPr>
          <w:rFonts w:ascii="Times New Roman" w:hAnsi="Times New Roman"/>
          <w:color w:val="000000"/>
          <w:sz w:val="20"/>
        </w:rPr>
        <w:t xml:space="preserve"> </w:t>
      </w:r>
      <w:r>
        <w:rPr>
          <w:rFonts w:ascii="Times New Roman" w:hAnsi="Times New Roman"/>
          <w:b w:val="false"/>
          <w:color w:val="000000"/>
          <w:sz w:val="20"/>
        </w:rPr>
        <w:t>shares of undesignated preferred stock with a par value of $0.0001</w:t>
      </w:r>
      <w:r>
        <w:rPr>
          <w:rFonts w:ascii="Times New Roman" w:hAnsi="Times New Roman"/>
          <w:color w:val="000000"/>
          <w:sz w:val="20"/>
        </w:rPr>
        <w:t xml:space="preserve"> </w:t>
      </w:r>
      <w:r>
        <w:rPr>
          <w:rFonts w:ascii="Times New Roman" w:hAnsi="Times New Roman"/>
          <w:b w:val="false"/>
          <w:color w:val="000000"/>
          <w:sz w:val="20"/>
        </w:rPr>
        <w:t>per share with such designations, voting and other rights and preferences as may be determined from time to time by the Company’s board of directors. As of September 30, 2023, there were no</w:t>
      </w:r>
      <w:r>
        <w:rPr>
          <w:rFonts w:ascii="Times New Roman" w:hAnsi="Times New Roman"/>
          <w:color w:val="000000"/>
          <w:sz w:val="20"/>
        </w:rPr>
        <w:t xml:space="preserve"> </w:t>
      </w:r>
      <w:r>
        <w:rPr>
          <w:rFonts w:ascii="Times New Roman" w:hAnsi="Times New Roman"/>
          <w:b w:val="false"/>
          <w:color w:val="000000"/>
          <w:sz w:val="20"/>
        </w:rPr>
        <w:t>shares of preferred stock issued or outstanding.</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w:t>
      </w:r>
      <w:r>
        <w:rPr>
          <w:rFonts w:ascii="Times New Roman" w:hAnsi="Times New Roman"/>
          <w:b w:val="false"/>
          <w:color w:val="000000"/>
          <w:sz w:val="20"/>
        </w:rPr>
        <w:t>The Company is authorized to issue up to 5,000,000,000</w:t>
      </w:r>
      <w:r>
        <w:rPr>
          <w:rFonts w:ascii="Times New Roman" w:hAnsi="Times New Roman"/>
          <w:color w:val="000000"/>
          <w:sz w:val="20"/>
        </w:rPr>
        <w:t xml:space="preserve"> </w:t>
      </w:r>
      <w:r>
        <w:rPr>
          <w:rFonts w:ascii="Times New Roman" w:hAnsi="Times New Roman"/>
          <w:b w:val="false"/>
          <w:color w:val="000000"/>
          <w:sz w:val="20"/>
        </w:rPr>
        <w:t>shares of common stock with a par value of $0.0001</w:t>
      </w:r>
      <w:r>
        <w:rPr>
          <w:rFonts w:ascii="Times New Roman" w:hAnsi="Times New Roman"/>
          <w:color w:val="000000"/>
          <w:sz w:val="20"/>
        </w:rPr>
        <w:t xml:space="preserve"> </w:t>
      </w:r>
      <w:r>
        <w:rPr>
          <w:rFonts w:ascii="Times New Roman" w:hAnsi="Times New Roman"/>
          <w:b w:val="false"/>
          <w:color w:val="000000"/>
          <w:sz w:val="20"/>
        </w:rPr>
        <w:t>per share. Each holder of common stock is entitled to one</w:t>
      </w:r>
      <w:r>
        <w:rPr>
          <w:rFonts w:ascii="Times New Roman" w:hAnsi="Times New Roman"/>
          <w:color w:val="000000"/>
          <w:sz w:val="20"/>
        </w:rPr>
        <w:t xml:space="preserve"> </w:t>
      </w:r>
      <w:r>
        <w:rPr>
          <w:rFonts w:ascii="Times New Roman" w:hAnsi="Times New Roman"/>
          <w:b w:val="false"/>
          <w:color w:val="000000"/>
          <w:sz w:val="20"/>
        </w:rPr>
        <w:t>(1) 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were 634,633,179</w:t>
      </w:r>
      <w:r>
        <w:rPr>
          <w:rFonts w:ascii="Times New Roman" w:hAnsi="Times New Roman"/>
          <w:color w:val="000000"/>
          <w:sz w:val="20"/>
        </w:rPr>
        <w:t xml:space="preserve"> </w:t>
      </w:r>
      <w:r>
        <w:rPr>
          <w:rFonts w:ascii="Times New Roman" w:hAnsi="Times New Roman"/>
          <w:b w:val="false"/>
          <w:color w:val="000000"/>
          <w:sz w:val="20"/>
        </w:rPr>
        <w:t>and 622,072,905</w:t>
      </w:r>
      <w:r>
        <w:rPr>
          <w:rFonts w:ascii="Times New Roman" w:hAnsi="Times New Roman"/>
          <w:color w:val="000000"/>
          <w:sz w:val="20"/>
        </w:rPr>
        <w:t xml:space="preserve"> </w:t>
      </w:r>
      <w:r>
        <w:rPr>
          <w:rFonts w:ascii="Times New Roman" w:hAnsi="Times New Roman"/>
          <w:b w:val="false"/>
          <w:color w:val="000000"/>
          <w:sz w:val="20"/>
        </w:rPr>
        <w:t>shares of common stock issued and outstanding as of September 30, 2023 and December 31, 2022,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REDEEMABLE NON-CONTROLLING INTEREST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March 12, 2020 (the "Close Date"), the Company closed a stock purchase agreement (the "Stock Purchase Agreement") with a third-party investor (the "Investor") for purchase by the Investor of Series A Preferred Stock in CCCIS Cayman Holdings Limited ("CCC Cayman"), the parent of the Company’s China operations. On the Close Date, CCC Cayman, a subsidiary of the Company, issued 1,818</w:t>
      </w:r>
      <w:r>
        <w:rPr>
          <w:rFonts w:ascii="Times New Roman" w:hAnsi="Times New Roman"/>
          <w:color w:val="000000"/>
          <w:sz w:val="20"/>
        </w:rPr>
        <w:t xml:space="preserve"> </w:t>
      </w:r>
      <w:r>
        <w:rPr>
          <w:rFonts w:ascii="Times New Roman" w:hAnsi="Times New Roman"/>
          <w:b w:val="false"/>
          <w:color w:val="000000"/>
          <w:sz w:val="20"/>
        </w:rPr>
        <w:t>shares of Series A Preferred Stock (the "Preferred Shares") at $7,854</w:t>
      </w:r>
      <w:r>
        <w:rPr>
          <w:rFonts w:ascii="Times New Roman" w:hAnsi="Times New Roman"/>
          <w:color w:val="000000"/>
          <w:sz w:val="20"/>
        </w:rPr>
        <w:t xml:space="preserve"> </w:t>
      </w:r>
      <w:r>
        <w:rPr>
          <w:rFonts w:ascii="Times New Roman" w:hAnsi="Times New Roman"/>
          <w:b w:val="false"/>
          <w:color w:val="000000"/>
          <w:sz w:val="20"/>
        </w:rPr>
        <w:t>per share to the Investor for net proceeds of $14.2</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on an as-converted basis, the Preferred Shares represent an aggregate 10.0% ownership interest of the issued and outstanding capital stock of CCC Cayman, or 8.6% on a fully-diluted basis.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Preferred Shares are redeemable upon an actual or deemed redemption event as defined in the Stock Purchase Agreement or at the option of the Investor beginning on the five-year anniversary of the Close Date, if an actual or deemed redemption event has not yet occurred. The redemption price, as defined by the Stock Purchase Agreement, is equal to the original issue price of the Preferred Shares, plus 10.0% compound interest per annum on the Preferred Share issue price, plus any declared but unpaid dividends on the Preferred Shares.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Preferred Shares do not participate in net income or losses.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Investor’s ownership in CCC Cayman is classified in mezzanine equity as a redeemable non-controlling interest, because it is redeemable on an event that is not solely in the control of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May 2023, the Company determined it was probable the non-controlling interest would become redeemable and began to accrete the non-controlling interest to its redemption value. Changes in the carrying value of the non-controlling interest are recorded as adjustments to additional paid-in capital.</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activity impacting the redeemable non-controllable interest during the three and nine months ended September 30, 2023 and 2022 is presented below (in thousands):</w:t>
      </w:r>
    </w:p>
    <w:tbl>
      <w:tblPr>
        <w:tblW w:w="9910" w:type="dxa"/>
        <w:jc w:val="left"/>
        <w:tblInd w:w="0" w:type="dxa"/>
        <w:tblLayout w:type="fixed"/>
        <w:tblCellMar>
          <w:top w:w="28" w:type="dxa"/>
          <w:left w:w="28" w:type="dxa"/>
          <w:bottom w:w="28" w:type="dxa"/>
          <w:right w:w="28" w:type="dxa"/>
        </w:tblCellMar>
      </w:tblPr>
      <w:tblGrid>
        <w:gridCol w:w="4281"/>
        <w:gridCol w:w="259"/>
        <w:gridCol w:w="829"/>
        <w:gridCol w:w="179"/>
        <w:gridCol w:w="179"/>
        <w:gridCol w:w="259"/>
        <w:gridCol w:w="829"/>
        <w:gridCol w:w="146"/>
        <w:gridCol w:w="146"/>
        <w:gridCol w:w="246"/>
        <w:gridCol w:w="790"/>
        <w:gridCol w:w="170"/>
        <w:gridCol w:w="170"/>
        <w:gridCol w:w="246"/>
        <w:gridCol w:w="790"/>
        <w:gridCol w:w="391"/>
      </w:tblGrid>
      <w:tr>
        <w:trPr/>
        <w:tc>
          <w:tcPr>
            <w:tcW w:w="42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2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14,494</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14,179</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Accretion of redeemable non-controlling interest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15,504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15,504</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17.</w:t>
      </w:r>
    </w:p>
    <w:p>
      <w:pPr>
        <w:pStyle w:val="TextBody"/>
        <w:bidi w:val="0"/>
        <w:spacing w:before="120" w:after="283"/>
        <w:jc w:val="left"/>
        <w:rPr/>
      </w:pPr>
      <w:r>
        <w:rPr>
          <w:rFonts w:ascii="Times New Roman" w:hAnsi="Times New Roman"/>
          <w:b/>
          <w:caps/>
          <w:color w:val="000000"/>
          <w:sz w:val="20"/>
        </w:rPr>
        <w:t>STOCK INCENTIVE PLANS</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2021, the 2021 Equity Incentive Plan (the "2021 Plan") was adopted and approved by the Company's board of directors and stockholders.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i/>
          <w:color w:val="000000"/>
          <w:sz w:val="20"/>
        </w:rPr>
        <w:t>Restricted Stock Units</w:t>
      </w:r>
      <w:r>
        <w:rPr>
          <w:rFonts w:ascii="Times New Roman" w:hAnsi="Times New Roman"/>
          <w:color w:val="000000"/>
          <w:sz w:val="20"/>
        </w:rPr>
        <w:t>—</w:t>
      </w:r>
      <w:r>
        <w:rPr>
          <w:rFonts w:ascii="Times New Roman" w:hAnsi="Times New Roman"/>
          <w:b w:val="false"/>
          <w:color w:val="000000"/>
          <w:sz w:val="20"/>
        </w:rPr>
        <w:t>The table below summarizes the restricted stock unit ("RSU") activity for the nine months ended September 30, 2023:</w:t>
      </w:r>
    </w:p>
    <w:tbl>
      <w:tblPr>
        <w:tblW w:w="6647" w:type="dxa"/>
        <w:jc w:val="left"/>
        <w:tblInd w:w="0" w:type="dxa"/>
        <w:tblLayout w:type="fixed"/>
        <w:tblCellMar>
          <w:top w:w="28" w:type="dxa"/>
          <w:left w:w="28" w:type="dxa"/>
          <w:bottom w:w="28" w:type="dxa"/>
          <w:right w:w="28" w:type="dxa"/>
        </w:tblCellMar>
      </w:tblPr>
      <w:tblGrid>
        <w:gridCol w:w="3396"/>
        <w:gridCol w:w="346"/>
        <w:gridCol w:w="146"/>
        <w:gridCol w:w="1036"/>
        <w:gridCol w:w="166"/>
        <w:gridCol w:w="146"/>
        <w:gridCol w:w="275"/>
        <w:gridCol w:w="745"/>
        <w:gridCol w:w="391"/>
      </w:tblGrid>
      <w:tr>
        <w:trPr/>
        <w:tc>
          <w:tcPr>
            <w:tcW w:w="33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391" w:type="dxa"/>
            <w:tcBorders/>
            <w:shd w:fill="FFFFFF" w:val="clear"/>
            <w:vAlign w:val="center"/>
          </w:tcPr>
          <w:p>
            <w:pPr>
              <w:pStyle w:val="TableContents"/>
              <w:bidi w:val="0"/>
              <w:spacing w:before="0" w:after="283"/>
              <w:jc w:val="center"/>
              <w:rPr/>
            </w:pPr>
            <w:r>
              <w:rPr/>
              <w:t> </w:t>
            </w:r>
          </w:p>
        </w:tc>
      </w:tr>
      <w:tr>
        <w:trPr/>
        <w:tc>
          <w:tcPr>
            <w:tcW w:w="33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391" w:type="dxa"/>
            <w:tcBorders/>
            <w:shd w:fill="FFFFFF" w:val="clear"/>
            <w:vAlign w:val="center"/>
          </w:tcPr>
          <w:p>
            <w:pPr>
              <w:pStyle w:val="TableContents"/>
              <w:bidi w:val="0"/>
              <w:spacing w:before="0" w:after="283"/>
              <w:jc w:val="center"/>
              <w:rPr/>
            </w:pPr>
            <w:r>
              <w:rPr/>
              <w:t> </w:t>
            </w:r>
          </w:p>
        </w:tc>
      </w:tr>
      <w:tr>
        <w:trPr/>
        <w:tc>
          <w:tcPr>
            <w:tcW w:w="33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RSUs—December 31, 2022</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31,288,688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Granted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12,357,201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Vested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(5,489,562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Forfeited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(1,409,181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9.92</w:t>
            </w:r>
          </w:p>
        </w:tc>
        <w:tc>
          <w:tcPr>
            <w:tcW w:w="391" w:type="dxa"/>
            <w:tcBorders/>
            <w:shd w:fill="FFFFFF" w:val="clear"/>
            <w:vAlign w:val="center"/>
          </w:tcPr>
          <w:p>
            <w:pPr>
              <w:pStyle w:val="TableContents"/>
              <w:bidi w:val="0"/>
              <w:spacing w:before="0" w:after="283"/>
              <w:jc w:val="left"/>
              <w:rPr/>
            </w:pPr>
            <w:r>
              <w:rPr/>
              <w:t> </w:t>
            </w:r>
          </w:p>
        </w:tc>
      </w:tr>
      <w:tr>
        <w:trPr/>
        <w:tc>
          <w:tcPr>
            <w:tcW w:w="339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Unvested RSUs—September 30, 2023</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36,747,146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9.83</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the Company granted 12,357,201</w:t>
      </w:r>
      <w:r>
        <w:rPr>
          <w:rFonts w:ascii="Times New Roman" w:hAnsi="Times New Roman"/>
          <w:color w:val="000000"/>
          <w:sz w:val="20"/>
        </w:rPr>
        <w:t xml:space="preserve"> </w:t>
      </w:r>
      <w:r>
        <w:rPr>
          <w:rFonts w:ascii="Times New Roman" w:hAnsi="Times New Roman"/>
          <w:b w:val="false"/>
          <w:color w:val="000000"/>
          <w:sz w:val="20"/>
        </w:rPr>
        <w:t>RSUs, of which 10,753,700</w:t>
      </w:r>
      <w:r>
        <w:rPr>
          <w:rFonts w:ascii="Times New Roman" w:hAnsi="Times New Roman"/>
          <w:color w:val="000000"/>
          <w:sz w:val="20"/>
        </w:rPr>
        <w:t xml:space="preserve"> </w:t>
      </w:r>
      <w:r>
        <w:rPr>
          <w:rFonts w:ascii="Times New Roman" w:hAnsi="Times New Roman"/>
          <w:b w:val="false"/>
          <w:color w:val="000000"/>
          <w:sz w:val="20"/>
        </w:rPr>
        <w:t>have time-based vesting requirements, and 1,603,501</w:t>
      </w:r>
      <w:r>
        <w:rPr>
          <w:rFonts w:ascii="Times New Roman" w:hAnsi="Times New Roman"/>
          <w:color w:val="000000"/>
          <w:sz w:val="20"/>
        </w:rPr>
        <w:t xml:space="preserve"> </w:t>
      </w:r>
      <w:r>
        <w:rPr>
          <w:rFonts w:ascii="Times New Roman" w:hAnsi="Times New Roman"/>
          <w:b w:val="false"/>
          <w:color w:val="000000"/>
          <w:sz w:val="20"/>
        </w:rPr>
        <w:t>have performance-based vesting requirements.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5,489,562</w:t>
      </w:r>
      <w:r>
        <w:rPr>
          <w:rFonts w:ascii="Times New Roman" w:hAnsi="Times New Roman"/>
          <w:color w:val="000000"/>
          <w:sz w:val="20"/>
        </w:rPr>
        <w:t xml:space="preserve"> </w:t>
      </w:r>
      <w:r>
        <w:rPr>
          <w:rFonts w:ascii="Times New Roman" w:hAnsi="Times New Roman"/>
          <w:b w:val="false"/>
          <w:color w:val="000000"/>
          <w:sz w:val="20"/>
        </w:rPr>
        <w:t>RSUs vested, of which 1,693,909</w:t>
      </w:r>
      <w:r>
        <w:rPr>
          <w:rFonts w:ascii="Times New Roman" w:hAnsi="Times New Roman"/>
          <w:color w:val="000000"/>
          <w:sz w:val="20"/>
        </w:rPr>
        <w:t xml:space="preserve"> </w:t>
      </w:r>
      <w:r>
        <w:rPr>
          <w:rFonts w:ascii="Times New Roman" w:hAnsi="Times New Roman"/>
          <w:b w:val="false"/>
          <w:color w:val="000000"/>
          <w:sz w:val="20"/>
        </w:rPr>
        <w:t>were withheld for employee tax obligations.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i/>
          <w:color w:val="000000"/>
          <w:sz w:val="20"/>
        </w:rPr>
        <w:t>Stock Options</w:t>
      </w:r>
      <w:r>
        <w:rPr>
          <w:rFonts w:ascii="Times New Roman" w:hAnsi="Times New Roman"/>
          <w:color w:val="000000"/>
          <w:sz w:val="20"/>
        </w:rPr>
        <w:t>—</w:t>
      </w:r>
      <w:r>
        <w:rPr>
          <w:rFonts w:ascii="Times New Roman" w:hAnsi="Times New Roman"/>
          <w:b w:val="false"/>
          <w:color w:val="000000"/>
          <w:sz w:val="20"/>
        </w:rPr>
        <w:t>The table below summarizes the stock option activity for the nine months ended September 30, 2023:</w:t>
      </w:r>
    </w:p>
    <w:tbl>
      <w:tblPr>
        <w:tblW w:w="10205" w:type="dxa"/>
        <w:jc w:val="left"/>
        <w:tblInd w:w="0" w:type="dxa"/>
        <w:tblLayout w:type="fixed"/>
        <w:tblCellMar>
          <w:top w:w="28" w:type="dxa"/>
          <w:left w:w="28" w:type="dxa"/>
          <w:bottom w:w="28" w:type="dxa"/>
          <w:right w:w="28" w:type="dxa"/>
        </w:tblCellMar>
      </w:tblPr>
      <w:tblGrid>
        <w:gridCol w:w="4270"/>
        <w:gridCol w:w="146"/>
        <w:gridCol w:w="146"/>
        <w:gridCol w:w="1036"/>
        <w:gridCol w:w="166"/>
        <w:gridCol w:w="146"/>
        <w:gridCol w:w="300"/>
        <w:gridCol w:w="665"/>
        <w:gridCol w:w="146"/>
        <w:gridCol w:w="146"/>
        <w:gridCol w:w="322"/>
        <w:gridCol w:w="804"/>
        <w:gridCol w:w="146"/>
        <w:gridCol w:w="146"/>
        <w:gridCol w:w="261"/>
        <w:gridCol w:w="967"/>
        <w:gridCol w:w="392"/>
      </w:tblGrid>
      <w:tr>
        <w:trPr/>
        <w:tc>
          <w:tcPr>
            <w:tcW w:w="4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2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shd w:fill="FFFFFF" w:val="clear"/>
            <w:vAlign w:val="center"/>
          </w:tcPr>
          <w:p>
            <w:pPr>
              <w:pStyle w:val="TableContents"/>
              <w:bidi w:val="0"/>
              <w:spacing w:before="0" w:after="283"/>
              <w:jc w:val="center"/>
              <w:rPr/>
            </w:pPr>
            <w:r>
              <w:rPr/>
              <w:t> </w:t>
            </w:r>
          </w:p>
        </w:tc>
        <w:tc>
          <w:tcPr>
            <w:tcW w:w="392" w:type="dxa"/>
            <w:tcBorders/>
            <w:shd w:fill="FFFFFF" w:val="clear"/>
            <w:vAlign w:val="center"/>
          </w:tcPr>
          <w:p>
            <w:pPr>
              <w:pStyle w:val="TableContents"/>
              <w:bidi w:val="0"/>
              <w:spacing w:before="0" w:after="283"/>
              <w:jc w:val="center"/>
              <w:rPr/>
            </w:pPr>
            <w:r>
              <w:rPr/>
              <w:t> </w:t>
            </w:r>
          </w:p>
        </w:tc>
      </w:tr>
      <w:tr>
        <w:trPr/>
        <w:tc>
          <w:tcPr>
            <w:tcW w:w="42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r>
      <w:tr>
        <w:trPr/>
        <w:tc>
          <w:tcPr>
            <w:tcW w:w="42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392" w:type="dxa"/>
            <w:tcBorders/>
            <w:shd w:fill="FFFFFF" w:val="clear"/>
            <w:vAlign w:val="center"/>
          </w:tcPr>
          <w:p>
            <w:pPr>
              <w:pStyle w:val="TableContents"/>
              <w:bidi w:val="0"/>
              <w:spacing w:before="0" w:after="283"/>
              <w:jc w:val="center"/>
              <w:rPr/>
            </w:pPr>
            <w:r>
              <w:rPr/>
              <w:t> </w:t>
            </w:r>
          </w:p>
        </w:tc>
      </w:tr>
      <w:tr>
        <w:trPr/>
        <w:tc>
          <w:tcPr>
            <w:tcW w:w="42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392" w:type="dxa"/>
            <w:tcBorders/>
            <w:shd w:fill="FFFFFF" w:val="clear"/>
            <w:vAlign w:val="center"/>
          </w:tcPr>
          <w:p>
            <w:pPr>
              <w:pStyle w:val="TableContents"/>
              <w:bidi w:val="0"/>
              <w:spacing w:before="0" w:after="283"/>
              <w:jc w:val="center"/>
              <w:rPr/>
            </w:pPr>
            <w:r>
              <w:rPr/>
              <w:t> </w:t>
            </w:r>
          </w:p>
        </w:tc>
      </w:tr>
      <w:tr>
        <w:trPr/>
        <w:tc>
          <w:tcPr>
            <w:tcW w:w="42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392" w:type="dxa"/>
            <w:tcBorders/>
            <w:shd w:fill="FFFFFF" w:val="clear"/>
            <w:vAlign w:val="center"/>
          </w:tcPr>
          <w:p>
            <w:pPr>
              <w:pStyle w:val="TableContents"/>
              <w:bidi w:val="0"/>
              <w:spacing w:before="0" w:after="283"/>
              <w:jc w:val="center"/>
              <w:rPr/>
            </w:pPr>
            <w:r>
              <w:rPr/>
              <w:t> </w:t>
            </w:r>
          </w:p>
        </w:tc>
      </w:tr>
      <w:tr>
        <w:trPr/>
        <w:tc>
          <w:tcPr>
            <w:tcW w:w="42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outstanding—December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45,249,260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258,470</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427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(8,122,930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ind w:left="0" w:right="0" w:firstLine="200"/>
              <w:jc w:val="right"/>
              <w:rPr/>
            </w:pPr>
            <w:r>
              <w:rPr/>
              <w:t> </w:t>
            </w:r>
          </w:p>
        </w:tc>
      </w:tr>
      <w:tr>
        <w:trPr/>
        <w:tc>
          <w:tcPr>
            <w:tcW w:w="42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Forfeited and canceled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8"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42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outstanding—September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36,632,678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380,524</w:t>
            </w:r>
          </w:p>
        </w:tc>
        <w:tc>
          <w:tcPr>
            <w:tcW w:w="392" w:type="dxa"/>
            <w:tcBorders/>
            <w:shd w:fill="FFFFFF" w:val="clear"/>
            <w:vAlign w:val="center"/>
          </w:tcPr>
          <w:p>
            <w:pPr>
              <w:pStyle w:val="TableContents"/>
              <w:bidi w:val="0"/>
              <w:spacing w:before="0" w:after="283"/>
              <w:jc w:val="left"/>
              <w:rPr/>
            </w:pPr>
            <w:r>
              <w:rPr/>
              <w:t> </w:t>
            </w:r>
          </w:p>
        </w:tc>
      </w:tr>
      <w:tr>
        <w:trPr/>
        <w:tc>
          <w:tcPr>
            <w:tcW w:w="4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exercisable—September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34,638,157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365,947</w:t>
            </w:r>
          </w:p>
        </w:tc>
        <w:tc>
          <w:tcPr>
            <w:tcW w:w="392" w:type="dxa"/>
            <w:tcBorders/>
            <w:shd w:fill="CFF0FC" w:val="clear"/>
            <w:vAlign w:val="center"/>
          </w:tcPr>
          <w:p>
            <w:pPr>
              <w:pStyle w:val="TableContents"/>
              <w:bidi w:val="0"/>
              <w:spacing w:before="0" w:after="283"/>
              <w:jc w:val="left"/>
              <w:rPr/>
            </w:pPr>
            <w:r>
              <w:rPr/>
              <w:t> </w:t>
            </w:r>
          </w:p>
        </w:tc>
      </w:tr>
      <w:tr>
        <w:trPr/>
        <w:tc>
          <w:tcPr>
            <w:tcW w:w="42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vested and expected to vest—September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36,547,087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379,910</w:t>
            </w:r>
          </w:p>
        </w:tc>
        <w:tc>
          <w:tcPr>
            <w:tcW w:w="392"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 fair value of the options which vested during the nine months ended September 30, 2023</w:t>
      </w:r>
      <w:r>
        <w:rPr>
          <w:rFonts w:ascii="Times New Roman" w:hAnsi="Times New Roman"/>
          <w:color w:val="000000"/>
          <w:sz w:val="20"/>
        </w:rPr>
        <w:t xml:space="preserve"> </w:t>
      </w:r>
      <w:r>
        <w:rPr>
          <w:rFonts w:ascii="Times New Roman" w:hAnsi="Times New Roman"/>
          <w:b w:val="false"/>
          <w:color w:val="000000"/>
          <w:sz w:val="20"/>
        </w:rPr>
        <w:t>was $2.6</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Cayman Equity Incentive Plan</w:t>
      </w:r>
      <w:r>
        <w:rPr>
          <w:rFonts w:ascii="Times New Roman" w:hAnsi="Times New Roman"/>
          <w:color w:val="000000"/>
          <w:sz w:val="20"/>
        </w:rPr>
        <w:t>—</w:t>
      </w:r>
      <w:r>
        <w:rPr>
          <w:rFonts w:ascii="Times New Roman" w:hAnsi="Times New Roman"/>
          <w:b w:val="false"/>
          <w:color w:val="000000"/>
          <w:sz w:val="20"/>
        </w:rPr>
        <w:t>In December 2022, the Company adopted the CCCIS Cayman Holdings Employees Equity Incentive Plans ("Cayman Incentive Plans"), which provide for the issuance of stock option awards in CCC Cayman ("Cayman Awards") to eligible employees of the Company's China subsidiaries.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Awards under the Cayman Incentive Plans are settled in cash and thus accounted for as liability awards. Awards granted under the Cayman Incentive Plans have time-based vesting and expire on the tenth anniversary of the grant date.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the Company granted 539,400</w:t>
      </w:r>
      <w:r>
        <w:rPr>
          <w:rFonts w:ascii="Times New Roman" w:hAnsi="Times New Roman"/>
          <w:color w:val="000000"/>
          <w:sz w:val="20"/>
        </w:rPr>
        <w:t xml:space="preserve"> </w:t>
      </w:r>
      <w:r>
        <w:rPr>
          <w:rFonts w:ascii="Times New Roman" w:hAnsi="Times New Roman"/>
          <w:b w:val="false"/>
          <w:color w:val="000000"/>
          <w:sz w:val="20"/>
        </w:rPr>
        <w:t>stock options under the Cayman Incentive Plans. The exercise price of the options granted is equal to the fair value of the underlying shares at the grant date. As of September 30, 2023 and December 31, 2022, 1,769,400</w:t>
      </w:r>
      <w:r>
        <w:rPr>
          <w:rFonts w:ascii="Times New Roman" w:hAnsi="Times New Roman"/>
          <w:color w:val="000000"/>
          <w:sz w:val="20"/>
        </w:rPr>
        <w:t xml:space="preserve"> </w:t>
      </w:r>
      <w:r>
        <w:rPr>
          <w:rFonts w:ascii="Times New Roman" w:hAnsi="Times New Roman"/>
          <w:b w:val="false"/>
          <w:color w:val="000000"/>
          <w:sz w:val="20"/>
        </w:rPr>
        <w:t>and 1,303,000, respectively, of stock options under the Cayman Incentive Plans are outstanding. As of September 30, 2023, none of the outstanding stock options are exercisable.</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Employee Stock Purchase Plan</w:t>
      </w:r>
      <w:r>
        <w:rPr>
          <w:rFonts w:ascii="Times New Roman" w:hAnsi="Times New Roman"/>
          <w:color w:val="000000"/>
          <w:sz w:val="20"/>
        </w:rPr>
        <w:t>—</w:t>
      </w:r>
      <w:r>
        <w:rPr>
          <w:rFonts w:ascii="Times New Roman" w:hAnsi="Times New Roman"/>
          <w:b w:val="false"/>
          <w:color w:val="000000"/>
          <w:sz w:val="20"/>
        </w:rPr>
        <w:t>In July 2021, the Company adopted the CCC 2021 Employee Stock Purchase Plan ("ESPP").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months ended September 30, 2023, 462,353</w:t>
      </w:r>
      <w:r>
        <w:rPr>
          <w:rFonts w:ascii="Times New Roman" w:hAnsi="Times New Roman"/>
          <w:color w:val="000000"/>
          <w:sz w:val="20"/>
        </w:rPr>
        <w:t xml:space="preserve"> </w:t>
      </w:r>
      <w:r>
        <w:rPr>
          <w:rFonts w:ascii="Times New Roman" w:hAnsi="Times New Roman"/>
          <w:b w:val="false"/>
          <w:color w:val="000000"/>
          <w:sz w:val="20"/>
        </w:rPr>
        <w:t>shares were sold under the ESPP. During the nine months ended September 30, 2023,</w:t>
      </w:r>
      <w:r>
        <w:rPr>
          <w:rFonts w:ascii="Times New Roman" w:hAnsi="Times New Roman"/>
          <w:color w:val="000000"/>
          <w:sz w:val="20"/>
        </w:rPr>
        <w:t xml:space="preserve"> </w:t>
      </w:r>
      <w:r>
        <w:rPr>
          <w:rFonts w:ascii="Times New Roman" w:hAnsi="Times New Roman"/>
          <w:b w:val="false"/>
          <w:color w:val="000000"/>
          <w:sz w:val="20"/>
        </w:rPr>
        <w:t>641,691</w:t>
      </w:r>
      <w:r>
        <w:rPr>
          <w:rFonts w:ascii="Times New Roman" w:hAnsi="Times New Roman"/>
          <w:color w:val="000000"/>
          <w:sz w:val="20"/>
        </w:rPr>
        <w:t xml:space="preserve"> </w:t>
      </w:r>
      <w:r>
        <w:rPr>
          <w:rFonts w:ascii="Times New Roman" w:hAnsi="Times New Roman"/>
          <w:b w:val="false"/>
          <w:color w:val="000000"/>
          <w:sz w:val="20"/>
        </w:rPr>
        <w:t>shares were sold under the ESPP.</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fair value of the ESPP purchase rights sold during the nine months ended September 30, 2023 was estimated using the Black-Scholes option pricing model with the following assumptions:</w:t>
      </w:r>
    </w:p>
    <w:tbl>
      <w:tblPr>
        <w:tblW w:w="3463" w:type="dxa"/>
        <w:jc w:val="left"/>
        <w:tblInd w:w="0" w:type="dxa"/>
        <w:tblLayout w:type="fixed"/>
        <w:tblCellMar>
          <w:top w:w="28" w:type="dxa"/>
          <w:left w:w="28" w:type="dxa"/>
          <w:bottom w:w="28" w:type="dxa"/>
          <w:right w:w="28" w:type="dxa"/>
        </w:tblCellMar>
      </w:tblPr>
      <w:tblGrid>
        <w:gridCol w:w="2131"/>
        <w:gridCol w:w="146"/>
        <w:gridCol w:w="118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0.5</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30%—51%</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2.5%—4.7%</w:t>
            </w:r>
          </w:p>
        </w:tc>
      </w:tr>
    </w:tbl>
    <w:p>
      <w:pPr>
        <w:pStyle w:val="TextBody"/>
        <w:bidi w:val="0"/>
        <w:spacing w:before="120" w:after="283"/>
        <w:jc w:val="left"/>
        <w:rPr>
          <w:rFonts w:ascii="Times New Roman" w:hAnsi="Times New Roman"/>
          <w:sz w:val="20"/>
        </w:rPr>
      </w:pPr>
      <w:r>
        <w:rPr>
          <w:rFonts w:ascii="Times New Roman" w:hAnsi="Times New Roman"/>
          <w:b w:val="false"/>
          <w:i/>
          <w:color w:val="000000"/>
          <w:sz w:val="20"/>
        </w:rPr>
        <w:t>Stock-Based Compensation</w:t>
      </w:r>
      <w:r>
        <w:rPr>
          <w:rFonts w:ascii="Times New Roman" w:hAnsi="Times New Roman"/>
          <w:color w:val="000000"/>
          <w:sz w:val="20"/>
        </w:rPr>
        <w:t>—</w:t>
      </w:r>
      <w:r>
        <w:rPr>
          <w:rFonts w:ascii="Times New Roman" w:hAnsi="Times New Roman"/>
          <w:b w:val="false"/>
          <w:color w:val="000000"/>
          <w:sz w:val="20"/>
        </w:rPr>
        <w:t>Stock-based compensation expense has been recorded in the accompanying condensed consolidated statements of operations and comprehensive (loss) income as follows for the three and nine months ended September 30, 2023 and 2022 (in thousands):</w:t>
      </w:r>
    </w:p>
    <w:p>
      <w:pPr>
        <w:pStyle w:val="TextBody"/>
        <w:bidi w:val="0"/>
        <w:jc w:val="left"/>
        <w:rPr/>
      </w:pPr>
      <w:r>
        <w:rPr/>
        <w:t> </w:t>
      </w:r>
    </w:p>
    <w:tbl>
      <w:tblPr>
        <w:tblW w:w="9427" w:type="dxa"/>
        <w:jc w:val="left"/>
        <w:tblInd w:w="0" w:type="dxa"/>
        <w:tblLayout w:type="fixed"/>
        <w:tblCellMar>
          <w:top w:w="28" w:type="dxa"/>
          <w:left w:w="28" w:type="dxa"/>
          <w:bottom w:w="28" w:type="dxa"/>
          <w:right w:w="28" w:type="dxa"/>
        </w:tblCellMar>
      </w:tblPr>
      <w:tblGrid>
        <w:gridCol w:w="3651"/>
        <w:gridCol w:w="146"/>
        <w:gridCol w:w="259"/>
        <w:gridCol w:w="829"/>
        <w:gridCol w:w="179"/>
        <w:gridCol w:w="179"/>
        <w:gridCol w:w="259"/>
        <w:gridCol w:w="829"/>
        <w:gridCol w:w="146"/>
        <w:gridCol w:w="146"/>
        <w:gridCol w:w="234"/>
        <w:gridCol w:w="869"/>
        <w:gridCol w:w="162"/>
        <w:gridCol w:w="162"/>
        <w:gridCol w:w="234"/>
        <w:gridCol w:w="752"/>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2,396</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6,595</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4,167</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6,359</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18,833</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14,433</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9,257</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25,264</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18,331</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21,739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53,779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39,751</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104,471</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80,769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there was</w:t>
      </w:r>
      <w:r>
        <w:rPr>
          <w:rFonts w:ascii="Times New Roman" w:hAnsi="Times New Roman"/>
          <w:color w:val="000000"/>
          <w:sz w:val="20"/>
        </w:rPr>
        <w:t xml:space="preserve"> </w:t>
      </w:r>
      <w:r>
        <w:rPr>
          <w:rFonts w:ascii="Times New Roman" w:hAnsi="Times New Roman"/>
          <w:b w:val="false"/>
          <w:color w:val="000000"/>
          <w:sz w:val="20"/>
        </w:rPr>
        <w:t>$191.9</w:t>
      </w:r>
      <w:r>
        <w:rPr>
          <w:rFonts w:ascii="Times New Roman" w:hAnsi="Times New Roman"/>
          <w:color w:val="000000"/>
          <w:sz w:val="20"/>
        </w:rPr>
        <w:t xml:space="preserve"> </w:t>
      </w:r>
      <w:r>
        <w:rPr>
          <w:rFonts w:ascii="Times New Roman" w:hAnsi="Times New Roman"/>
          <w:b w:val="false"/>
          <w:color w:val="000000"/>
          <w:sz w:val="20"/>
        </w:rPr>
        <w:t>million of unrecognized stock compensation expense related to unvested time-based awards which is expected to be recognized over a weighted-average period of 2.7</w:t>
      </w:r>
      <w:r>
        <w:rPr>
          <w:rFonts w:ascii="Times New Roman" w:hAnsi="Times New Roman"/>
          <w:color w:val="000000"/>
          <w:sz w:val="20"/>
        </w:rPr>
        <w:t xml:space="preserve"> </w:t>
      </w:r>
      <w:r>
        <w:rPr>
          <w:rFonts w:ascii="Times New Roman" w:hAnsi="Times New Roman"/>
          <w:b w:val="false"/>
          <w:color w:val="000000"/>
          <w:sz w:val="20"/>
        </w:rPr>
        <w:t>years. As of September 30, 2023, there was $45.6</w:t>
      </w:r>
      <w:r>
        <w:rPr>
          <w:rFonts w:ascii="Times New Roman" w:hAnsi="Times New Roman"/>
          <w:color w:val="000000"/>
          <w:sz w:val="20"/>
        </w:rPr>
        <w:t xml:space="preserve"> </w:t>
      </w:r>
      <w:r>
        <w:rPr>
          <w:rFonts w:ascii="Times New Roman" w:hAnsi="Times New Roman"/>
          <w:b w:val="false"/>
          <w:color w:val="000000"/>
          <w:sz w:val="20"/>
        </w:rPr>
        <w:t>million of unrecognized stock-based compensation expense related to unvested performance-based awards which is expected to be recognized over a weighted-average period of 1.2</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18.</w:t>
      </w:r>
    </w:p>
    <w:p>
      <w:pPr>
        <w:pStyle w:val="TextBody"/>
        <w:bidi w:val="0"/>
        <w:spacing w:before="360" w:after="283"/>
        <w:jc w:val="left"/>
        <w:rPr>
          <w:rFonts w:ascii="Times New Roman" w:hAnsi="Times New Roman"/>
          <w:sz w:val="20"/>
        </w:rPr>
      </w:pPr>
      <w:r>
        <w:rPr>
          <w:rFonts w:ascii="Times New Roman" w:hAnsi="Times New Roman"/>
          <w:b/>
          <w:caps/>
          <w:color w:val="000000"/>
          <w:sz w:val="20"/>
        </w:rPr>
        <w:t>WARRANTS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Upon consummation of the Business Combination, the Company assumed publicly-traded warrants ("Public Warrants") and warrants sold in a private placement ("Private Warrants") issued by Dragoneer.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Public Warrants were only able to be exercised for a whole number of shares of the Company’s common stock. All Public Warrants had an exercise price of $11.50</w:t>
      </w:r>
      <w:r>
        <w:rPr>
          <w:rFonts w:ascii="Times New Roman" w:hAnsi="Times New Roman"/>
          <w:color w:val="000000"/>
          <w:sz w:val="20"/>
        </w:rPr>
        <w:t xml:space="preserve"> </w:t>
      </w:r>
      <w:r>
        <w:rPr>
          <w:rFonts w:ascii="Times New Roman" w:hAnsi="Times New Roman"/>
          <w:b w:val="false"/>
          <w:color w:val="000000"/>
          <w:sz w:val="20"/>
        </w:rPr>
        <w:t>per share, subject to adjustment, beginning on August 29, 2021, and were to expire on July 30, 2026</w:t>
      </w:r>
      <w:r>
        <w:rPr>
          <w:rFonts w:ascii="Times New Roman" w:hAnsi="Times New Roman"/>
          <w:color w:val="000000"/>
          <w:sz w:val="20"/>
        </w:rPr>
        <w:t xml:space="preserve"> </w:t>
      </w:r>
      <w:r>
        <w:rPr>
          <w:rFonts w:ascii="Times New Roman" w:hAnsi="Times New Roman"/>
          <w:b w:val="false"/>
          <w:color w:val="000000"/>
          <w:sz w:val="20"/>
        </w:rPr>
        <w:t>or earlier upon redemption or liquidation.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November 2021, the Company announced that it had elected to redeem all of the outstanding Public Warrants on December 29, 2021. Each Public Warrant not exercised by the exercise deadline was redeemed by the Company for $0.10. Concurrent with the redemption, the Public Warrants ceased trading on the New York Stock Exchange and no</w:t>
      </w:r>
      <w:r>
        <w:rPr>
          <w:rFonts w:ascii="Times New Roman" w:hAnsi="Times New Roman"/>
          <w:color w:val="000000"/>
          <w:sz w:val="20"/>
        </w:rPr>
        <w:t xml:space="preserve"> </w:t>
      </w:r>
      <w:r>
        <w:rPr>
          <w:rFonts w:ascii="Times New Roman" w:hAnsi="Times New Roman"/>
          <w:b w:val="false"/>
          <w:color w:val="000000"/>
          <w:sz w:val="20"/>
        </w:rPr>
        <w:t>Public Warrants remained outstanding.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Private Warrants may only be exercised for a whole number of shares of the Company’s common stock. Each Private Warrant entitles the registered holder to purchase one share of the Company’s common stock. All warrants have an exercise price of $11.50</w:t>
      </w:r>
      <w:r>
        <w:rPr>
          <w:rFonts w:ascii="Times New Roman" w:hAnsi="Times New Roman"/>
          <w:color w:val="000000"/>
          <w:sz w:val="20"/>
        </w:rPr>
        <w:t xml:space="preserve"> </w:t>
      </w:r>
      <w:r>
        <w:rPr>
          <w:rFonts w:ascii="Times New Roman" w:hAnsi="Times New Roman"/>
          <w:b w:val="false"/>
          <w:color w:val="000000"/>
          <w:sz w:val="20"/>
        </w:rPr>
        <w:t>per share, subject to adjustment, beginning on August 29, 2021, and will expire on July 30, 2026</w:t>
      </w:r>
      <w:r>
        <w:rPr>
          <w:rFonts w:ascii="Times New Roman" w:hAnsi="Times New Roman"/>
          <w:color w:val="000000"/>
          <w:sz w:val="20"/>
        </w:rPr>
        <w:t xml:space="preserve"> </w:t>
      </w:r>
      <w:r>
        <w:rPr>
          <w:rFonts w:ascii="Times New Roman" w:hAnsi="Times New Roman"/>
          <w:b w:val="false"/>
          <w:color w:val="000000"/>
          <w:sz w:val="20"/>
        </w:rPr>
        <w:t>or earlier upon redemption or liquidation.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were no exercises or redemptions of the Private Warrants during the three and nine months ended September 30, 2023. As of September 30, 2023 and December 31, 2022, the Company had 17,800,000</w:t>
      </w:r>
      <w:r>
        <w:rPr>
          <w:rFonts w:ascii="Times New Roman" w:hAnsi="Times New Roman"/>
          <w:color w:val="000000"/>
          <w:sz w:val="20"/>
        </w:rPr>
        <w:t xml:space="preserve"> </w:t>
      </w:r>
      <w:r>
        <w:rPr>
          <w:rFonts w:ascii="Times New Roman" w:hAnsi="Times New Roman"/>
          <w:b w:val="false"/>
          <w:color w:val="000000"/>
          <w:sz w:val="20"/>
        </w:rPr>
        <w:t>Private Warrants outstanding.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recognized expense of $26.2</w:t>
      </w:r>
      <w:r>
        <w:rPr>
          <w:rFonts w:ascii="Times New Roman" w:hAnsi="Times New Roman"/>
          <w:color w:val="000000"/>
          <w:sz w:val="20"/>
        </w:rPr>
        <w:t xml:space="preserve"> </w:t>
      </w:r>
      <w:r>
        <w:rPr>
          <w:rFonts w:ascii="Times New Roman" w:hAnsi="Times New Roman"/>
          <w:b w:val="false"/>
          <w:color w:val="000000"/>
          <w:sz w:val="20"/>
        </w:rPr>
        <w:t>million and income of $0.3</w:t>
      </w:r>
      <w:r>
        <w:rPr>
          <w:rFonts w:ascii="Times New Roman" w:hAnsi="Times New Roman"/>
          <w:color w:val="000000"/>
          <w:sz w:val="20"/>
        </w:rPr>
        <w:t xml:space="preserve"> </w:t>
      </w:r>
      <w:r>
        <w:rPr>
          <w:rFonts w:ascii="Times New Roman" w:hAnsi="Times New Roman"/>
          <w:b w:val="false"/>
          <w:color w:val="000000"/>
          <w:sz w:val="20"/>
        </w:rPr>
        <w:t>million as a change in fair value of warrant liabilities in the condensed consolidated statements of operations and comprehensive (loss) income for the three months ended September 30, 2023 and 2022, respectively.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recognized expense of $45.4</w:t>
      </w:r>
      <w:r>
        <w:rPr>
          <w:rFonts w:ascii="Times New Roman" w:hAnsi="Times New Roman"/>
          <w:color w:val="000000"/>
          <w:sz w:val="20"/>
        </w:rPr>
        <w:t xml:space="preserve"> </w:t>
      </w:r>
      <w:r>
        <w:rPr>
          <w:rFonts w:ascii="Times New Roman" w:hAnsi="Times New Roman"/>
          <w:b w:val="false"/>
          <w:color w:val="000000"/>
          <w:sz w:val="20"/>
        </w:rPr>
        <w:t>million and income of $23.5</w:t>
      </w:r>
      <w:r>
        <w:rPr>
          <w:rFonts w:ascii="Times New Roman" w:hAnsi="Times New Roman"/>
          <w:color w:val="000000"/>
          <w:sz w:val="20"/>
        </w:rPr>
        <w:t xml:space="preserve"> </w:t>
      </w:r>
      <w:r>
        <w:rPr>
          <w:rFonts w:ascii="Times New Roman" w:hAnsi="Times New Roman"/>
          <w:b w:val="false"/>
          <w:color w:val="000000"/>
          <w:sz w:val="20"/>
        </w:rPr>
        <w:t>million as a change in fair value of warrant liabilities in the condensed consolidated statements of operations and comprehensive (loss) income for the nine months ended September 30, 2023 and 2022, respectively.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Company’s warrant liability was $81.8</w:t>
      </w:r>
      <w:r>
        <w:rPr>
          <w:rFonts w:ascii="Times New Roman" w:hAnsi="Times New Roman"/>
          <w:color w:val="000000"/>
          <w:sz w:val="20"/>
        </w:rPr>
        <w:t xml:space="preserve"> </w:t>
      </w:r>
      <w:r>
        <w:rPr>
          <w:rFonts w:ascii="Times New Roman" w:hAnsi="Times New Roman"/>
          <w:b w:val="false"/>
          <w:color w:val="000000"/>
          <w:sz w:val="20"/>
        </w:rPr>
        <w:t>million and $36.4</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19.</w:t>
      </w:r>
    </w:p>
    <w:p>
      <w:pPr>
        <w:pStyle w:val="TextBody"/>
        <w:bidi w:val="0"/>
        <w:spacing w:before="360" w:after="283"/>
        <w:jc w:val="left"/>
        <w:rPr>
          <w:rFonts w:ascii="Times New Roman" w:hAnsi="Times New Roman"/>
          <w:sz w:val="20"/>
        </w:rPr>
      </w:pPr>
      <w:r>
        <w:rPr>
          <w:rFonts w:ascii="Times New Roman" w:hAnsi="Times New Roman"/>
          <w:b/>
          <w:caps/>
          <w:color w:val="000000"/>
          <w:sz w:val="20"/>
        </w:rPr>
        <w:t>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Obligations</w:t>
      </w:r>
      <w:r>
        <w:rPr>
          <w:rFonts w:ascii="Times New Roman" w:hAnsi="Times New Roman"/>
          <w:color w:val="000000"/>
          <w:sz w:val="20"/>
        </w:rPr>
        <w:t>—</w:t>
      </w:r>
      <w:r>
        <w:rPr>
          <w:rFonts w:ascii="Times New Roman" w:hAnsi="Times New Roman"/>
          <w:b w:val="false"/>
          <w:color w:val="000000"/>
          <w:sz w:val="20"/>
        </w:rPr>
        <w:t>The Company has long-term agreements with suppliers and other parties related to licensing data used in its products and services, outsourced data center, disaster recovery, and SaaS that expire at various dates through 2031. As of September 30, 2023, there were no material changes from the amounts disclosed as of December 31,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Guarantees—</w:t>
      </w:r>
      <w:r>
        <w:rPr>
          <w:rFonts w:ascii="Times New Roman" w:hAnsi="Times New Roman"/>
          <w:b w:val="false"/>
          <w:color w:val="000000"/>
          <w:sz w:val="20"/>
        </w:rPr>
        <w:t>The Company’s services and solutions are typically warranted to perform in a manner consistent with general industry standards that 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subject to customary limitations, if its services and solutions infringe a third party’s intellectual property rights.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 date, the Company has not incurred any material costs as a result of such indemnifications or commitments and has not accrued any liabilities related to such obligations in the accompanying consolidated financial statements.</w:t>
      </w:r>
    </w:p>
    <w:p>
      <w:pPr>
        <w:pStyle w:val="TextBody"/>
        <w:bidi w:val="0"/>
        <w:spacing w:before="120" w:after="283"/>
        <w:jc w:val="left"/>
        <w:rPr>
          <w:rFonts w:ascii="Times New Roman" w:hAnsi="Times New Roman"/>
          <w:sz w:val="20"/>
        </w:rPr>
      </w:pPr>
      <w:r>
        <w:rPr>
          <w:rFonts w:ascii="Times New Roman" w:hAnsi="Times New Roman"/>
          <w:b/>
          <w:color w:val="000000"/>
          <w:sz w:val="20"/>
        </w:rPr>
        <w:t>Employment Agreements</w:t>
      </w:r>
      <w:r>
        <w:rPr>
          <w:rFonts w:ascii="Times New Roman" w:hAnsi="Times New Roman"/>
          <w:color w:val="000000"/>
          <w:sz w:val="20"/>
        </w:rPr>
        <w:t>—</w:t>
      </w:r>
      <w:r>
        <w:rPr>
          <w:rFonts w:ascii="Times New Roman" w:hAnsi="Times New Roman"/>
          <w:b w:val="false"/>
          <w:color w:val="000000"/>
          <w:sz w:val="20"/>
        </w:rPr>
        <w:t>The Company is a party to employment agreements with key employees that provide for compensation and certain other benefits. These agreements also provide for severance and bonus payments under certain circumstances.</w:t>
      </w:r>
      <w:r>
        <w:rPr>
          <w:rFonts w:ascii="Times New Roman" w:hAnsi="Times New Roman"/>
          <w:color w:val="000000"/>
          <w:sz w:val="20"/>
        </w:rPr>
        <w:t xml:space="preserve">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20.</w:t>
      </w:r>
    </w:p>
    <w:p>
      <w:pPr>
        <w:pStyle w:val="TextBody"/>
        <w:bidi w:val="0"/>
        <w:spacing w:before="360" w:after="283"/>
        <w:jc w:val="left"/>
        <w:rPr>
          <w:rFonts w:ascii="Times New Roman" w:hAnsi="Times New Roman"/>
          <w:sz w:val="20"/>
        </w:rPr>
      </w:pPr>
      <w:r>
        <w:rPr>
          <w:rFonts w:ascii="Times New Roman" w:hAnsi="Times New Roman"/>
          <w:b/>
          <w:caps/>
          <w:color w:val="000000"/>
          <w:sz w:val="20"/>
        </w:rPr>
        <w:t>LEGAL PROCEEDINGS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21.</w:t>
      </w:r>
    </w:p>
    <w:p>
      <w:pPr>
        <w:pStyle w:val="TextBody"/>
        <w:bidi w:val="0"/>
        <w:spacing w:before="360" w:after="283"/>
        <w:jc w:val="left"/>
        <w:rPr>
          <w:rFonts w:ascii="Times New Roman" w:hAnsi="Times New Roman"/>
          <w:sz w:val="20"/>
        </w:rPr>
      </w:pPr>
      <w:r>
        <w:rPr>
          <w:rFonts w:ascii="Times New Roman" w:hAnsi="Times New Roman"/>
          <w:b/>
          <w:caps/>
          <w:color w:val="000000"/>
          <w:sz w:val="20"/>
        </w:rPr>
        <w:t>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has engaged in transactions within the ordinary course of business with entities affiliated with its principal equity owners and directors.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revenues recognized and expenses incurred with entities affiliated with one of its principal equity owners and directors for the three and nine months ended September 30, 2023 and 2022 (in thousands):</w:t>
      </w:r>
    </w:p>
    <w:tbl>
      <w:tblPr>
        <w:tblW w:w="10205" w:type="dxa"/>
        <w:jc w:val="left"/>
        <w:tblInd w:w="0" w:type="dxa"/>
        <w:tblLayout w:type="fixed"/>
        <w:tblCellMar>
          <w:top w:w="28" w:type="dxa"/>
          <w:left w:w="28" w:type="dxa"/>
          <w:bottom w:w="28" w:type="dxa"/>
          <w:right w:w="28" w:type="dxa"/>
        </w:tblCellMar>
      </w:tblPr>
      <w:tblGrid>
        <w:gridCol w:w="5162"/>
        <w:gridCol w:w="146"/>
        <w:gridCol w:w="288"/>
        <w:gridCol w:w="576"/>
        <w:gridCol w:w="199"/>
        <w:gridCol w:w="199"/>
        <w:gridCol w:w="288"/>
        <w:gridCol w:w="576"/>
        <w:gridCol w:w="146"/>
        <w:gridCol w:w="146"/>
        <w:gridCol w:w="248"/>
        <w:gridCol w:w="672"/>
        <w:gridCol w:w="171"/>
        <w:gridCol w:w="171"/>
        <w:gridCol w:w="248"/>
        <w:gridCol w:w="672"/>
        <w:gridCol w:w="297"/>
      </w:tblGrid>
      <w:tr>
        <w:trPr/>
        <w:tc>
          <w:tcPr>
            <w:tcW w:w="5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51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297" w:type="dxa"/>
            <w:tcBorders/>
            <w:shd w:fill="FFFFFF" w:val="clear"/>
            <w:vAlign w:val="center"/>
          </w:tcPr>
          <w:p>
            <w:pPr>
              <w:pStyle w:val="TableContents"/>
              <w:bidi w:val="0"/>
              <w:spacing w:before="0" w:after="283"/>
              <w:jc w:val="center"/>
              <w:rPr/>
            </w:pPr>
            <w:r>
              <w:rPr/>
              <w:t> </w:t>
            </w:r>
          </w:p>
        </w:tc>
      </w:tr>
      <w:tr>
        <w:trPr/>
        <w:tc>
          <w:tcPr>
            <w:tcW w:w="51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vAlign w:val="center"/>
          </w:tcPr>
          <w:p>
            <w:pPr>
              <w:pStyle w:val="TableContents"/>
              <w:bidi w:val="0"/>
              <w:spacing w:before="0" w:after="283"/>
              <w:jc w:val="center"/>
              <w:rPr/>
            </w:pPr>
            <w:r>
              <w:rPr/>
              <w:t> </w:t>
            </w:r>
          </w:p>
        </w:tc>
        <w:tc>
          <w:tcPr>
            <w:tcW w:w="864" w:type="dxa"/>
            <w:gridSpan w:val="2"/>
            <w:tcBorders/>
            <w:shd w:fill="FFFFFF" w:val="cle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86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0" w:type="dxa"/>
            <w:gridSpan w:val="2"/>
            <w:tcBorders/>
            <w:shd w:fill="FFFFFF" w:val="cle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920" w:type="dxa"/>
            <w:gridSpan w:val="2"/>
            <w:tcBorders/>
            <w:shd w:fill="FFFFFF" w:val="cle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ind w:left="0" w:right="0" w:firstLine="100"/>
              <w:jc w:val="center"/>
              <w:rPr/>
            </w:pPr>
            <w:r>
              <w:rPr/>
              <w:t> </w:t>
            </w:r>
          </w:p>
        </w:tc>
      </w:tr>
      <w:tr>
        <w:trPr/>
        <w:tc>
          <w:tcPr>
            <w:tcW w:w="516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Credit card processing</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center"/>
              <w:rPr/>
            </w:pPr>
            <w:r>
              <w:rPr/>
              <w:t> </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786</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center"/>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w:t>
            </w:r>
          </w:p>
        </w:tc>
        <w:tc>
          <w:tcPr>
            <w:tcW w:w="297" w:type="dxa"/>
            <w:tcBorders/>
            <w:shd w:fill="CFF0FC" w:val="clear"/>
            <w:vAlign w:val="center"/>
          </w:tcPr>
          <w:p>
            <w:pPr>
              <w:pStyle w:val="TableContents"/>
              <w:bidi w:val="0"/>
              <w:spacing w:before="0" w:after="283"/>
              <w:jc w:val="left"/>
              <w:rPr/>
            </w:pPr>
            <w:r>
              <w:rPr/>
              <w:t> </w:t>
            </w:r>
          </w:p>
        </w:tc>
      </w:tr>
      <w:tr>
        <w:trPr/>
        <w:tc>
          <w:tcPr>
            <w:tcW w:w="516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vAlign w:val="center"/>
          </w:tcPr>
          <w:p>
            <w:pPr>
              <w:pStyle w:val="TableContents"/>
              <w:bidi w:val="0"/>
              <w:spacing w:before="0" w:after="283"/>
              <w:jc w:val="center"/>
              <w:rPr/>
            </w:pPr>
            <w:r>
              <w:rPr/>
              <w:t> </w:t>
            </w:r>
          </w:p>
        </w:tc>
        <w:tc>
          <w:tcPr>
            <w:tcW w:w="864" w:type="dxa"/>
            <w:gridSpan w:val="2"/>
            <w:tcBorders/>
            <w:shd w:fill="FFFFFF" w:val="cle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86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0" w:type="dxa"/>
            <w:gridSpan w:val="2"/>
            <w:tcBorders/>
            <w:shd w:fill="FFFFFF" w:val="cle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920" w:type="dxa"/>
            <w:gridSpan w:val="2"/>
            <w:tcBorders/>
            <w:shd w:fill="FFFFFF" w:val="cle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ind w:left="0" w:right="0" w:firstLine="100"/>
              <w:jc w:val="center"/>
              <w:rPr/>
            </w:pPr>
            <w:r>
              <w:rPr/>
              <w:t> </w:t>
            </w:r>
          </w:p>
        </w:tc>
      </w:tr>
      <w:tr>
        <w:trPr/>
        <w:tc>
          <w:tcPr>
            <w:tcW w:w="516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Employee health insurance benefits</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288"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2,484</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2,353</w:t>
            </w:r>
          </w:p>
        </w:tc>
        <w:tc>
          <w:tcPr>
            <w:tcW w:w="297" w:type="dxa"/>
            <w:tcBorders/>
            <w:shd w:fill="CFF0FC" w:val="clear"/>
            <w:vAlign w:val="center"/>
          </w:tcPr>
          <w:p>
            <w:pPr>
              <w:pStyle w:val="TableContents"/>
              <w:bidi w:val="0"/>
              <w:spacing w:before="0" w:after="283"/>
              <w:ind w:left="0" w:right="0" w:firstLine="100"/>
              <w:jc w:val="left"/>
              <w:rPr/>
            </w:pPr>
            <w:r>
              <w:rPr/>
              <w:t> </w:t>
            </w:r>
          </w:p>
        </w:tc>
      </w:tr>
      <w:tr>
        <w:trPr/>
        <w:tc>
          <w:tcPr>
            <w:tcW w:w="516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Human resources support services</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w:t>
            </w:r>
          </w:p>
        </w:tc>
        <w:tc>
          <w:tcPr>
            <w:tcW w:w="297" w:type="dxa"/>
            <w:tcBorders/>
            <w:shd w:fill="FFFFFF" w:val="clear"/>
            <w:vAlign w:val="center"/>
          </w:tcPr>
          <w:p>
            <w:pPr>
              <w:pStyle w:val="TableContents"/>
              <w:bidi w:val="0"/>
              <w:spacing w:before="0" w:after="283"/>
              <w:ind w:left="0" w:right="0" w:firstLine="100"/>
              <w:jc w:val="left"/>
              <w:rPr/>
            </w:pPr>
            <w:r>
              <w:rPr/>
              <w:t> </w:t>
            </w:r>
          </w:p>
        </w:tc>
      </w:tr>
      <w:tr>
        <w:trPr/>
        <w:tc>
          <w:tcPr>
            <w:tcW w:w="516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Board of director fees for services, including related travel and out-of-pocket reimbursements</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864"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920"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97" w:type="dxa"/>
            <w:tcBorders/>
            <w:shd w:fill="CFF0FC" w:val="clear"/>
            <w:vAlign w:val="center"/>
          </w:tcPr>
          <w:p>
            <w:pPr>
              <w:pStyle w:val="TableContents"/>
              <w:bidi w:val="0"/>
              <w:spacing w:before="0" w:after="283"/>
              <w:ind w:left="0" w:right="0" w:firstLine="100"/>
              <w:jc w:val="right"/>
              <w:rPr/>
            </w:pPr>
            <w:r>
              <w:rPr/>
              <w:t> </w:t>
            </w:r>
          </w:p>
        </w:tc>
      </w:tr>
      <w:tr>
        <w:trPr/>
        <w:tc>
          <w:tcPr>
            <w:tcW w:w="516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Sales tax processing and license fees for tax information</w:t>
            </w:r>
          </w:p>
        </w:tc>
        <w:tc>
          <w:tcPr>
            <w:tcW w:w="146" w:type="dxa"/>
            <w:tcBorders/>
            <w:shd w:fill="FFFFFF" w:val="clear"/>
            <w:vAlign w:val="center"/>
          </w:tcPr>
          <w:p>
            <w:pPr>
              <w:pStyle w:val="TableContents"/>
              <w:bidi w:val="0"/>
              <w:spacing w:before="0" w:after="283"/>
              <w:jc w:val="left"/>
              <w:rPr/>
            </w:pPr>
            <w:r>
              <w:rPr/>
              <w:t> </w:t>
            </w:r>
          </w:p>
        </w:tc>
        <w:tc>
          <w:tcPr>
            <w:tcW w:w="864"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9"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20"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443</w:t>
            </w:r>
          </w:p>
        </w:tc>
        <w:tc>
          <w:tcPr>
            <w:tcW w:w="297"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Not significant</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 Not a related party during the three and nine months ended September 30, 2023.</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amounts receivable and due to entities affiliated with one of its principal equity owners as of September 30, 2023 and December 31, 2022 (in thousands):</w:t>
      </w:r>
    </w:p>
    <w:tbl>
      <w:tblPr>
        <w:tblW w:w="8145" w:type="dxa"/>
        <w:jc w:val="left"/>
        <w:tblInd w:w="0" w:type="dxa"/>
        <w:tblLayout w:type="fixed"/>
        <w:tblCellMar>
          <w:top w:w="28" w:type="dxa"/>
          <w:left w:w="28" w:type="dxa"/>
          <w:bottom w:w="28" w:type="dxa"/>
          <w:right w:w="28" w:type="dxa"/>
        </w:tblCellMar>
      </w:tblPr>
      <w:tblGrid>
        <w:gridCol w:w="4751"/>
        <w:gridCol w:w="246"/>
        <w:gridCol w:w="336"/>
        <w:gridCol w:w="969"/>
        <w:gridCol w:w="146"/>
        <w:gridCol w:w="146"/>
        <w:gridCol w:w="419"/>
        <w:gridCol w:w="841"/>
        <w:gridCol w:w="291"/>
      </w:tblGrid>
      <w:tr>
        <w:trPr/>
        <w:tc>
          <w:tcPr>
            <w:tcW w:w="47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shd w:fill="FFFFFF" w:val="clear"/>
            <w:vAlign w:val="center"/>
          </w:tcPr>
          <w:p>
            <w:pPr>
              <w:pStyle w:val="TableContents"/>
              <w:bidi w:val="0"/>
              <w:spacing w:before="0" w:after="283"/>
              <w:jc w:val="center"/>
              <w:rPr/>
            </w:pPr>
            <w:r>
              <w:rPr/>
              <w:t> </w:t>
            </w:r>
          </w:p>
        </w:tc>
      </w:tr>
      <w:tr>
        <w:trPr/>
        <w:tc>
          <w:tcPr>
            <w:tcW w:w="47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Receivables</w:t>
            </w:r>
          </w:p>
        </w:tc>
        <w:tc>
          <w:tcPr>
            <w:tcW w:w="2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60"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ind w:left="0" w:right="0" w:firstLine="100"/>
              <w:jc w:val="center"/>
              <w:rPr/>
            </w:pPr>
            <w:r>
              <w:rPr/>
              <w:t> </w:t>
            </w:r>
          </w:p>
        </w:tc>
      </w:tr>
      <w:tr>
        <w:trPr/>
        <w:tc>
          <w:tcPr>
            <w:tcW w:w="475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Credit card processing</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305"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91" w:type="dxa"/>
            <w:tcBorders/>
            <w:shd w:fill="FFFFFF" w:val="clear"/>
            <w:vAlign w:val="center"/>
          </w:tcPr>
          <w:p>
            <w:pPr>
              <w:pStyle w:val="TableContents"/>
              <w:bidi w:val="0"/>
              <w:spacing w:before="0" w:after="283"/>
              <w:jc w:val="right"/>
              <w:rPr/>
            </w:pPr>
            <w:r>
              <w:rPr/>
              <w:t> </w:t>
            </w:r>
          </w:p>
        </w:tc>
      </w:tr>
      <w:tr>
        <w:trPr/>
        <w:tc>
          <w:tcPr>
            <w:tcW w:w="47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Payables</w:t>
            </w:r>
          </w:p>
        </w:tc>
        <w:tc>
          <w:tcPr>
            <w:tcW w:w="2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75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Employee health insurance benefits</w:t>
            </w:r>
          </w:p>
        </w:tc>
        <w:tc>
          <w:tcPr>
            <w:tcW w:w="2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75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Human resources support services</w:t>
            </w:r>
          </w:p>
        </w:tc>
        <w:tc>
          <w:tcPr>
            <w:tcW w:w="2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0"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75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Sales tax processing and license fees for tax information</w:t>
            </w:r>
          </w:p>
        </w:tc>
        <w:tc>
          <w:tcPr>
            <w:tcW w:w="2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91" w:type="dxa"/>
            <w:tcBorders/>
            <w:shd w:fill="FFFFFF"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Not significant</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 Not a related party as of September 30, 2023.</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October 2022, the entity which provided sales tax processing and license fees for tax information is no longer affiliated with a director of the Company and is no longer a related party.</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22.</w:t>
      </w:r>
    </w:p>
    <w:p>
      <w:pPr>
        <w:pStyle w:val="TextBody"/>
        <w:bidi w:val="0"/>
        <w:spacing w:before="360" w:after="283"/>
        <w:jc w:val="left"/>
        <w:rPr>
          <w:rFonts w:ascii="Times New Roman" w:hAnsi="Times New Roman"/>
          <w:sz w:val="20"/>
        </w:rPr>
      </w:pPr>
      <w:r>
        <w:rPr>
          <w:rFonts w:ascii="Times New Roman" w:hAnsi="Times New Roman"/>
          <w:b/>
          <w:caps/>
          <w:color w:val="000000"/>
          <w:sz w:val="20"/>
        </w:rPr>
        <w:t>NET (LOSS) INCOME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calculates basic earnings per share by dividing the net (loss) income attributable to common stockholders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 Company excludes common stock equivalent shares from the calculation if their effect is anti-dilutive. In a period where the Company is in a net loss position, the diluted loss per share is calculated using the basic share count.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sets forth a reconciliation of the numerator and denominator used to compute basic and diluted earnings per share of common stock (in thousands, except for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141"/>
        <w:gridCol w:w="166"/>
        <w:gridCol w:w="146"/>
        <w:gridCol w:w="211"/>
        <w:gridCol w:w="1141"/>
        <w:gridCol w:w="146"/>
        <w:gridCol w:w="146"/>
        <w:gridCol w:w="211"/>
        <w:gridCol w:w="1141"/>
        <w:gridCol w:w="166"/>
        <w:gridCol w:w="146"/>
        <w:gridCol w:w="211"/>
        <w:gridCol w:w="1141"/>
        <w:gridCol w:w="3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33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(116,362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37,334</w:t>
            </w:r>
          </w:p>
        </w:tc>
        <w:tc>
          <w:tcPr>
            <w:tcW w:w="391" w:type="dxa"/>
            <w:tcBorders/>
            <w:shd w:fill="FFFFFF" w:val="clear"/>
            <w:vAlign w:val="center"/>
          </w:tcPr>
          <w:p>
            <w:pPr>
              <w:pStyle w:val="TableContents"/>
              <w:bidi w:val="0"/>
              <w:spacing w:before="0" w:after="283"/>
              <w:jc w:val="left"/>
              <w:rPr/>
            </w:pPr>
            <w:r>
              <w:rPr/>
              <w:t> </w:t>
            </w:r>
          </w:p>
        </w:tc>
      </w:tr>
      <w:tr>
        <w:trPr/>
        <w:tc>
          <w:tcPr>
            <w:tcW w:w="33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Accretion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income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(22,212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(117,687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37,334</w:t>
            </w:r>
          </w:p>
        </w:tc>
        <w:tc>
          <w:tcPr>
            <w:tcW w:w="391" w:type="dxa"/>
            <w:tcBorders/>
            <w:shd w:fill="FFFFFF" w:val="cle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3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of common stock—basic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624,976,557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609,421,073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620,841,922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606,181,316</w:t>
            </w:r>
          </w:p>
        </w:tc>
        <w:tc>
          <w:tcPr>
            <w:tcW w:w="391" w:type="dxa"/>
            <w:tcBorders/>
            <w:shd w:fill="FFFFFF" w:val="clear"/>
            <w:vAlign w:val="center"/>
          </w:tcPr>
          <w:p>
            <w:pPr>
              <w:pStyle w:val="TableContents"/>
              <w:bidi w:val="0"/>
              <w:spacing w:before="0" w:after="283"/>
              <w:jc w:val="left"/>
              <w:rPr/>
            </w:pPr>
            <w:r>
              <w:rPr/>
              <w:t> </w:t>
            </w:r>
          </w:p>
        </w:tc>
      </w:tr>
      <w:tr>
        <w:trPr/>
        <w:tc>
          <w:tcPr>
            <w:tcW w:w="33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Dilutive effect of stock-based awards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34,161,849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36,027,306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of common stock—diluted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624,976,557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643,582,922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620,841,922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642,208,622</w:t>
            </w:r>
          </w:p>
        </w:tc>
        <w:tc>
          <w:tcPr>
            <w:tcW w:w="391" w:type="dxa"/>
            <w:tcBorders/>
            <w:shd w:fill="FFFFFF" w:val="clear"/>
            <w:vAlign w:val="center"/>
          </w:tcPr>
          <w:p>
            <w:pPr>
              <w:pStyle w:val="TableContents"/>
              <w:bidi w:val="0"/>
              <w:spacing w:before="0" w:after="283"/>
              <w:jc w:val="left"/>
              <w:rPr/>
            </w:pPr>
            <w:r>
              <w:rPr/>
              <w:t> </w:t>
            </w:r>
          </w:p>
        </w:tc>
      </w:tr>
      <w:tr>
        <w:trPr/>
        <w:tc>
          <w:tcPr>
            <w:tcW w:w="33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income per share:</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0.06</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Approximately 32,593,648</w:t>
      </w:r>
      <w:r>
        <w:rPr>
          <w:rFonts w:ascii="Times New Roman" w:hAnsi="Times New Roman"/>
          <w:color w:val="000000"/>
          <w:sz w:val="20"/>
        </w:rPr>
        <w:t xml:space="preserve"> </w:t>
      </w:r>
      <w:r>
        <w:rPr>
          <w:rFonts w:ascii="Times New Roman" w:hAnsi="Times New Roman"/>
          <w:b w:val="false"/>
          <w:color w:val="000000"/>
          <w:sz w:val="20"/>
        </w:rPr>
        <w:t>and 8,224,561</w:t>
      </w:r>
      <w:r>
        <w:rPr>
          <w:rFonts w:ascii="Times New Roman" w:hAnsi="Times New Roman"/>
          <w:color w:val="000000"/>
          <w:sz w:val="20"/>
        </w:rPr>
        <w:t xml:space="preserve"> </w:t>
      </w:r>
      <w:r>
        <w:rPr>
          <w:rFonts w:ascii="Times New Roman" w:hAnsi="Times New Roman"/>
          <w:b w:val="false"/>
          <w:color w:val="000000"/>
          <w:sz w:val="20"/>
        </w:rPr>
        <w:t>common stock equivalent shares were excluded from the computation of diluted per share amounts for the three months ended September 30, 2023 and 2022, respectively, because their effect was anti-dilutive.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Approximately 31,454,944</w:t>
      </w:r>
      <w:r>
        <w:rPr>
          <w:rFonts w:ascii="Times New Roman" w:hAnsi="Times New Roman"/>
          <w:color w:val="000000"/>
          <w:sz w:val="20"/>
        </w:rPr>
        <w:t xml:space="preserve"> </w:t>
      </w:r>
      <w:r>
        <w:rPr>
          <w:rFonts w:ascii="Times New Roman" w:hAnsi="Times New Roman"/>
          <w:b w:val="false"/>
          <w:color w:val="000000"/>
          <w:sz w:val="20"/>
        </w:rPr>
        <w:t>and 8,250,431</w:t>
      </w:r>
      <w:r>
        <w:rPr>
          <w:rFonts w:ascii="Times New Roman" w:hAnsi="Times New Roman"/>
          <w:color w:val="000000"/>
          <w:sz w:val="20"/>
        </w:rPr>
        <w:t xml:space="preserve"> </w:t>
      </w:r>
      <w:r>
        <w:rPr>
          <w:rFonts w:ascii="Times New Roman" w:hAnsi="Times New Roman"/>
          <w:b w:val="false"/>
          <w:color w:val="000000"/>
          <w:sz w:val="20"/>
        </w:rPr>
        <w:t>common stock equivalent shares were excluded from the computation of diluted per share amounts for the nine months ended September 30, 2023 and 2022, respectively, because their effect was anti-dilutive.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part of the Business Combination, 8,625,000</w:t>
      </w:r>
      <w:r>
        <w:rPr>
          <w:rFonts w:ascii="Times New Roman" w:hAnsi="Times New Roman"/>
          <w:color w:val="000000"/>
          <w:sz w:val="20"/>
        </w:rPr>
        <w:t xml:space="preserve"> </w:t>
      </w:r>
      <w:r>
        <w:rPr>
          <w:rFonts w:ascii="Times New Roman" w:hAnsi="Times New Roman"/>
          <w:b w:val="false"/>
          <w:color w:val="000000"/>
          <w:sz w:val="20"/>
        </w:rPr>
        <w:t>shares issued and held by Dragoneer (the "Sponsor Vesting Shares") became non-transferable and subject to forfeiture on the tenth anniversary of Closing if neither of the defined triggering events has occurred. The Sponsor Vesting Shares are issued and outstanding as of September 30, 2023 and December 31, 2022 and excluded from the weighted average number of shares of common stock outstanding until the vesting requirement is met and the restriction is removed.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23.</w:t>
      </w:r>
    </w:p>
    <w:p>
      <w:pPr>
        <w:pStyle w:val="TextBody"/>
        <w:bidi w:val="0"/>
        <w:spacing w:before="360" w:after="283"/>
        <w:jc w:val="left"/>
        <w:rPr>
          <w:rFonts w:ascii="Times New Roman" w:hAnsi="Times New Roman"/>
          <w:sz w:val="20"/>
        </w:rPr>
      </w:pPr>
      <w:r>
        <w:rPr>
          <w:rFonts w:ascii="Times New Roman" w:hAnsi="Times New Roman"/>
          <w:b/>
          <w:caps/>
          <w:color w:val="000000"/>
          <w:sz w:val="20"/>
        </w:rPr>
        <w:t>SEGMENT INFORMATION and information about geographic areas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operates in one</w:t>
      </w:r>
      <w:r>
        <w:rPr>
          <w:rFonts w:ascii="Times New Roman" w:hAnsi="Times New Roman"/>
          <w:color w:val="000000"/>
          <w:sz w:val="20"/>
        </w:rPr>
        <w:t xml:space="preserve"> </w:t>
      </w:r>
      <w:r>
        <w:rPr>
          <w:rFonts w:ascii="Times New Roman" w:hAnsi="Times New Roman"/>
          <w:b w:val="false"/>
          <w:color w:val="000000"/>
          <w:sz w:val="20"/>
        </w:rPr>
        <w:t>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Revenues by geographic area, presented based upon the location of the customer are as follows (in thousands):</w:t>
      </w:r>
      <w:r>
        <w:rPr>
          <w:rFonts w:ascii="Times New Roman" w:hAnsi="Times New Roman"/>
          <w:color w:val="000000"/>
          <w:sz w:val="20"/>
        </w:rPr>
        <w:t xml:space="preserve"> </w:t>
      </w:r>
    </w:p>
    <w:p>
      <w:pPr>
        <w:pStyle w:val="TextBody"/>
        <w:bidi w:val="0"/>
        <w:jc w:val="left"/>
        <w:rPr/>
      </w:pPr>
      <w:r>
        <w:rPr/>
        <w:t> </w:t>
      </w:r>
    </w:p>
    <w:tbl>
      <w:tblPr>
        <w:tblW w:w="7296" w:type="dxa"/>
        <w:jc w:val="left"/>
        <w:tblInd w:w="0" w:type="dxa"/>
        <w:tblLayout w:type="fixed"/>
        <w:tblCellMar>
          <w:top w:w="28" w:type="dxa"/>
          <w:left w:w="28" w:type="dxa"/>
          <w:bottom w:w="28" w:type="dxa"/>
          <w:right w:w="28" w:type="dxa"/>
        </w:tblCellMar>
      </w:tblPr>
      <w:tblGrid>
        <w:gridCol w:w="1521"/>
        <w:gridCol w:w="146"/>
        <w:gridCol w:w="235"/>
        <w:gridCol w:w="870"/>
        <w:gridCol w:w="162"/>
        <w:gridCol w:w="162"/>
        <w:gridCol w:w="235"/>
        <w:gridCol w:w="870"/>
        <w:gridCol w:w="146"/>
        <w:gridCol w:w="146"/>
        <w:gridCol w:w="223"/>
        <w:gridCol w:w="829"/>
        <w:gridCol w:w="154"/>
        <w:gridCol w:w="154"/>
        <w:gridCol w:w="223"/>
        <w:gridCol w:w="829"/>
        <w:gridCol w:w="391"/>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219,573</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196,727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632,572</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572,417</w:t>
            </w:r>
          </w:p>
        </w:tc>
        <w:tc>
          <w:tcPr>
            <w:tcW w:w="391" w:type="dxa"/>
            <w:tcBorders/>
            <w:shd w:fill="CFF0FC" w:val="clear"/>
            <w:vAlign w:val="center"/>
          </w:tcPr>
          <w:p>
            <w:pPr>
              <w:pStyle w:val="TableContents"/>
              <w:bidi w:val="0"/>
              <w:spacing w:before="0" w:after="283"/>
              <w:jc w:val="left"/>
              <w:rPr/>
            </w:pPr>
            <w:r>
              <w:rPr/>
              <w:t> </w:t>
            </w:r>
          </w:p>
        </w:tc>
      </w:tr>
      <w:tr>
        <w:trPr/>
        <w:tc>
          <w:tcPr>
            <w:tcW w:w="1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221,147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198,734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637,777</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578,342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Software, equipment and property, net by geographic area are as follows (in thousands):</w:t>
      </w:r>
      <w:r>
        <w:rPr>
          <w:rFonts w:ascii="Times New Roman" w:hAnsi="Times New Roman"/>
          <w:color w:val="000000"/>
          <w:sz w:val="20"/>
        </w:rPr>
        <w:t xml:space="preserve"> </w:t>
      </w:r>
    </w:p>
    <w:p>
      <w:pPr>
        <w:pStyle w:val="TextBody"/>
        <w:bidi w:val="0"/>
        <w:jc w:val="left"/>
        <w:rPr/>
      </w:pPr>
      <w:r>
        <w:rPr/>
        <w:t> </w:t>
      </w:r>
    </w:p>
    <w:tbl>
      <w:tblPr>
        <w:tblW w:w="7225" w:type="dxa"/>
        <w:jc w:val="left"/>
        <w:tblInd w:w="0" w:type="dxa"/>
        <w:tblLayout w:type="fixed"/>
        <w:tblCellMar>
          <w:top w:w="28" w:type="dxa"/>
          <w:left w:w="28" w:type="dxa"/>
          <w:bottom w:w="28" w:type="dxa"/>
          <w:right w:w="28" w:type="dxa"/>
        </w:tblCellMar>
      </w:tblPr>
      <w:tblGrid>
        <w:gridCol w:w="3831"/>
        <w:gridCol w:w="146"/>
        <w:gridCol w:w="276"/>
        <w:gridCol w:w="1029"/>
        <w:gridCol w:w="146"/>
        <w:gridCol w:w="146"/>
        <w:gridCol w:w="268"/>
        <w:gridCol w:w="992"/>
        <w:gridCol w:w="391"/>
      </w:tblGrid>
      <w:tr>
        <w:trPr/>
        <w:tc>
          <w:tcPr>
            <w:tcW w:w="3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3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158,059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146,398</w:t>
            </w:r>
          </w:p>
        </w:tc>
        <w:tc>
          <w:tcPr>
            <w:tcW w:w="391" w:type="dxa"/>
            <w:tcBorders/>
            <w:shd w:fill="CFF0FC" w:val="clear"/>
            <w:vAlign w:val="center"/>
          </w:tcPr>
          <w:p>
            <w:pPr>
              <w:pStyle w:val="TableContents"/>
              <w:bidi w:val="0"/>
              <w:spacing w:before="0" w:after="283"/>
              <w:jc w:val="left"/>
              <w:rPr/>
            </w:pPr>
            <w:r>
              <w:rPr/>
              <w:t> </w:t>
            </w:r>
          </w:p>
        </w:tc>
      </w:tr>
      <w:tr>
        <w:trPr/>
        <w:tc>
          <w:tcPr>
            <w:tcW w:w="38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software, equipment and property-net</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146,443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24.</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GAIN ON Sale of cost method investment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February 2022, the Company received cash proceeds of $3.9</w:t>
      </w:r>
      <w:r>
        <w:rPr>
          <w:rFonts w:ascii="Times New Roman" w:hAnsi="Times New Roman"/>
          <w:color w:val="000000"/>
          <w:sz w:val="20"/>
        </w:rPr>
        <w:t xml:space="preserve"> </w:t>
      </w:r>
      <w:r>
        <w:rPr>
          <w:rFonts w:ascii="Times New Roman" w:hAnsi="Times New Roman"/>
          <w:b w:val="false"/>
          <w:color w:val="000000"/>
          <w:sz w:val="20"/>
        </w:rPr>
        <w:t>million in exchange for its equity interest in an investee as a result of the acquisition of the investee. The Company had been accounting for its investment using the cost method and recognized a gain of $3.6</w:t>
      </w:r>
      <w:r>
        <w:rPr>
          <w:rFonts w:ascii="Times New Roman" w:hAnsi="Times New Roman"/>
          <w:color w:val="000000"/>
          <w:sz w:val="20"/>
        </w:rPr>
        <w:t xml:space="preserve"> </w:t>
      </w:r>
      <w:r>
        <w:rPr>
          <w:rFonts w:ascii="Times New Roman" w:hAnsi="Times New Roman"/>
          <w:b w:val="false"/>
          <w:color w:val="000000"/>
          <w:sz w:val="20"/>
        </w:rPr>
        <w:t>million during the</w:t>
      </w:r>
      <w:r>
        <w:rPr>
          <w:rFonts w:ascii="Times New Roman" w:hAnsi="Times New Roman"/>
          <w:color w:val="000000"/>
          <w:sz w:val="20"/>
        </w:rPr>
        <w:t xml:space="preserve"> </w:t>
      </w:r>
      <w:r>
        <w:rPr>
          <w:rFonts w:ascii="Times New Roman" w:hAnsi="Times New Roman"/>
          <w:b w:val="false"/>
          <w:color w:val="000000"/>
          <w:sz w:val="20"/>
        </w:rPr>
        <w:t>nine months ended September 30, 2022.</w:t>
      </w:r>
      <w:r>
        <w:rPr>
          <w:rFonts w:ascii="Times New Roman" w:hAnsi="Times New Roman"/>
          <w:color w:val="000000"/>
          <w:sz w:val="20"/>
        </w:rPr>
        <w:t xml:space="preserve"> </w:t>
      </w:r>
      <w:r>
        <w:rPr>
          <w:rFonts w:ascii="Times New Roman" w:hAnsi="Times New Roman"/>
          <w:b w:val="false"/>
          <w:color w:val="000000"/>
          <w:sz w:val="20"/>
        </w:rPr>
        <w:t>The investment’s carrying value was $0.3</w:t>
      </w:r>
      <w:r>
        <w:rPr>
          <w:rFonts w:ascii="Times New Roman" w:hAnsi="Times New Roman"/>
          <w:color w:val="000000"/>
          <w:sz w:val="20"/>
        </w:rPr>
        <w:t xml:space="preserve"> </w:t>
      </w:r>
      <w:r>
        <w:rPr>
          <w:rFonts w:ascii="Times New Roman" w:hAnsi="Times New Roman"/>
          <w:b w:val="false"/>
          <w:color w:val="000000"/>
          <w:sz w:val="20"/>
        </w:rPr>
        <w:t>million at time of the acquisition. The Company no longer has any ownership interest in the investee.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d_anal"/>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The following discussion and analysis of our financial condition and results of operations should be read together with our unaudited condensed consolidated financial statements and related notes appearing elsewhere in this Quarterly Report on Form 10-Q.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"Cautionary Note Regarding Forward-Looking Statements" and "Risk Factors" as set forth elsewhere in this Quarterly Report on Form 10-Q.</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Unless otherwise indicated or the context otherwise requires, references to "CCC," the "Company," "we," "us," "our" and other similar terms refer to CCC Intelligent Solutions Holdings Inc. and its consolidated subsidiaries.</w:t>
      </w:r>
    </w:p>
    <w:p>
      <w:pPr>
        <w:pStyle w:val="TextBody"/>
        <w:bidi w:val="0"/>
        <w:spacing w:before="24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Founded in 1980, CCC is a leading provider of innovative cloud, mobile, artificial intelligence ("AI"), telematics, hyperscale technologies and applications for the property and casualty ("P&amp;C") insurance economy. Our SaaS platform connects trading partners, facilitates commerce, and supports mission-critical, AI-enabled digital workflows. Leveraging decades of deep domain experience, our industry-leading platform processes more than $100 billion in annual transaction value across this ecosystem, digitizing workflows and connecting more than 35,000 companies across the P&amp;C insurance economy, including insurance carriers, collision repairers, parts suppliers, automotive manufacturers, financial institutions and others.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Direct Repair Programs connect auto insurers and collision repair shops to create business value for both parties, and require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we have become a leading insurance and repair SaaS provider in the U.S. by increasing the depth and breadth of our SaaS offerings over many years. Our insurance solutions help insurance carriers manage mission-critical workflows across the claims lifecycle,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over 29,000 repair facilities through our multi-tenant cloud platform. We believe our software is the architectural backbone of insurance DRP programs and is the primary driver of material revenue for our collision shop customers and a source of material efficiencies for our insurance carrier customers.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processed more than $1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Smart Suite of AI solutions increases automation across existing insurance and repair processes including vehicle damage detection, claim triage, repair estimating, and intelligent claims review. We deliver real-world AI with more than 100 U.S. auto insurers actively using AI-powered solutions in production environments. We have processed more than 14 million unique claims using CCC deep learning AI as of December 31, 2022, an increase of more than 50% over December 31, 2021.</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One of the primary obstacles facing the P&amp;C insurance economy is increasing complexity. Complexity in the P&amp;C insurance economy is driven by technological advancements, Internet of Things ("IoT") data, new business models, supply chain disruption and changing consumer expectations. We believe digitization plays a critical role in managing this growing complexity while meeting consumer expectations. Our technology investments are focused on digitizing complex processes and interactions across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ecosystem, and we believe we are well positioned to power the P&amp;C insurance economy of the future with our data, network, and platform.</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For example, our acquisition of Safekeep in February 2022 added subrogation solutions that can span insurance lines including automotive, property, and worker's compensation.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18 of the top 20 automotive insurance carriers in the U.S., based on DWP, and hundreds of regional carriers. We have more than 35,000 total customers, including over 29,000 automotive collision repair facilities (including repairers and other entities that estimate damaged vehicles), thousands of automotive dealers, 13 of the top 15 automotive manufacturers, based on new vehicle sales, and numerous other companies that participate in the P&amp;C insurance economy.</w:t>
      </w:r>
    </w:p>
    <w:p>
      <w:pPr>
        <w:pStyle w:val="TextBody"/>
        <w:bidi w:val="0"/>
        <w:spacing w:before="240" w:after="283"/>
        <w:jc w:val="left"/>
        <w:rPr>
          <w:rFonts w:ascii="Times New Roman" w:hAnsi="Times New Roman"/>
          <w:sz w:val="20"/>
        </w:rPr>
      </w:pPr>
      <w:r>
        <w:rPr>
          <w:rFonts w:ascii="Times New Roman" w:hAnsi="Times New Roman"/>
          <w:b/>
          <w:color w:val="000000"/>
          <w:sz w:val="20"/>
        </w:rPr>
        <w:t>Key Performance Measures and Operating Metrics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to our GAAP and non-GAAP financial measures, we rely on Software Net Dollar Retention Rate ("Software NDR") and Software Gross Dollar Retention Rate ("Software GDR") to measure and evaluate our business to make strategic decisions. Software NDR and Software GDR may not be comparable to or calculated in the same way as other similarly titled measures used by other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Software NDR</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March for a quarter ending March 31, for unique billing accounts that generated revenue during the corresponding month of the prior year by (b) annualized software revenue as of the corresponding month of the prior year. The calculation includes changes for these billing accounts, such as changes in the solutions purchased, changes in pricing and transaction volume, but does not reflect revenue for new customers added.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also excludes CCC casualty solutions which are largely usage and professional service based.</w:t>
      </w:r>
    </w:p>
    <w:tbl>
      <w:tblPr>
        <w:tblW w:w="4587" w:type="dxa"/>
        <w:jc w:val="left"/>
        <w:tblInd w:w="0" w:type="dxa"/>
        <w:tblLayout w:type="fixed"/>
        <w:tblCellMar>
          <w:top w:w="28" w:type="dxa"/>
          <w:left w:w="28" w:type="dxa"/>
          <w:bottom w:w="28" w:type="dxa"/>
          <w:right w:w="28" w:type="dxa"/>
        </w:tblCellMar>
      </w:tblPr>
      <w:tblGrid>
        <w:gridCol w:w="1376"/>
        <w:gridCol w:w="246"/>
        <w:gridCol w:w="1456"/>
        <w:gridCol w:w="146"/>
        <w:gridCol w:w="586"/>
        <w:gridCol w:w="146"/>
        <w:gridCol w:w="631"/>
      </w:tblGrid>
      <w:tr>
        <w:trPr/>
        <w:tc>
          <w:tcPr>
            <w:tcW w:w="13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r>
      <w:tr>
        <w:trPr/>
        <w:tc>
          <w:tcPr>
            <w:tcW w:w="137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Software NDR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March 31</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106%</w:t>
            </w:r>
          </w:p>
        </w:tc>
        <w:tc>
          <w:tcPr>
            <w:tcW w:w="146" w:type="dxa"/>
            <w:tcBorders/>
            <w:shd w:fill="CFF0FC" w:val="clear"/>
            <w:vAlign w:val="center"/>
          </w:tcPr>
          <w:p>
            <w:pPr>
              <w:pStyle w:val="TableContents"/>
              <w:bidi w:val="0"/>
              <w:spacing w:before="0" w:after="283"/>
              <w:jc w:val="center"/>
              <w:rPr/>
            </w:pPr>
            <w:r>
              <w:rPr/>
              <w:t> </w:t>
            </w:r>
          </w:p>
        </w:tc>
        <w:tc>
          <w:tcPr>
            <w:tcW w:w="6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114%</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June 30</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107%</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111%</w:t>
            </w:r>
          </w:p>
        </w:tc>
      </w:tr>
      <w:tr>
        <w:trPr/>
        <w:tc>
          <w:tcPr>
            <w:tcW w:w="137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107%</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110%</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December 31</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106%</w:t>
            </w:r>
          </w:p>
        </w:tc>
      </w:tr>
    </w:tbl>
    <w:p>
      <w:pPr>
        <w:pStyle w:val="TextBody"/>
        <w:bidi w:val="0"/>
        <w:spacing w:before="240" w:after="283"/>
        <w:jc w:val="left"/>
        <w:rPr>
          <w:rFonts w:ascii="Times New Roman" w:hAnsi="Times New Roman"/>
          <w:sz w:val="20"/>
        </w:rPr>
      </w:pPr>
      <w:r>
        <w:rPr>
          <w:rFonts w:ascii="Times New Roman" w:hAnsi="Times New Roman"/>
          <w:b w:val="false"/>
          <w:i/>
          <w:color w:val="000000"/>
          <w:sz w:val="20"/>
        </w:rPr>
        <w:t>Software GDR</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excludes CCC casualty solutions which are largely usage and professional service based.</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467" w:type="dxa"/>
        <w:jc w:val="left"/>
        <w:tblInd w:w="0" w:type="dxa"/>
        <w:tblLayout w:type="fixed"/>
        <w:tblCellMar>
          <w:top w:w="28" w:type="dxa"/>
          <w:left w:w="28" w:type="dxa"/>
          <w:bottom w:w="28" w:type="dxa"/>
          <w:right w:w="28" w:type="dxa"/>
        </w:tblCellMar>
      </w:tblPr>
      <w:tblGrid>
        <w:gridCol w:w="1376"/>
        <w:gridCol w:w="246"/>
        <w:gridCol w:w="1456"/>
        <w:gridCol w:w="146"/>
        <w:gridCol w:w="526"/>
        <w:gridCol w:w="146"/>
        <w:gridCol w:w="571"/>
      </w:tblGrid>
      <w:tr>
        <w:trPr/>
        <w:tc>
          <w:tcPr>
            <w:tcW w:w="13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r>
      <w:tr>
        <w:trPr/>
        <w:tc>
          <w:tcPr>
            <w:tcW w:w="137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Software GDR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March 31</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99%</w:t>
            </w:r>
          </w:p>
        </w:tc>
        <w:tc>
          <w:tcPr>
            <w:tcW w:w="146" w:type="dxa"/>
            <w:tcBorders/>
            <w:shd w:fill="CFF0FC" w:val="clear"/>
            <w:vAlign w:val="center"/>
          </w:tcPr>
          <w:p>
            <w:pPr>
              <w:pStyle w:val="TableContents"/>
              <w:bidi w:val="0"/>
              <w:spacing w:before="0" w:after="283"/>
              <w:jc w:val="center"/>
              <w:rPr/>
            </w:pPr>
            <w:r>
              <w:rPr/>
              <w:t> </w:t>
            </w:r>
          </w:p>
        </w:tc>
        <w:tc>
          <w:tcPr>
            <w:tcW w:w="5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99%</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June 30</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99%</w:t>
            </w:r>
          </w:p>
        </w:tc>
        <w:tc>
          <w:tcPr>
            <w:tcW w:w="146" w:type="dxa"/>
            <w:tcBorders/>
            <w:shd w:fill="FFFFFF" w:val="clear"/>
            <w:vAlign w:val="center"/>
          </w:tcPr>
          <w:p>
            <w:pPr>
              <w:pStyle w:val="TableContents"/>
              <w:bidi w:val="0"/>
              <w:spacing w:before="0" w:after="283"/>
              <w:jc w:val="center"/>
              <w:rPr/>
            </w:pPr>
            <w:r>
              <w:rPr/>
              <w:t> </w:t>
            </w:r>
          </w:p>
        </w:tc>
        <w:tc>
          <w:tcPr>
            <w:tcW w:w="5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99%</w:t>
            </w:r>
          </w:p>
        </w:tc>
      </w:tr>
      <w:tr>
        <w:trPr/>
        <w:tc>
          <w:tcPr>
            <w:tcW w:w="137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30</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98%</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99%</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December 31</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99%</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Comparison of the three months ended September 30, 2023 to the three months ended September 30, 2022</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5"/>
        <w:gridCol w:w="646"/>
        <w:gridCol w:w="212"/>
        <w:gridCol w:w="1149"/>
        <w:gridCol w:w="167"/>
        <w:gridCol w:w="147"/>
        <w:gridCol w:w="212"/>
        <w:gridCol w:w="1149"/>
        <w:gridCol w:w="166"/>
        <w:gridCol w:w="146"/>
        <w:gridCol w:w="211"/>
        <w:gridCol w:w="736"/>
        <w:gridCol w:w="166"/>
        <w:gridCol w:w="146"/>
        <w:gridCol w:w="146"/>
        <w:gridCol w:w="631"/>
        <w:gridCol w:w="720"/>
      </w:tblGrid>
      <w:tr>
        <w:trPr/>
        <w:tc>
          <w:tcPr>
            <w:tcW w:w="345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345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6" w:type="dxa"/>
            <w:gridSpan w:val="6"/>
            <w:tcBorders/>
            <w:shd w:fill="FFFFFF" w:val="clear"/>
            <w:vAlign w:val="center"/>
          </w:tcPr>
          <w:p>
            <w:pPr>
              <w:pStyle w:val="TableContents"/>
              <w:bidi w:val="0"/>
              <w:spacing w:before="0" w:after="283"/>
              <w:jc w:val="center"/>
              <w:rPr/>
            </w:pPr>
            <w:r>
              <w:rPr/>
              <w:t> </w:t>
            </w:r>
          </w:p>
        </w:tc>
        <w:tc>
          <w:tcPr>
            <w:tcW w:w="720" w:type="dxa"/>
            <w:tcBorders/>
            <w:shd w:fill="FFFFFF" w:val="clear"/>
            <w:vAlign w:val="center"/>
          </w:tcPr>
          <w:p>
            <w:pPr>
              <w:pStyle w:val="TableContents"/>
              <w:bidi w:val="0"/>
              <w:spacing w:before="0" w:after="283"/>
              <w:jc w:val="center"/>
              <w:rPr/>
            </w:pPr>
            <w:r>
              <w:rPr/>
              <w:t> </w:t>
            </w:r>
          </w:p>
        </w:tc>
      </w:tr>
      <w:tr>
        <w:trPr/>
        <w:tc>
          <w:tcPr>
            <w:tcW w:w="3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 except share and per share data)</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61"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r>
      <w:tr>
        <w:trPr/>
        <w:tc>
          <w:tcPr>
            <w:tcW w:w="3455"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Revenues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221,147</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198,734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7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61"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right"/>
              <w:rPr/>
            </w:pPr>
            <w:r>
              <w:rPr/>
              <w:t> </w:t>
            </w:r>
          </w:p>
        </w:tc>
        <w:tc>
          <w:tcPr>
            <w:tcW w:w="13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720" w:type="dxa"/>
            <w:tcBorders/>
            <w:shd w:fill="FFFFFF" w:val="clear"/>
            <w:vAlign w:val="center"/>
          </w:tcPr>
          <w:p>
            <w:pPr>
              <w:pStyle w:val="TableContents"/>
              <w:bidi w:val="0"/>
              <w:spacing w:before="0" w:after="283"/>
              <w:ind w:left="0" w:right="0" w:firstLine="400"/>
              <w:jc w:val="right"/>
              <w:rPr/>
            </w:pPr>
            <w:r>
              <w:rPr/>
              <w:t> </w:t>
            </w:r>
          </w:p>
        </w:tc>
      </w:tr>
      <w:tr>
        <w:trPr/>
        <w:tc>
          <w:tcPr>
            <w:tcW w:w="3455"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Cost of revenues, exclusive of amortization of acquired technologies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51,459</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720"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Amortization of acquired technologies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7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val="false"/>
                <w:color w:val="000000"/>
                <w:sz w:val="20"/>
              </w:rPr>
              <w:t>Cost of revenues</w:t>
            </w:r>
            <w:r>
              <w:rPr>
                <w:rFonts w:ascii="Times New Roman" w:hAnsi="Times New Roman"/>
                <w:b w:val="false"/>
                <w:color w:val="000000"/>
                <w:sz w:val="13"/>
              </w:rPr>
              <w:t>(1)</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7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Gross profit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163,121</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145,607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7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61"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right"/>
              <w:rPr/>
            </w:pPr>
            <w:r>
              <w:rPr/>
              <w:t> </w:t>
            </w:r>
          </w:p>
        </w:tc>
        <w:tc>
          <w:tcPr>
            <w:tcW w:w="13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720" w:type="dxa"/>
            <w:tcBorders/>
            <w:shd w:fill="FFFFFF" w:val="clear"/>
            <w:vAlign w:val="center"/>
          </w:tcPr>
          <w:p>
            <w:pPr>
              <w:pStyle w:val="TableContents"/>
              <w:bidi w:val="0"/>
              <w:spacing w:before="0" w:after="283"/>
              <w:ind w:left="0" w:right="0" w:firstLine="400"/>
              <w:jc w:val="right"/>
              <w:rPr/>
            </w:pPr>
            <w:r>
              <w:rPr/>
              <w:t> </w:t>
            </w:r>
          </w:p>
        </w:tc>
      </w:tr>
      <w:tr>
        <w:trPr/>
        <w:tc>
          <w:tcPr>
            <w:tcW w:w="3455"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b w:val="false"/>
                <w:color w:val="000000"/>
                <w:sz w:val="20"/>
              </w:rPr>
              <w:t>Research and development</w:t>
            </w:r>
            <w:r>
              <w:rPr>
                <w:rFonts w:ascii="Times New Roman" w:hAnsi="Times New Roman"/>
                <w:b w:val="false"/>
                <w:color w:val="000000"/>
                <w:sz w:val="13"/>
              </w:rPr>
              <w:t>(1)</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43,532</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720"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FFFFFF"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b w:val="false"/>
                <w:color w:val="000000"/>
                <w:sz w:val="20"/>
              </w:rPr>
              <w:t>Selling and marketing</w:t>
            </w:r>
            <w:r>
              <w:rPr>
                <w:rFonts w:ascii="Times New Roman" w:hAnsi="Times New Roman"/>
                <w:b w:val="false"/>
                <w:color w:val="000000"/>
                <w:sz w:val="13"/>
              </w:rPr>
              <w:t>(1)</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35,605</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720"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b w:val="false"/>
                <w:color w:val="000000"/>
                <w:sz w:val="20"/>
              </w:rPr>
              <w:t>General and administrative</w:t>
            </w:r>
            <w:r>
              <w:rPr>
                <w:rFonts w:ascii="Times New Roman" w:hAnsi="Times New Roman"/>
                <w:b w:val="false"/>
                <w:color w:val="000000"/>
                <w:sz w:val="13"/>
              </w:rPr>
              <w:t>(1)</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49,471</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w:t>
            </w:r>
          </w:p>
        </w:tc>
        <w:tc>
          <w:tcPr>
            <w:tcW w:w="720"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17,942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7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146,550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7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16,571</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7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61"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3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720" w:type="dxa"/>
            <w:tcBorders/>
            <w:shd w:fill="CFF0FC" w:val="clear"/>
            <w:vAlign w:val="center"/>
          </w:tcPr>
          <w:p>
            <w:pPr>
              <w:pStyle w:val="TableContents"/>
              <w:bidi w:val="0"/>
              <w:spacing w:before="0" w:after="283"/>
              <w:ind w:left="0" w:right="0" w:firstLine="400"/>
              <w:jc w:val="right"/>
              <w:rPr/>
            </w:pPr>
            <w:r>
              <w:rPr/>
              <w:t> </w:t>
            </w:r>
          </w:p>
        </w:tc>
      </w:tr>
      <w:tr>
        <w:trPr/>
        <w:tc>
          <w:tcPr>
            <w:tcW w:w="3455"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(14,633</w:t>
            </w:r>
          </w:p>
        </w:tc>
        <w:tc>
          <w:tcPr>
            <w:tcW w:w="1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w:t>
            </w:r>
          </w:p>
        </w:tc>
        <w:tc>
          <w:tcPr>
            <w:tcW w:w="720"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Interest income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5,165</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720" w:type="dxa"/>
            <w:tcBorders/>
            <w:shd w:fill="CFF0FC" w:val="clear"/>
            <w:vAlign w:val="center"/>
          </w:tcPr>
          <w:p>
            <w:pPr>
              <w:pStyle w:val="TableContents"/>
              <w:bidi w:val="0"/>
              <w:spacing w:before="0" w:after="283"/>
              <w:ind w:left="0" w:right="0" w:firstLine="400"/>
              <w:jc w:val="right"/>
              <w:rPr/>
            </w:pPr>
            <w:r>
              <w:rPr/>
              <w:t> </w:t>
            </w:r>
          </w:p>
        </w:tc>
      </w:tr>
      <w:tr>
        <w:trPr/>
        <w:tc>
          <w:tcPr>
            <w:tcW w:w="3455"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Change in fair value of derivative instruments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w:t>
            </w:r>
          </w:p>
        </w:tc>
        <w:tc>
          <w:tcPr>
            <w:tcW w:w="1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720" w:type="dxa"/>
            <w:tcBorders/>
            <w:shd w:fill="FFFFFF" w:val="clear"/>
            <w:vAlign w:val="center"/>
          </w:tcPr>
          <w:p>
            <w:pPr>
              <w:pStyle w:val="TableContents"/>
              <w:bidi w:val="0"/>
              <w:spacing w:before="0" w:after="283"/>
              <w:ind w:left="0" w:right="0" w:firstLine="400"/>
              <w:jc w:val="right"/>
              <w:rPr/>
            </w:pPr>
            <w:r>
              <w:rPr/>
              <w:t> </w:t>
            </w:r>
          </w:p>
        </w:tc>
      </w:tr>
      <w:tr>
        <w:trPr/>
        <w:tc>
          <w:tcPr>
            <w:tcW w:w="3455"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Change in fair value of warrant liabilities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(26,223</w:t>
            </w:r>
          </w:p>
        </w:tc>
        <w:tc>
          <w:tcPr>
            <w:tcW w:w="1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(26,535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720" w:type="dxa"/>
            <w:tcBorders/>
            <w:shd w:fill="CFF0FC" w:val="clear"/>
            <w:vAlign w:val="center"/>
          </w:tcPr>
          <w:p>
            <w:pPr>
              <w:pStyle w:val="TableContents"/>
              <w:bidi w:val="0"/>
              <w:spacing w:before="0" w:after="283"/>
              <w:ind w:left="0" w:right="0" w:firstLine="400"/>
              <w:jc w:val="right"/>
              <w:rPr/>
            </w:pPr>
            <w:r>
              <w:rPr/>
              <w:t> </w:t>
            </w:r>
          </w:p>
        </w:tc>
      </w:tr>
      <w:tr>
        <w:trPr/>
        <w:tc>
          <w:tcPr>
            <w:tcW w:w="3455"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Gain on sale of cost method investment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720"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Other income, net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w:t>
            </w:r>
          </w:p>
        </w:tc>
        <w:tc>
          <w:tcPr>
            <w:tcW w:w="7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Total other (expense) income</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(35,955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-844.4</w:t>
            </w:r>
          </w:p>
        </w:tc>
        <w:tc>
          <w:tcPr>
            <w:tcW w:w="7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Pretax (loss) income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(19,384</w:t>
            </w:r>
          </w:p>
        </w:tc>
        <w:tc>
          <w:tcPr>
            <w:tcW w:w="1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(32,631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720" w:type="dxa"/>
            <w:tcBorders/>
            <w:shd w:fill="CFF0FC" w:val="clear"/>
            <w:vAlign w:val="center"/>
          </w:tcPr>
          <w:p>
            <w:pPr>
              <w:pStyle w:val="TableContents"/>
              <w:bidi w:val="0"/>
              <w:spacing w:before="0" w:after="283"/>
              <w:ind w:left="0" w:right="0" w:firstLine="400"/>
              <w:jc w:val="right"/>
              <w:rPr/>
            </w:pPr>
            <w:r>
              <w:rPr/>
              <w:t> </w:t>
            </w:r>
          </w:p>
        </w:tc>
      </w:tr>
      <w:tr>
        <w:trPr/>
        <w:tc>
          <w:tcPr>
            <w:tcW w:w="3455"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Income tax (provision) benefit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47.3</w:t>
            </w:r>
          </w:p>
        </w:tc>
        <w:tc>
          <w:tcPr>
            <w:tcW w:w="7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5"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 income including non-controlling interest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(21,202</w:t>
            </w:r>
          </w:p>
        </w:tc>
        <w:tc>
          <w:tcPr>
            <w:tcW w:w="1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(30,997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720" w:type="dxa"/>
            <w:tcBorders/>
            <w:shd w:fill="CFF0FC" w:val="clear"/>
            <w:vAlign w:val="center"/>
          </w:tcPr>
          <w:p>
            <w:pPr>
              <w:pStyle w:val="TableContents"/>
              <w:bidi w:val="0"/>
              <w:spacing w:before="0" w:after="283"/>
              <w:ind w:left="0" w:right="0" w:firstLine="200"/>
              <w:jc w:val="right"/>
              <w:rPr/>
            </w:pPr>
            <w:r>
              <w:rPr/>
              <w:t> </w:t>
            </w:r>
          </w:p>
        </w:tc>
      </w:tr>
      <w:tr>
        <w:trPr/>
        <w:tc>
          <w:tcPr>
            <w:tcW w:w="345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Less: accretion of redeemable non-controlling interest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720" w:type="dxa"/>
            <w:tcBorders/>
            <w:shd w:fill="FFFFFF" w:val="clear"/>
            <w:vAlign w:val="center"/>
          </w:tcPr>
          <w:p>
            <w:pPr>
              <w:pStyle w:val="TableContents"/>
              <w:bidi w:val="0"/>
              <w:spacing w:before="0" w:after="283"/>
              <w:jc w:val="right"/>
              <w:rPr/>
            </w:pPr>
            <w:r>
              <w:rPr/>
              <w:t> </w:t>
            </w:r>
          </w:p>
        </w:tc>
      </w:tr>
      <w:tr>
        <w:trPr/>
        <w:tc>
          <w:tcPr>
            <w:tcW w:w="3455"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 income attributable to CCC Intelligent Solutions Holdings Inc. Common Stockholders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(22,212</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 w:type="dxa"/>
            <w:tcBorders/>
            <w:shd w:fill="CFF0FC" w:val="cle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720" w:type="dxa"/>
            <w:tcBorders/>
            <w:shd w:fill="CFF0FC" w:val="clear"/>
            <w:vAlign w:val="center"/>
          </w:tcPr>
          <w:p>
            <w:pPr>
              <w:pStyle w:val="TableContents"/>
              <w:bidi w:val="0"/>
              <w:spacing w:before="0" w:after="283"/>
              <w:jc w:val="right"/>
              <w:rPr/>
            </w:pPr>
            <w:r>
              <w:rPr/>
              <w:t> </w:t>
            </w:r>
          </w:p>
        </w:tc>
      </w:tr>
      <w:tr>
        <w:trPr/>
        <w:tc>
          <w:tcPr>
            <w:tcW w:w="345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 income per share attributable to common stockholders: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61"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right"/>
              <w:rPr/>
            </w:pPr>
            <w:r>
              <w:rPr/>
              <w:t> </w:t>
            </w:r>
          </w:p>
        </w:tc>
        <w:tc>
          <w:tcPr>
            <w:tcW w:w="13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720" w:type="dxa"/>
            <w:tcBorders/>
            <w:shd w:fill="FFFFFF" w:val="clear"/>
            <w:vAlign w:val="center"/>
          </w:tcPr>
          <w:p>
            <w:pPr>
              <w:pStyle w:val="TableContents"/>
              <w:bidi w:val="0"/>
              <w:spacing w:before="0" w:after="283"/>
              <w:ind w:left="0" w:right="0" w:firstLine="200"/>
              <w:jc w:val="right"/>
              <w:rPr/>
            </w:pPr>
            <w:r>
              <w:rPr/>
              <w:t> </w:t>
            </w:r>
          </w:p>
        </w:tc>
      </w:tr>
      <w:tr>
        <w:trPr/>
        <w:tc>
          <w:tcPr>
            <w:tcW w:w="3455"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Basic</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720" w:type="dxa"/>
            <w:tcBorders/>
            <w:shd w:fill="CFF0FC" w:val="clear"/>
            <w:vAlign w:val="center"/>
          </w:tcPr>
          <w:p>
            <w:pPr>
              <w:pStyle w:val="TableContents"/>
              <w:bidi w:val="0"/>
              <w:spacing w:before="0" w:after="283"/>
              <w:ind w:left="0" w:right="0" w:firstLine="200"/>
              <w:jc w:val="right"/>
              <w:rPr/>
            </w:pPr>
            <w:r>
              <w:rPr/>
              <w:t> </w:t>
            </w:r>
          </w:p>
        </w:tc>
      </w:tr>
      <w:tr>
        <w:trPr/>
        <w:tc>
          <w:tcPr>
            <w:tcW w:w="345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Diluted</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720" w:type="dxa"/>
            <w:tcBorders/>
            <w:shd w:fill="FFFFFF" w:val="clear"/>
            <w:vAlign w:val="center"/>
          </w:tcPr>
          <w:p>
            <w:pPr>
              <w:pStyle w:val="TableContents"/>
              <w:bidi w:val="0"/>
              <w:spacing w:before="0" w:after="283"/>
              <w:jc w:val="right"/>
              <w:rPr/>
            </w:pPr>
            <w:r>
              <w:rPr/>
              <w:t> </w:t>
            </w:r>
          </w:p>
        </w:tc>
      </w:tr>
      <w:tr>
        <w:trPr/>
        <w:tc>
          <w:tcPr>
            <w:tcW w:w="3455"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61"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right"/>
              <w:rPr/>
            </w:pPr>
            <w:r>
              <w:rPr/>
              <w:t> </w:t>
            </w:r>
          </w:p>
        </w:tc>
        <w:tc>
          <w:tcPr>
            <w:tcW w:w="13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720" w:type="dxa"/>
            <w:tcBorders/>
            <w:shd w:fill="FFFFFF" w:val="clear"/>
            <w:vAlign w:val="center"/>
          </w:tcPr>
          <w:p>
            <w:pPr>
              <w:pStyle w:val="TableContents"/>
              <w:bidi w:val="0"/>
              <w:spacing w:before="0" w:after="283"/>
              <w:jc w:val="right"/>
              <w:rPr/>
            </w:pPr>
            <w:r>
              <w:rPr/>
              <w:t> </w:t>
            </w:r>
          </w:p>
        </w:tc>
      </w:tr>
      <w:tr>
        <w:trPr/>
        <w:tc>
          <w:tcPr>
            <w:tcW w:w="3455"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Weighted-average shares used in computing net (loss) income per share attributable to common stockholders: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61"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3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720" w:type="dxa"/>
            <w:tcBorders/>
            <w:shd w:fill="CFF0FC" w:val="clear"/>
            <w:vAlign w:val="center"/>
          </w:tcPr>
          <w:p>
            <w:pPr>
              <w:pStyle w:val="TableContents"/>
              <w:bidi w:val="0"/>
              <w:spacing w:before="0" w:after="283"/>
              <w:ind w:left="0" w:right="0" w:firstLine="200"/>
              <w:jc w:val="right"/>
              <w:rPr/>
            </w:pPr>
            <w:r>
              <w:rPr/>
              <w:t> </w:t>
            </w:r>
          </w:p>
        </w:tc>
      </w:tr>
      <w:tr>
        <w:trPr/>
        <w:tc>
          <w:tcPr>
            <w:tcW w:w="345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Basic</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624,976,557</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609,421,073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720" w:type="dxa"/>
            <w:tcBorders/>
            <w:shd w:fill="FFFFFF" w:val="clear"/>
            <w:vAlign w:val="center"/>
          </w:tcPr>
          <w:p>
            <w:pPr>
              <w:pStyle w:val="TableContents"/>
              <w:bidi w:val="0"/>
              <w:spacing w:before="0" w:after="283"/>
              <w:ind w:left="0" w:right="0" w:firstLine="200"/>
              <w:jc w:val="right"/>
              <w:rPr/>
            </w:pPr>
            <w:r>
              <w:rPr/>
              <w:t> </w:t>
            </w:r>
          </w:p>
        </w:tc>
      </w:tr>
      <w:tr>
        <w:trPr/>
        <w:tc>
          <w:tcPr>
            <w:tcW w:w="3455"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Diluted</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624,976,557</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643,582,922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720" w:type="dxa"/>
            <w:tcBorders/>
            <w:shd w:fill="CFF0FC" w:val="clear"/>
            <w:vAlign w:val="center"/>
          </w:tcPr>
          <w:p>
            <w:pPr>
              <w:pStyle w:val="TableContents"/>
              <w:bidi w:val="0"/>
              <w:spacing w:before="0" w:after="283"/>
              <w:ind w:left="0" w:right="0" w:firstLine="100"/>
              <w:jc w:val="right"/>
              <w:rPr/>
            </w:pPr>
            <w:r>
              <w:rPr/>
              <w:t> </w:t>
            </w:r>
          </w:p>
        </w:tc>
      </w:tr>
      <w:tr>
        <w:trPr/>
        <w:tc>
          <w:tcPr>
            <w:tcW w:w="3455" w:type="dxa"/>
            <w:tcBorders/>
            <w:shd w:fill="FFFFFF" w:val="clear"/>
            <w:vAlign w:val="center"/>
          </w:tcPr>
          <w:p>
            <w:pPr>
              <w:pStyle w:val="TableContents"/>
              <w:bidi w:val="0"/>
              <w:spacing w:before="0" w:after="283"/>
              <w:ind w:left="100" w:right="0" w:firstLine="100"/>
              <w:jc w:val="left"/>
              <w:rPr>
                <w:rFonts w:ascii="Times New Roman" w:hAnsi="Times New Roman"/>
                <w:b w:val="false"/>
                <w:i/>
                <w:color w:val="000000"/>
                <w:sz w:val="20"/>
              </w:rPr>
            </w:pPr>
            <w:r>
              <w:rPr>
                <w:rFonts w:ascii="Times New Roman" w:hAnsi="Times New Roman"/>
                <w:b w:val="false"/>
                <w:i/>
                <w:color w:val="000000"/>
                <w:sz w:val="20"/>
              </w:rPr>
              <w:t>NM—Not Meaningful</w:t>
            </w:r>
          </w:p>
        </w:tc>
        <w:tc>
          <w:tcPr>
            <w:tcW w:w="646" w:type="dxa"/>
            <w:tcBorders/>
            <w:shd w:fill="FFFFFF" w:val="clear"/>
            <w:vAlign w:val="center"/>
          </w:tcPr>
          <w:p>
            <w:pPr>
              <w:pStyle w:val="TableContents"/>
              <w:bidi w:val="0"/>
              <w:spacing w:before="0" w:after="283"/>
              <w:jc w:val="left"/>
              <w:rPr/>
            </w:pPr>
            <w:r>
              <w:rPr/>
              <w:t> </w:t>
            </w:r>
          </w:p>
        </w:tc>
        <w:tc>
          <w:tcPr>
            <w:tcW w:w="1361"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61"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w:t>
            </w:r>
            <w:r>
              <w:rPr>
                <w:rFonts w:ascii="Times New Roman" w:hAnsi="Times New Roman"/>
                <w:b w:val="false"/>
                <w:color w:val="000000"/>
                <w:sz w:val="20"/>
              </w:rPr>
              <w:t>Includes stock-based compensation expense as follows (in thousands):</w:t>
            </w:r>
          </w:p>
        </w:tc>
        <w:tc>
          <w:tcPr>
            <w:tcW w:w="646" w:type="dxa"/>
            <w:tcBorders/>
            <w:shd w:fill="FFFFFF" w:val="clear"/>
            <w:vAlign w:val="center"/>
          </w:tcPr>
          <w:p>
            <w:pPr>
              <w:pStyle w:val="TableContents"/>
              <w:bidi w:val="0"/>
              <w:spacing w:before="0" w:after="283"/>
              <w:jc w:val="left"/>
              <w:rPr/>
            </w:pPr>
            <w:r>
              <w:rPr/>
              <w:t> </w:t>
            </w:r>
          </w:p>
        </w:tc>
        <w:tc>
          <w:tcPr>
            <w:tcW w:w="1361"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revenues</w:t>
            </w:r>
          </w:p>
        </w:tc>
        <w:tc>
          <w:tcPr>
            <w:tcW w:w="6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2,396</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r>
      <w:tr>
        <w:trPr/>
        <w:tc>
          <w:tcPr>
            <w:tcW w:w="34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6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6,359</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6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9,257</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r>
      <w:tr>
        <w:trPr/>
        <w:tc>
          <w:tcPr>
            <w:tcW w:w="34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6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21,739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6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39,751</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Revenues increased by $22.4 million to $221.1 million, or 11.3%, for the three months ended September 30, 2023, compared to the three months ended September 30, 2022. The Company's software subscription revenues accounted for $212.5 million and $191.2 million, or 96% of total revenue during the three months ended September 30, 2023 and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increase in revenue was primarily a result of 8% growth from existing customer upgrades and expanding solution offerings to these existing customers as well as 3% growth from new customers.</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 of revenues increased by $4.9 million to $58.0 million, or 9.2%, for the three months ended September 30, 2023, compared to the three months ended September 30, 2022.</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Cost of Revenues, exclusive of amortization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 of revenues, exclusive of amortization of acquired technologies, increased by $5.1 million to $51.5 million, or 11.0%, for the three months ended September 30, 2023, compared to the three months ended September 30, 2022. The increase was primarily due to a $3.7 million increase in depreciation expense related to additional investments in platform and customer solution enhancements, a $0.7 million increase in personnel-related costs, primarily from stock-based compensation, and a $0.5 million increase in third party fees and direct costs associated with our revenue growth.</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Amortization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Amortization of acquired technologies was $6.6 million and $6.7 million for the three months ended September 30, 2023 and 2022,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Gross profit increased by $17.5 million to $163.1 million, or 12.0%, for the three months ended September 30, 2023, compared to the three months ended September 30, 2022. Our gross profit margin was 73.8% for the three months ended September 30, 2023, compared to 73.3% for the three months ended September 30, 2022. The increase in gross profit and gross profit margin was due to increased software subscription revenues and economies of scale resulting from fixed cost arrangements, partially offset by the increase in depreciation expense related to additional investments in platform and customer solution enhancements.</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 increased by $3.3 million to $43.5 million, or 8.1%, for the three months ended September 30, 2023, compared to the three months ended September 30, 2022. The increase was primarily due to a $3.4 million increase in IT related costs and a $1.9 million increase in consulting and other professional service costs, partially offset by a $2.0 million increase in the amount of capitalized time on platform and customer solution enhancements.</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Selling and marketing expense increased by $4.8 million to $35.6 million, or 15.5%, for the three months ended September 30, 2023, compared to the three months ended September 30, 2022. The increase was primarily due to a $4.1 million increase in personnel-related costs, including $2.4 million of stock-based compensation, and sales incentives and a $0.2 million increase in travel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 increased by $10.1 million to $49.5 million, or 25.6%, for the three months ended September 30, 2023, compared to the three months ended September 30, 2022. The increase was primarily due to an $8.3 million increase in personnel-related costs, including a $6.9 million increase in stock-based compensation, a $0.9 million increase in IT related costs and a $0.8 million increase in legal and other professional service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Amortization of intangible assets was $17.9 million and $18.1 million for the three months ended September 30, 2023 and 2022,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increased by $4.1 million to $14.6 million, or 39.3%, for the three months ended September 30, 2023, compared to the three months ended September 30, 2022, due to higher variable interest rates during the three months ended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income was $5.2 million for the three months ended September 30, 2023. The interest income was due to interest earned on our cash and cash equivalent balances. We did not recognize any interest income for the three months ended September 30, 2022.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Derivative Instruments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recognized expense of $0.4 million from a change in fair value of derivative instruments for the three months ended September 30, 2023 compared to income of $6.0 million for the three months ended September 30, 2022. The change in fair value of derivative instruments during each period is related to the interest rate cap agreements entered into in August 2022 and driven by the proximity of the maturity date and changes in the forward yield curve during the period.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 in Fair Value of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recognized expense of $26.2 million from a change in fair value of warrant liabilities for the three months ended September 30, 2023, compared to income of $0.3 million for the three months ended September 30, 2022. The change in fair value of warrant liabilities during each period was primarily due to changes in the price of the Company's common stock during each respective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 (Provision) Benefit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Income tax provision was $1.8 million for the three months ended September 30, 2023, compared to an income tax provision of $3.5 million for the three months ended September 30, 2022. The income tax provision during the three months ended September 30, 2023 was due to the tax expense related to pre-tax ordinary income, partially offset by the tax benefits from discrete items related to share-based compensation expense, a return to provision adjustment related to estimated research and development credits, and the tax benefit associated with the re-measurement of the Company's deferred tax liability for changes in state tax rates.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Comparison of the nine months ended September 30, 2023 to the nine months ended September 30,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9"/>
        <w:gridCol w:w="646"/>
        <w:gridCol w:w="211"/>
        <w:gridCol w:w="1141"/>
        <w:gridCol w:w="166"/>
        <w:gridCol w:w="146"/>
        <w:gridCol w:w="211"/>
        <w:gridCol w:w="1141"/>
        <w:gridCol w:w="166"/>
        <w:gridCol w:w="146"/>
        <w:gridCol w:w="211"/>
        <w:gridCol w:w="841"/>
        <w:gridCol w:w="166"/>
        <w:gridCol w:w="146"/>
        <w:gridCol w:w="146"/>
        <w:gridCol w:w="526"/>
        <w:gridCol w:w="516"/>
      </w:tblGrid>
      <w:tr>
        <w:trPr/>
        <w:tc>
          <w:tcPr>
            <w:tcW w:w="367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7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6" w:type="dxa"/>
            <w:gridSpan w:val="6"/>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3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 except share and per share data)</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9"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Revenue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637,777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578,342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Cost of revenue, exclusive of amortization and impairment of acquired technologies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135,174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Amortization of acquired technologies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acquired technologies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FFFFFF" w:val="clear"/>
            <w:vAlign w:val="center"/>
          </w:tcPr>
          <w:p>
            <w:pPr>
              <w:pStyle w:val="TableContents"/>
              <w:bidi w:val="0"/>
              <w:spacing w:before="0" w:after="283"/>
              <w:jc w:val="right"/>
              <w:rPr/>
            </w:pPr>
            <w:r>
              <w:rPr/>
              <w:t> </w:t>
            </w:r>
          </w:p>
        </w:tc>
      </w:tr>
      <w:tr>
        <w:trPr/>
        <w:tc>
          <w:tcPr>
            <w:tcW w:w="3679"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val="false"/>
                <w:color w:val="000000"/>
                <w:sz w:val="20"/>
              </w:rPr>
              <w:t>Cost of revenues</w:t>
            </w:r>
            <w:r>
              <w:rPr>
                <w:rFonts w:ascii="Times New Roman" w:hAnsi="Times New Roman"/>
                <w:b w:val="false"/>
                <w:color w:val="000000"/>
                <w:sz w:val="13"/>
              </w:rPr>
              <w:t>(1)</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Gross profit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463,495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422,975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679" w:type="dxa"/>
            <w:tcBorders/>
            <w:shd w:fill="FFFFFF"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b w:val="false"/>
                <w:color w:val="000000"/>
                <w:sz w:val="20"/>
              </w:rPr>
              <w:t>Research and development</w:t>
            </w:r>
            <w:r>
              <w:rPr>
                <w:rFonts w:ascii="Times New Roman" w:hAnsi="Times New Roman"/>
                <w:b w:val="false"/>
                <w:color w:val="000000"/>
                <w:sz w:val="13"/>
              </w:rPr>
              <w:t>(1)</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127,891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b w:val="false"/>
                <w:color w:val="000000"/>
                <w:sz w:val="20"/>
              </w:rPr>
              <w:t>Selling and marketing</w:t>
            </w:r>
            <w:r>
              <w:rPr>
                <w:rFonts w:ascii="Times New Roman" w:hAnsi="Times New Roman"/>
                <w:b w:val="false"/>
                <w:color w:val="000000"/>
                <w:sz w:val="13"/>
              </w:rPr>
              <w:t>(1)</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88,731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FFFFFF"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b w:val="false"/>
                <w:color w:val="000000"/>
                <w:sz w:val="20"/>
              </w:rPr>
              <w:t>General and administrative</w:t>
            </w:r>
            <w:r>
              <w:rPr>
                <w:rFonts w:ascii="Times New Roman" w:hAnsi="Times New Roman"/>
                <w:b w:val="false"/>
                <w:color w:val="000000"/>
                <w:sz w:val="13"/>
              </w:rPr>
              <w:t>(1)</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123,093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Amortization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goodwill</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7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CFF0FC" w:val="clear"/>
            <w:vAlign w:val="center"/>
          </w:tcPr>
          <w:p>
            <w:pPr>
              <w:pStyle w:val="TableContents"/>
              <w:bidi w:val="0"/>
              <w:spacing w:before="0" w:after="283"/>
              <w:jc w:val="right"/>
              <w:rPr/>
            </w:pPr>
            <w:r>
              <w:rPr/>
              <w:t> </w:t>
            </w:r>
          </w:p>
        </w:tc>
      </w:tr>
      <w:tr>
        <w:trPr/>
        <w:tc>
          <w:tcPr>
            <w:tcW w:w="3679"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Operating (loss) income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(43,286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(85,514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CFF0FC" w:val="clear"/>
            <w:vAlign w:val="center"/>
          </w:tcPr>
          <w:p>
            <w:pPr>
              <w:pStyle w:val="TableContents"/>
              <w:bidi w:val="0"/>
              <w:spacing w:before="0" w:after="283"/>
              <w:jc w:val="right"/>
              <w:rPr/>
            </w:pPr>
            <w:r>
              <w:rPr/>
              <w:t> </w:t>
            </w:r>
          </w:p>
        </w:tc>
      </w:tr>
      <w:tr>
        <w:trPr/>
        <w:tc>
          <w:tcPr>
            <w:tcW w:w="3679"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Other (expense) income:</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7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(42,480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(25,786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-64.7</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Interest income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7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Change in fair value of derivative instruments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-90.6</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Change in fair value of warrant liabilities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(68,855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7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Gain on sale of cost method investment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67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Other income, net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79"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Total other (expense) income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CFF0FC" w:val="clear"/>
            <w:vAlign w:val="center"/>
          </w:tcPr>
          <w:p>
            <w:pPr>
              <w:pStyle w:val="TableContents"/>
              <w:bidi w:val="0"/>
              <w:spacing w:before="0" w:after="283"/>
              <w:jc w:val="right"/>
              <w:rPr/>
            </w:pPr>
            <w:r>
              <w:rPr/>
              <w:t> </w:t>
            </w:r>
          </w:p>
        </w:tc>
      </w:tr>
      <w:tr>
        <w:trPr/>
        <w:tc>
          <w:tcPr>
            <w:tcW w:w="3679"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(Loss) income before income taxes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(117,608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(167,656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7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Income tax benefit (provision)</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CFF0FC" w:val="clear"/>
            <w:vAlign w:val="center"/>
          </w:tcPr>
          <w:p>
            <w:pPr>
              <w:pStyle w:val="TableContents"/>
              <w:bidi w:val="0"/>
              <w:spacing w:before="0" w:after="283"/>
              <w:jc w:val="right"/>
              <w:rPr/>
            </w:pPr>
            <w:r>
              <w:rPr/>
              <w:t> </w:t>
            </w:r>
          </w:p>
        </w:tc>
      </w:tr>
      <w:tr>
        <w:trPr/>
        <w:tc>
          <w:tcPr>
            <w:tcW w:w="3679"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 income including non-controlling interest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(116,362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(153,696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FFFFFF" w:val="clear"/>
            <w:vAlign w:val="center"/>
          </w:tcPr>
          <w:p>
            <w:pPr>
              <w:pStyle w:val="TableContents"/>
              <w:bidi w:val="0"/>
              <w:spacing w:before="0" w:after="283"/>
              <w:jc w:val="right"/>
              <w:rPr/>
            </w:pPr>
            <w:r>
              <w:rPr/>
              <w:t> </w:t>
            </w:r>
          </w:p>
        </w:tc>
      </w:tr>
      <w:tr>
        <w:trPr/>
        <w:tc>
          <w:tcPr>
            <w:tcW w:w="3679"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Less: accretion of redeemable non-controlling interest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CFF0FC" w:val="clear"/>
            <w:vAlign w:val="center"/>
          </w:tcPr>
          <w:p>
            <w:pPr>
              <w:pStyle w:val="TableContents"/>
              <w:bidi w:val="0"/>
              <w:spacing w:before="0" w:after="283"/>
              <w:jc w:val="right"/>
              <w:rPr/>
            </w:pPr>
            <w:r>
              <w:rPr/>
              <w:t> </w:t>
            </w:r>
          </w:p>
        </w:tc>
      </w:tr>
      <w:tr>
        <w:trPr/>
        <w:tc>
          <w:tcPr>
            <w:tcW w:w="3679"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 income attributable to CCC Intelligent Solutions Holdings Inc. Common Stockholders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16" w:type="dxa"/>
            <w:tcBorders/>
            <w:shd w:fill="FFFFFF" w:val="clear"/>
            <w:vAlign w:val="center"/>
          </w:tcPr>
          <w:p>
            <w:pPr>
              <w:pStyle w:val="TableContents"/>
              <w:bidi w:val="0"/>
              <w:spacing w:before="0" w:after="283"/>
              <w:jc w:val="right"/>
              <w:rPr/>
            </w:pPr>
            <w:r>
              <w:rPr/>
              <w:t> </w:t>
            </w:r>
          </w:p>
        </w:tc>
      </w:tr>
      <w:tr>
        <w:trPr/>
        <w:tc>
          <w:tcPr>
            <w:tcW w:w="3679"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 income per share attributable to common</w:t>
              <w:br/>
              <w:t>   stockholders: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679"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Basic</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79"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Diluted</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3679"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Weighted-average shares used in computing net (loss) income per share attributable to common stockholders: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79"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Basic</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620,841,922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606,181,316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679"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Diluted</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620,841,922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642,208,622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jc w:val="right"/>
              <w:rPr/>
            </w:pPr>
            <w:r>
              <w:rPr/>
              <w:t> </w:t>
            </w:r>
          </w:p>
        </w:tc>
      </w:tr>
      <w:tr>
        <w:trPr/>
        <w:tc>
          <w:tcPr>
            <w:tcW w:w="367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w:t>
            </w:r>
            <w:r>
              <w:rPr>
                <w:rFonts w:ascii="Times New Roman" w:hAnsi="Times New Roman"/>
                <w:b w:val="false"/>
                <w:color w:val="000000"/>
                <w:sz w:val="20"/>
              </w:rPr>
              <w:t>Includes stock-based compensation expense as follows (in thousands):</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7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7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revenues</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6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6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NM—Not Meaningful</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Revenues increased by $59.4 million to $637.8 million, or 10.3%, for the nine months ended September 30, 2023, compared to the nine months ended September 30, 2022. The Company's software subscription revenues accounted for $611.6 million and $556.5 million, or 96% of total revenue during the nine months ended September 30, 2023 and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increase in revenue was primarily a result of 7% growth from existing customer upgrades and expanding solution offerings to these existing customers as well as 3% growth from new customers.</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 of revenues increased by $18.9 million to $174.3 million, or 12.2%, for the nine months ended September 30, 2023, compared to the nine months ended September 30, 2022.</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Cost of Revenues, exclusive of amortization and impairment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 of revenues, exclusive of amortization and impairment of acquired technologies, increased by $18.8 million to $154.0 million, or 13.9%, for the nine months ended September 30, 2023, compared to the nine months ended September 30, 2022. The increase was primarily due to a $9.2 million increase in depreciation expense related to additional investments in platform and customer solution enhancements, a $5.0 million increase in personnel-related costs, including stock-based compensation, a $1.9 million increase in third party fees and direct costs associated with our revenue growth and a $1.7 million increase in IT related costs.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Amortization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Amortization of acquired technologies was $19.9 million and $20.2 million for the nine months ended September 30, 2023 and 2022, respectively.</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Impairment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Impairment of acquired technologies was $0.4 million for the nine months ended September 30, 2023 due to an impairment charge recognized as a result of lower forecasted earnings and cash flows for the Company’s China reporting unit. There was no impairment charge recognized during the nine months ended September 30, 2022. See Note 11 to the condensed consolidated financial statements included elsewhere in this Quarterly Report on Form 10-Q for additional information.</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Gross profit increased by $40.5 million to $463.5 million, or 9.6%, for the nine months ended September 30, 2023, compared to the nine months ended September 30, 2022. Our gross profit margin was 72.7% for the nine months ended September 30, 2023, compared to 73.1% for the nine months ended September 30, 2022. The increase in gross profit was due to increased software subscription revenues and economies of scale resulting from fixed cost arrangements, partially offset by the increase in depreciation expense related to additional investments in platform and customer solution enhancements.</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 increased by $13.2 million to $127.9 million, or 11.5%, for the nine months ended September 30, 2023, compared to the nine months ended September 30, 2022. The increase was primarily due to an $8.3 million increase in consulting and other professional service costs, a $7.6 million increase in IT related costs and a $6.8 million increase in personnel-related costs, including stock-based compensation, partially offset by a $9.4 million increase in the amount of capitalized time on platform and customer solution enhancements.</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and Marketing</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Selling and marketing expense increased by $16.3 million to $105.1 million, or 18.4%, for the nine months ended September 30, 2023, compared to the nine months ended September 30, 2022. The increase was primarily due to a $13.9 million increase in personnel-related costs, including $6.9 million of stock-based compensation, and sales incentives and a $1.3 million increase in travel costs.</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 increased by $14.4 million to $137.5 million, or 11.7%, for the nine months ended September 30, 2023, compared to the nine months ended September 30, 2022. The increase was primarily due to a $13.5 million increase in personnel-related costs, including $9.9 million of stock-based compensation, and a $1.3 million increase in legal and other professional service costs, partially offset by a $0.7 million decrease in the Company's facilities costs.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Amortization of intangible assets was $54.0 million and $54.2 million for the nine months ended September 30, 2023 and 2022,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Impairment of 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recorded impairment charges of goodwill and intangible assets of $77.4 million and $4.9 million, respectively, for the nine months ended September 30, 2023. The impairment charges were the result of lower forecasted earnings and cash flows for the Company’s China reporting unit. There was no impairment charge recognized during the nine months ended September 30, 2022. See Note 11 to the condensed consolidated financial statements included elsewhere in this Quarterly Report on Form 10-Q for additional information.</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increased by $16.7 million to $42.5 million, or 64.7%, for the nine months ended September 30, 2023, compared to the nine months ended September 30, 2022, due to higher variable interest rates during the nine months ended September 30, 2023.</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income was $12.4 million for the nine months ended September 30, 2023. The interest income was due to interest earned on our cash and cash equivalent balances. We did not recognize any interest income for the nine months ended September 30, 2022.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Derivative Instruments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recognized income of $0.6 million and $6.0 million from a change in fair value of derivative instruments for the nine months ended September 30, 2023 and 2022, respectively. The change in fair value of derivative instruments during each period is related to the interest rate cap agreements entered into in August 2022 and driven by the proximity of the maturity date and changes in the forward yield curve during the period.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 in Fair Value of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recognized expense of $45.4 million from a change in fair value of warrant liabilities for the nine months ended September 30, 2023, compared to income of $23.5 million for the nine months ended September 30, 2022. The change in fair value of warrant liabilities during each period was primarily due to changes in the price of the Company's common stock during each respective period.</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 Benefit (Provision)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Income tax benefit was $1.2 million for the nine months ended September 30, 2023, compared to an income tax provision of $12.7 million for the nine months ended September 30, 2022. The income tax benefit during the nine months ended September 30, 2023 was due to the tax benefits from discrete items related to share-based compensation expense, the impairment of certain intangible assets, a return to provision adjustment related to estimated research and development credits, and the tax benefit associated with the re-measurement of the Company's deferred tax liability for changes in state tax rates being greater than the tax expense related to pre-tax income.</w:t>
      </w:r>
    </w:p>
    <w:p>
      <w:pPr>
        <w:pStyle w:val="TextBody"/>
        <w:bidi w:val="0"/>
        <w:spacing w:before="24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Adjusted 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believe that Adjusted Gross Profit, as defined below, provides meaningful supplemental information regarding our performance by excluding certain items that may not be indicative of our recurring core business operating results. Adjusted Gross Profit is defined as gross profit, adjusted for amortization and impairment of acquired technologies and stock-based compensation and related employer payroll tax, which are not indicative of our recurring core business operating results. Adjusted Gross Profit Margin is defined as Adjusted Gross Profit divided by Revenue.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reconciles Gross Profit to Adjusted Gross Profit for the three and nine months ended September 30, 2023 and 2022:</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573"/>
        <w:gridCol w:w="146"/>
        <w:gridCol w:w="243"/>
        <w:gridCol w:w="901"/>
        <w:gridCol w:w="312"/>
        <w:gridCol w:w="168"/>
        <w:gridCol w:w="243"/>
        <w:gridCol w:w="901"/>
        <w:gridCol w:w="271"/>
        <w:gridCol w:w="146"/>
        <w:gridCol w:w="237"/>
        <w:gridCol w:w="881"/>
        <w:gridCol w:w="305"/>
        <w:gridCol w:w="164"/>
        <w:gridCol w:w="237"/>
        <w:gridCol w:w="881"/>
        <w:gridCol w:w="596"/>
      </w:tblGrid>
      <w:tr>
        <w:trPr/>
        <w:tc>
          <w:tcPr>
            <w:tcW w:w="3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5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(amounts 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163,121</w:t>
            </w:r>
          </w:p>
        </w:tc>
        <w:tc>
          <w:tcPr>
            <w:tcW w:w="312"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145,607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463,495</w:t>
            </w:r>
          </w:p>
        </w:tc>
        <w:tc>
          <w:tcPr>
            <w:tcW w:w="305"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422,975</w:t>
            </w:r>
          </w:p>
        </w:tc>
        <w:tc>
          <w:tcPr>
            <w:tcW w:w="596" w:type="dxa"/>
            <w:tcBorders/>
            <w:shd w:fill="CFF0FC" w:val="clear"/>
            <w:vAlign w:val="center"/>
          </w:tcPr>
          <w:p>
            <w:pPr>
              <w:pStyle w:val="TableContents"/>
              <w:bidi w:val="0"/>
              <w:spacing w:before="0" w:after="283"/>
              <w:ind w:left="0" w:right="0" w:firstLine="400"/>
              <w:jc w:val="left"/>
              <w:rPr/>
            </w:pPr>
            <w:r>
              <w:rPr/>
              <w:t> </w:t>
            </w:r>
          </w:p>
        </w:tc>
      </w:tr>
      <w:tr>
        <w:trPr/>
        <w:tc>
          <w:tcPr>
            <w:tcW w:w="3573"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Amortization of acquired technologies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6,567</w:t>
            </w:r>
          </w:p>
        </w:tc>
        <w:tc>
          <w:tcPr>
            <w:tcW w:w="31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19,897</w:t>
            </w:r>
          </w:p>
        </w:tc>
        <w:tc>
          <w:tcPr>
            <w:tcW w:w="305"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20,193</w:t>
            </w:r>
          </w:p>
        </w:tc>
        <w:tc>
          <w:tcPr>
            <w:tcW w:w="596" w:type="dxa"/>
            <w:tcBorders/>
            <w:shd w:fill="FFFFFF" w:val="clear"/>
            <w:vAlign w:val="center"/>
          </w:tcPr>
          <w:p>
            <w:pPr>
              <w:pStyle w:val="TableContents"/>
              <w:bidi w:val="0"/>
              <w:spacing w:before="0" w:after="283"/>
              <w:ind w:left="0" w:right="0" w:firstLine="400"/>
              <w:jc w:val="left"/>
              <w:rPr/>
            </w:pPr>
            <w:r>
              <w:rPr/>
              <w:t> </w:t>
            </w:r>
          </w:p>
        </w:tc>
      </w:tr>
      <w:tr>
        <w:trPr/>
        <w:tc>
          <w:tcPr>
            <w:tcW w:w="3573"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Stock-based compensation and related employer payroll tax</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2,432</w:t>
            </w:r>
          </w:p>
        </w:tc>
        <w:tc>
          <w:tcPr>
            <w:tcW w:w="312"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6,906</w:t>
            </w:r>
          </w:p>
        </w:tc>
        <w:tc>
          <w:tcPr>
            <w:tcW w:w="305"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4,378</w:t>
            </w:r>
          </w:p>
        </w:tc>
        <w:tc>
          <w:tcPr>
            <w:tcW w:w="596" w:type="dxa"/>
            <w:tcBorders/>
            <w:shd w:fill="CFF0FC" w:val="clear"/>
            <w:vAlign w:val="center"/>
          </w:tcPr>
          <w:p>
            <w:pPr>
              <w:pStyle w:val="TableContents"/>
              <w:bidi w:val="0"/>
              <w:spacing w:before="0" w:after="283"/>
              <w:ind w:left="0" w:right="0" w:firstLine="400"/>
              <w:jc w:val="left"/>
              <w:rPr/>
            </w:pPr>
            <w:r>
              <w:rPr/>
              <w:t> </w:t>
            </w:r>
          </w:p>
        </w:tc>
      </w:tr>
      <w:tr>
        <w:trPr/>
        <w:tc>
          <w:tcPr>
            <w:tcW w:w="3573"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Impairment of acquired technologies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Gross Profit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172,120</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154,120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490,729</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447,546</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 Margin</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3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8"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30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5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Gross Profit Margin</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3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8"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Adjusted Operating Expenses, as defined below, provides meaningful supplemental information regarding our performance by excluding certain items that may not be indicative of our recurring core business operating results. Adjusted Operating Expenses is defined as operating expenses adjusted for amortization, impairment charges, stock-based compensation expense and related employer payroll tax, plaintiff litigation costs, merger and acquisition ("M&amp;A") and integration costs, lease overlap costs for the incremental expenses associated with the Company’s new corporate headquarters prior to termination of its then existing headquarters’ lease, lease abandonment charges, Business Combination transaction costs and net income related to divestiture.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reconciles operating expenses to Adjusted Operating Expenses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2680"/>
        <w:gridCol w:w="646"/>
        <w:gridCol w:w="226"/>
        <w:gridCol w:w="839"/>
        <w:gridCol w:w="178"/>
        <w:gridCol w:w="156"/>
        <w:gridCol w:w="226"/>
        <w:gridCol w:w="839"/>
        <w:gridCol w:w="666"/>
        <w:gridCol w:w="646"/>
        <w:gridCol w:w="222"/>
        <w:gridCol w:w="888"/>
        <w:gridCol w:w="175"/>
        <w:gridCol w:w="154"/>
        <w:gridCol w:w="222"/>
        <w:gridCol w:w="825"/>
        <w:gridCol w:w="617"/>
      </w:tblGrid>
      <w:tr>
        <w:trPr/>
        <w:tc>
          <w:tcPr>
            <w:tcW w:w="268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680"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2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0"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146,550</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128,553</w:t>
            </w:r>
          </w:p>
        </w:tc>
        <w:tc>
          <w:tcPr>
            <w:tcW w:w="666" w:type="dxa"/>
            <w:tcBorders/>
            <w:shd w:fill="CFF0FC" w:val="clear"/>
            <w:vAlign w:val="center"/>
          </w:tcPr>
          <w:p>
            <w:pPr>
              <w:pStyle w:val="TableContents"/>
              <w:bidi w:val="0"/>
              <w:spacing w:before="0" w:after="283"/>
              <w:ind w:left="0" w:right="0" w:firstLine="100"/>
              <w:jc w:val="left"/>
              <w:rPr/>
            </w:pPr>
            <w:r>
              <w:rPr/>
              <w:t> </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506,781</w:t>
            </w:r>
          </w:p>
        </w:tc>
        <w:tc>
          <w:tcPr>
            <w:tcW w:w="175"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380,747</w:t>
            </w:r>
          </w:p>
        </w:tc>
        <w:tc>
          <w:tcPr>
            <w:tcW w:w="617" w:type="dxa"/>
            <w:tcBorders/>
            <w:shd w:fill="CFF0FC" w:val="clear"/>
            <w:vAlign w:val="center"/>
          </w:tcPr>
          <w:p>
            <w:pPr>
              <w:pStyle w:val="TableContents"/>
              <w:bidi w:val="0"/>
              <w:spacing w:before="0" w:after="283"/>
              <w:ind w:left="0" w:right="0" w:firstLine="400"/>
              <w:jc w:val="left"/>
              <w:rPr/>
            </w:pPr>
            <w:r>
              <w:rPr/>
              <w:t> </w:t>
            </w:r>
          </w:p>
        </w:tc>
      </w:tr>
      <w:tr>
        <w:trPr/>
        <w:tc>
          <w:tcPr>
            <w:tcW w:w="2680"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(17,942</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(18,066</w:t>
            </w:r>
          </w:p>
        </w:tc>
        <w:tc>
          <w:tcPr>
            <w:tcW w:w="6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(54,030</w:t>
            </w:r>
          </w:p>
        </w:tc>
        <w:tc>
          <w:tcPr>
            <w:tcW w:w="1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4"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(54,212</w:t>
            </w:r>
          </w:p>
        </w:tc>
        <w:tc>
          <w:tcPr>
            <w:tcW w:w="617"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80"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goodwill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(77,405</w:t>
            </w:r>
          </w:p>
        </w:tc>
        <w:tc>
          <w:tcPr>
            <w:tcW w:w="1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4"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color w:val="000000"/>
              </w:rPr>
            </w:pPr>
            <w:r>
              <w:rPr>
                <w:color w:val="000000"/>
              </w:rPr>
              <w:t>—</w:t>
            </w:r>
          </w:p>
        </w:tc>
        <w:tc>
          <w:tcPr>
            <w:tcW w:w="617" w:type="dxa"/>
            <w:tcBorders/>
            <w:shd w:fill="CFF0FC" w:val="clear"/>
            <w:vAlign w:val="center"/>
          </w:tcPr>
          <w:p>
            <w:pPr>
              <w:pStyle w:val="TableContents"/>
              <w:bidi w:val="0"/>
              <w:spacing w:before="0" w:after="283"/>
              <w:ind w:left="0" w:right="0" w:firstLine="400"/>
              <w:jc w:val="left"/>
              <w:rPr/>
            </w:pPr>
            <w:r>
              <w:rPr/>
              <w:t> </w:t>
            </w:r>
          </w:p>
        </w:tc>
      </w:tr>
      <w:tr>
        <w:trPr/>
        <w:tc>
          <w:tcPr>
            <w:tcW w:w="2680"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(4,906</w:t>
            </w:r>
          </w:p>
        </w:tc>
        <w:tc>
          <w:tcPr>
            <w:tcW w:w="1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4"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color w:val="000000"/>
              </w:rPr>
            </w:pPr>
            <w:r>
              <w:rPr>
                <w:color w:val="000000"/>
              </w:rPr>
              <w:t>—</w:t>
            </w:r>
          </w:p>
        </w:tc>
        <w:tc>
          <w:tcPr>
            <w:tcW w:w="617" w:type="dxa"/>
            <w:tcBorders/>
            <w:shd w:fill="FFFFFF" w:val="clear"/>
            <w:vAlign w:val="center"/>
          </w:tcPr>
          <w:p>
            <w:pPr>
              <w:pStyle w:val="TableContents"/>
              <w:bidi w:val="0"/>
              <w:spacing w:before="0" w:after="283"/>
              <w:ind w:left="0" w:right="0" w:firstLine="400"/>
              <w:jc w:val="left"/>
              <w:rPr/>
            </w:pPr>
            <w:r>
              <w:rPr/>
              <w:t> </w:t>
            </w:r>
          </w:p>
        </w:tc>
      </w:tr>
      <w:tr>
        <w:trPr/>
        <w:tc>
          <w:tcPr>
            <w:tcW w:w="2680"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Stock-based compensation expense and related employer payroll tax</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(37,778</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(27,800</w:t>
            </w:r>
          </w:p>
        </w:tc>
        <w:tc>
          <w:tcPr>
            <w:tcW w:w="666"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(100,577</w:t>
            </w:r>
          </w:p>
        </w:tc>
        <w:tc>
          <w:tcPr>
            <w:tcW w:w="1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4"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(78,496</w:t>
            </w:r>
          </w:p>
        </w:tc>
        <w:tc>
          <w:tcPr>
            <w:tcW w:w="617"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80"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Plaintiff litigation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(3,918</w:t>
            </w:r>
          </w:p>
        </w:tc>
        <w:tc>
          <w:tcPr>
            <w:tcW w:w="1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4"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color w:val="000000"/>
              </w:rPr>
            </w:pPr>
            <w:r>
              <w:rPr>
                <w:color w:val="000000"/>
              </w:rPr>
              <w:t>—</w:t>
            </w:r>
          </w:p>
        </w:tc>
        <w:tc>
          <w:tcPr>
            <w:tcW w:w="617" w:type="dxa"/>
            <w:tcBorders/>
            <w:shd w:fill="FFFFFF" w:val="clear"/>
            <w:vAlign w:val="center"/>
          </w:tcPr>
          <w:p>
            <w:pPr>
              <w:pStyle w:val="TableContents"/>
              <w:bidi w:val="0"/>
              <w:spacing w:before="0" w:after="283"/>
              <w:ind w:left="0" w:right="0" w:firstLine="400"/>
              <w:jc w:val="left"/>
              <w:rPr/>
            </w:pPr>
            <w:r>
              <w:rPr/>
              <w:t> </w:t>
            </w:r>
          </w:p>
        </w:tc>
      </w:tr>
      <w:tr>
        <w:trPr/>
        <w:tc>
          <w:tcPr>
            <w:tcW w:w="2680"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M&amp;A and integration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666"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color w:val="000000"/>
              </w:rPr>
            </w:pPr>
            <w:r>
              <w:rPr>
                <w:color w:val="000000"/>
              </w:rPr>
              <w:t>—</w:t>
            </w:r>
          </w:p>
        </w:tc>
        <w:tc>
          <w:tcPr>
            <w:tcW w:w="175"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(1,761</w:t>
            </w:r>
          </w:p>
        </w:tc>
        <w:tc>
          <w:tcPr>
            <w:tcW w:w="617"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80"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Lease overlap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color w:val="000000"/>
              </w:rPr>
            </w:pPr>
            <w:r>
              <w:rPr>
                <w:color w:val="000000"/>
              </w:rPr>
              <w:t>—</w:t>
            </w:r>
          </w:p>
        </w:tc>
        <w:tc>
          <w:tcPr>
            <w:tcW w:w="17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w:t>
            </w:r>
          </w:p>
        </w:tc>
        <w:tc>
          <w:tcPr>
            <w:tcW w:w="617"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80"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Lease abandonment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color w:val="000000"/>
              </w:rPr>
            </w:pPr>
            <w:r>
              <w:rPr>
                <w:color w:val="000000"/>
              </w:rPr>
              <w:t>—</w:t>
            </w:r>
          </w:p>
        </w:tc>
        <w:tc>
          <w:tcPr>
            <w:tcW w:w="175"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w:t>
            </w:r>
          </w:p>
        </w:tc>
        <w:tc>
          <w:tcPr>
            <w:tcW w:w="617"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80"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Business Combination transaction and related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6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color w:val="000000"/>
              </w:rPr>
            </w:pPr>
            <w:r>
              <w:rPr>
                <w:color w:val="000000"/>
              </w:rPr>
              <w:t>—</w:t>
            </w:r>
          </w:p>
        </w:tc>
        <w:tc>
          <w:tcPr>
            <w:tcW w:w="17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(1,156</w:t>
            </w:r>
          </w:p>
        </w:tc>
        <w:tc>
          <w:tcPr>
            <w:tcW w:w="617"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80"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Income related to divestiture, net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operating expenses</w:t>
            </w:r>
          </w:p>
        </w:tc>
        <w:tc>
          <w:tcPr>
            <w:tcW w:w="6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89,434</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83,051</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265,945</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242,980</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believe that Adjusted Operating Income, as defined below, provides meaningful supplemental information regarding our performance by excluding certain items that may not be indicative of our recurring core business operating results. Adjusted Operating Income is defined as operating income (loss) adjusted for amortization, impairment charges, stock-based compensation expense and related employer payroll tax, plaintiff litigation costs, M&amp;A and integration costs, lease overlap costs for the incremental expenses associated with the Company’s new corporate headquarters prior to termination of its then existing headquarters’ lease, lease abandonment charges, Business Combination transaction costs and net income related to divestiture.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reconciles operating income (loss) to Adjusted Operating Income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2881"/>
        <w:gridCol w:w="646"/>
        <w:gridCol w:w="236"/>
        <w:gridCol w:w="757"/>
        <w:gridCol w:w="163"/>
        <w:gridCol w:w="163"/>
        <w:gridCol w:w="236"/>
        <w:gridCol w:w="757"/>
        <w:gridCol w:w="666"/>
        <w:gridCol w:w="646"/>
        <w:gridCol w:w="226"/>
        <w:gridCol w:w="837"/>
        <w:gridCol w:w="177"/>
        <w:gridCol w:w="156"/>
        <w:gridCol w:w="226"/>
        <w:gridCol w:w="837"/>
        <w:gridCol w:w="595"/>
      </w:tblGrid>
      <w:tr>
        <w:trPr/>
        <w:tc>
          <w:tcPr>
            <w:tcW w:w="28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16,571</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17,054</w:t>
            </w:r>
          </w:p>
        </w:tc>
        <w:tc>
          <w:tcPr>
            <w:tcW w:w="666" w:type="dxa"/>
            <w:tcBorders/>
            <w:shd w:fill="CFF0FC" w:val="clear"/>
            <w:vAlign w:val="center"/>
          </w:tcPr>
          <w:p>
            <w:pPr>
              <w:pStyle w:val="TableContents"/>
              <w:bidi w:val="0"/>
              <w:spacing w:before="0" w:after="283"/>
              <w:ind w:left="0" w:right="0" w:firstLine="100"/>
              <w:jc w:val="left"/>
              <w:rPr/>
            </w:pPr>
            <w:r>
              <w:rPr/>
              <w:t> </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(43,286</w:t>
            </w:r>
          </w:p>
        </w:tc>
        <w:tc>
          <w:tcPr>
            <w:tcW w:w="1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42,228</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288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17,942</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18,066</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54,030</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54,212</w:t>
            </w:r>
          </w:p>
        </w:tc>
        <w:tc>
          <w:tcPr>
            <w:tcW w:w="595" w:type="dxa"/>
            <w:tcBorders/>
            <w:shd w:fill="FFFFFF" w:val="clear"/>
            <w:vAlign w:val="center"/>
          </w:tcPr>
          <w:p>
            <w:pPr>
              <w:pStyle w:val="TableContents"/>
              <w:bidi w:val="0"/>
              <w:spacing w:before="0" w:after="283"/>
              <w:ind w:left="0" w:right="0" w:firstLine="400"/>
              <w:jc w:val="left"/>
              <w:rPr/>
            </w:pPr>
            <w:r>
              <w:rPr/>
              <w:t> </w:t>
            </w:r>
          </w:p>
        </w:tc>
      </w:tr>
      <w:tr>
        <w:trPr/>
        <w:tc>
          <w:tcPr>
            <w:tcW w:w="288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Amortization of acquired technologies—Cost of revenue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6,567</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6,748</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19,897</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20,193</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288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acquired technologies—Cost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595" w:type="dxa"/>
            <w:tcBorders/>
            <w:shd w:fill="FFFFFF" w:val="clear"/>
            <w:vAlign w:val="center"/>
          </w:tcPr>
          <w:p>
            <w:pPr>
              <w:pStyle w:val="TableContents"/>
              <w:bidi w:val="0"/>
              <w:spacing w:before="0" w:after="283"/>
              <w:ind w:left="0" w:right="0" w:firstLine="400"/>
              <w:jc w:val="left"/>
              <w:rPr/>
            </w:pPr>
            <w:r>
              <w:rPr/>
              <w:t> </w:t>
            </w:r>
          </w:p>
        </w:tc>
      </w:tr>
      <w:tr>
        <w:trPr/>
        <w:tc>
          <w:tcPr>
            <w:tcW w:w="288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goodwill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77,405</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288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4,906</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595" w:type="dxa"/>
            <w:tcBorders/>
            <w:shd w:fill="FFFFFF" w:val="clear"/>
            <w:vAlign w:val="center"/>
          </w:tcPr>
          <w:p>
            <w:pPr>
              <w:pStyle w:val="TableContents"/>
              <w:bidi w:val="0"/>
              <w:spacing w:before="0" w:after="283"/>
              <w:ind w:left="0" w:right="0" w:firstLine="400"/>
              <w:jc w:val="left"/>
              <w:rPr/>
            </w:pPr>
            <w:r>
              <w:rPr/>
              <w:t> </w:t>
            </w:r>
          </w:p>
        </w:tc>
      </w:tr>
      <w:tr>
        <w:trPr/>
        <w:tc>
          <w:tcPr>
            <w:tcW w:w="288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Stock-based compensation expense and related employer payroll tax</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40,210</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29,565</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107,483</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82,874</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288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Plaintiff litigation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3,918</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595" w:type="dxa"/>
            <w:tcBorders/>
            <w:shd w:fill="FFFFFF" w:val="clear"/>
            <w:vAlign w:val="center"/>
          </w:tcPr>
          <w:p>
            <w:pPr>
              <w:pStyle w:val="TableContents"/>
              <w:bidi w:val="0"/>
              <w:spacing w:before="0" w:after="283"/>
              <w:ind w:left="0" w:right="0" w:firstLine="400"/>
              <w:jc w:val="left"/>
              <w:rPr/>
            </w:pPr>
            <w:r>
              <w:rPr/>
              <w:t> </w:t>
            </w:r>
          </w:p>
        </w:tc>
      </w:tr>
      <w:tr>
        <w:trPr/>
        <w:tc>
          <w:tcPr>
            <w:tcW w:w="288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M&amp;A and integration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1,761</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288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Lease overlap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w:t>
            </w:r>
          </w:p>
        </w:tc>
        <w:tc>
          <w:tcPr>
            <w:tcW w:w="595" w:type="dxa"/>
            <w:tcBorders/>
            <w:shd w:fill="FFFFFF" w:val="clear"/>
            <w:vAlign w:val="center"/>
          </w:tcPr>
          <w:p>
            <w:pPr>
              <w:pStyle w:val="TableContents"/>
              <w:bidi w:val="0"/>
              <w:spacing w:before="0" w:after="283"/>
              <w:ind w:left="0" w:right="0" w:firstLine="400"/>
              <w:jc w:val="left"/>
              <w:rPr/>
            </w:pPr>
            <w:r>
              <w:rPr/>
              <w:t> </w:t>
            </w:r>
          </w:p>
        </w:tc>
      </w:tr>
      <w:tr>
        <w:trPr/>
        <w:tc>
          <w:tcPr>
            <w:tcW w:w="288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Lease abandonment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288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Business Combination transaction and related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1,156</w:t>
            </w:r>
          </w:p>
        </w:tc>
        <w:tc>
          <w:tcPr>
            <w:tcW w:w="595" w:type="dxa"/>
            <w:tcBorders/>
            <w:shd w:fill="FFFFFF" w:val="clear"/>
            <w:vAlign w:val="center"/>
          </w:tcPr>
          <w:p>
            <w:pPr>
              <w:pStyle w:val="TableContents"/>
              <w:bidi w:val="0"/>
              <w:spacing w:before="0" w:after="283"/>
              <w:ind w:left="0" w:right="0" w:firstLine="400"/>
              <w:jc w:val="left"/>
              <w:rPr/>
            </w:pPr>
            <w:r>
              <w:rPr/>
              <w:t> </w:t>
            </w:r>
          </w:p>
        </w:tc>
      </w:tr>
      <w:tr>
        <w:trPr/>
        <w:tc>
          <w:tcPr>
            <w:tcW w:w="288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Income related to divestiture, net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operating income</w:t>
            </w:r>
          </w:p>
        </w:tc>
        <w:tc>
          <w:tcPr>
            <w:tcW w:w="6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82,686</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71,069</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224,784</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204,566</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Adjusted EBITDA, as defined below, is useful in evaluating our operational performance distinct and apart from financing costs, certain expenses and non-operational expenses. Adjusted EBITDA is defined as net (loss) income adjusted for interest, taxes, amortization, depreciation, impairment charges, stock-based compensation expense and related employer payroll tax, change in fair value of derivative instruments, plaintiff litigation costs, change in fair value of warrant liabilities, M&amp;A and integration costs, lease overlap costs for the incremental expenses associated with the Company’s new corporate headquarters prior to termination of its then existing headquarters’ lease, lease abandonment charges, Business Combination transaction costs, net income related to divestiture and gain on sale of cost method investment. Adjusted EBITDA Margin is defined as Adjusted EBITDA divided by Revenue.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reconciles net (loss) income to Adjusted EBITDA for the three and nine months ended September 30, 2023 and 2022:</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629"/>
        <w:gridCol w:w="646"/>
        <w:gridCol w:w="221"/>
        <w:gridCol w:w="774"/>
        <w:gridCol w:w="285"/>
        <w:gridCol w:w="153"/>
        <w:gridCol w:w="221"/>
        <w:gridCol w:w="711"/>
        <w:gridCol w:w="771"/>
        <w:gridCol w:w="646"/>
        <w:gridCol w:w="217"/>
        <w:gridCol w:w="865"/>
        <w:gridCol w:w="278"/>
        <w:gridCol w:w="150"/>
        <w:gridCol w:w="217"/>
        <w:gridCol w:w="804"/>
        <w:gridCol w:w="617"/>
      </w:tblGrid>
      <w:tr>
        <w:trPr/>
        <w:tc>
          <w:tcPr>
            <w:tcW w:w="262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62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3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2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9"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 income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(21,202</w:t>
            </w:r>
          </w:p>
        </w:tc>
        <w:tc>
          <w:tcPr>
            <w:tcW w:w="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9,795</w:t>
            </w:r>
          </w:p>
        </w:tc>
        <w:tc>
          <w:tcPr>
            <w:tcW w:w="771" w:type="dxa"/>
            <w:tcBorders/>
            <w:shd w:fill="CFF0FC" w:val="clear"/>
            <w:vAlign w:val="center"/>
          </w:tcPr>
          <w:p>
            <w:pPr>
              <w:pStyle w:val="TableContents"/>
              <w:bidi w:val="0"/>
              <w:spacing w:before="0" w:after="283"/>
              <w:ind w:left="0" w:right="0" w:firstLine="100"/>
              <w:jc w:val="left"/>
              <w:rPr/>
            </w:pPr>
            <w:r>
              <w:rPr/>
              <w:t> </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(116,362</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37,334</w:t>
            </w:r>
          </w:p>
        </w:tc>
        <w:tc>
          <w:tcPr>
            <w:tcW w:w="617" w:type="dxa"/>
            <w:tcBorders/>
            <w:shd w:fill="CFF0FC" w:val="clear"/>
            <w:vAlign w:val="center"/>
          </w:tcPr>
          <w:p>
            <w:pPr>
              <w:pStyle w:val="TableContents"/>
              <w:bidi w:val="0"/>
              <w:spacing w:before="0" w:after="283"/>
              <w:ind w:left="0" w:right="0" w:firstLine="400"/>
              <w:jc w:val="left"/>
              <w:rPr/>
            </w:pPr>
            <w:r>
              <w:rPr/>
              <w:t> </w:t>
            </w:r>
          </w:p>
        </w:tc>
      </w:tr>
      <w:tr>
        <w:trPr/>
        <w:tc>
          <w:tcPr>
            <w:tcW w:w="262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14,633</w:t>
            </w:r>
          </w:p>
        </w:tc>
        <w:tc>
          <w:tcPr>
            <w:tcW w:w="28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10,501</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42,480</w:t>
            </w:r>
          </w:p>
        </w:tc>
        <w:tc>
          <w:tcPr>
            <w:tcW w:w="278"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25,786</w:t>
            </w:r>
          </w:p>
        </w:tc>
        <w:tc>
          <w:tcPr>
            <w:tcW w:w="617" w:type="dxa"/>
            <w:tcBorders/>
            <w:shd w:fill="FFFFFF" w:val="clear"/>
            <w:vAlign w:val="center"/>
          </w:tcPr>
          <w:p>
            <w:pPr>
              <w:pStyle w:val="TableContents"/>
              <w:bidi w:val="0"/>
              <w:spacing w:before="0" w:after="283"/>
              <w:ind w:left="0" w:right="0" w:firstLine="400"/>
              <w:jc w:val="left"/>
              <w:rPr/>
            </w:pPr>
            <w:r>
              <w:rPr/>
              <w:t> </w:t>
            </w:r>
          </w:p>
        </w:tc>
      </w:tr>
      <w:tr>
        <w:trPr/>
        <w:tc>
          <w:tcPr>
            <w:tcW w:w="262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Interest income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(5,165</w:t>
            </w:r>
          </w:p>
        </w:tc>
        <w:tc>
          <w:tcPr>
            <w:tcW w:w="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(12,447</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617" w:type="dxa"/>
            <w:tcBorders/>
            <w:shd w:fill="CFF0FC" w:val="clear"/>
            <w:vAlign w:val="center"/>
          </w:tcPr>
          <w:p>
            <w:pPr>
              <w:pStyle w:val="TableContents"/>
              <w:bidi w:val="0"/>
              <w:spacing w:before="0" w:after="283"/>
              <w:ind w:left="0" w:right="0" w:firstLine="400"/>
              <w:jc w:val="left"/>
              <w:rPr/>
            </w:pPr>
            <w:r>
              <w:rPr/>
              <w:t> </w:t>
            </w:r>
          </w:p>
        </w:tc>
      </w:tr>
      <w:tr>
        <w:trPr/>
        <w:tc>
          <w:tcPr>
            <w:tcW w:w="262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Income tax (benefit) provision</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1,818</w:t>
            </w:r>
          </w:p>
        </w:tc>
        <w:tc>
          <w:tcPr>
            <w:tcW w:w="28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3,452</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(1,246</w:t>
            </w:r>
          </w:p>
        </w:tc>
        <w:tc>
          <w:tcPr>
            <w:tcW w:w="2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12,714</w:t>
            </w:r>
          </w:p>
        </w:tc>
        <w:tc>
          <w:tcPr>
            <w:tcW w:w="617" w:type="dxa"/>
            <w:tcBorders/>
            <w:shd w:fill="FFFFFF" w:val="clear"/>
            <w:vAlign w:val="center"/>
          </w:tcPr>
          <w:p>
            <w:pPr>
              <w:pStyle w:val="TableContents"/>
              <w:bidi w:val="0"/>
              <w:spacing w:before="0" w:after="283"/>
              <w:ind w:left="0" w:right="0" w:firstLine="400"/>
              <w:jc w:val="left"/>
              <w:rPr/>
            </w:pPr>
            <w:r>
              <w:rPr/>
              <w:t> </w:t>
            </w:r>
          </w:p>
        </w:tc>
      </w:tr>
      <w:tr>
        <w:trPr/>
        <w:tc>
          <w:tcPr>
            <w:tcW w:w="262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Amortization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17,942</w:t>
            </w:r>
          </w:p>
        </w:tc>
        <w:tc>
          <w:tcPr>
            <w:tcW w:w="28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18,066</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54,030</w:t>
            </w:r>
          </w:p>
        </w:tc>
        <w:tc>
          <w:tcPr>
            <w:tcW w:w="278"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54,212</w:t>
            </w:r>
          </w:p>
        </w:tc>
        <w:tc>
          <w:tcPr>
            <w:tcW w:w="617" w:type="dxa"/>
            <w:tcBorders/>
            <w:shd w:fill="CFF0FC" w:val="clear"/>
            <w:vAlign w:val="center"/>
          </w:tcPr>
          <w:p>
            <w:pPr>
              <w:pStyle w:val="TableContents"/>
              <w:bidi w:val="0"/>
              <w:spacing w:before="0" w:after="283"/>
              <w:ind w:left="0" w:right="0" w:firstLine="400"/>
              <w:jc w:val="left"/>
              <w:rPr/>
            </w:pPr>
            <w:r>
              <w:rPr/>
              <w:t> </w:t>
            </w:r>
          </w:p>
        </w:tc>
      </w:tr>
      <w:tr>
        <w:trPr/>
        <w:tc>
          <w:tcPr>
            <w:tcW w:w="262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Amortization of acquired technologies—Cost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6,567</w:t>
            </w:r>
          </w:p>
        </w:tc>
        <w:tc>
          <w:tcPr>
            <w:tcW w:w="28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6,748</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19,897</w:t>
            </w:r>
          </w:p>
        </w:tc>
        <w:tc>
          <w:tcPr>
            <w:tcW w:w="278"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20,193</w:t>
            </w:r>
          </w:p>
        </w:tc>
        <w:tc>
          <w:tcPr>
            <w:tcW w:w="617" w:type="dxa"/>
            <w:tcBorders/>
            <w:shd w:fill="FFFFFF" w:val="clear"/>
            <w:vAlign w:val="center"/>
          </w:tcPr>
          <w:p>
            <w:pPr>
              <w:pStyle w:val="TableContents"/>
              <w:bidi w:val="0"/>
              <w:spacing w:before="0" w:after="283"/>
              <w:ind w:left="0" w:right="0" w:firstLine="400"/>
              <w:jc w:val="left"/>
              <w:rPr/>
            </w:pPr>
            <w:r>
              <w:rPr/>
              <w:t> </w:t>
            </w:r>
          </w:p>
        </w:tc>
      </w:tr>
      <w:tr>
        <w:trPr/>
        <w:tc>
          <w:tcPr>
            <w:tcW w:w="262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Depreciation and amortization of software, equipment and property</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2,117</w:t>
            </w:r>
          </w:p>
        </w:tc>
        <w:tc>
          <w:tcPr>
            <w:tcW w:w="28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2,427</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6,531</w:t>
            </w:r>
          </w:p>
        </w:tc>
        <w:tc>
          <w:tcPr>
            <w:tcW w:w="278"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7,834</w:t>
            </w:r>
          </w:p>
        </w:tc>
        <w:tc>
          <w:tcPr>
            <w:tcW w:w="617" w:type="dxa"/>
            <w:tcBorders/>
            <w:shd w:fill="CFF0FC" w:val="clear"/>
            <w:vAlign w:val="center"/>
          </w:tcPr>
          <w:p>
            <w:pPr>
              <w:pStyle w:val="TableContents"/>
              <w:bidi w:val="0"/>
              <w:spacing w:before="0" w:after="283"/>
              <w:ind w:left="0" w:right="0" w:firstLine="400"/>
              <w:jc w:val="left"/>
              <w:rPr/>
            </w:pPr>
            <w:r>
              <w:rPr/>
              <w:t> </w:t>
            </w:r>
          </w:p>
        </w:tc>
      </w:tr>
      <w:tr>
        <w:trPr/>
        <w:tc>
          <w:tcPr>
            <w:tcW w:w="262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Depreciation and amortization of software, equipment and property—Cost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7,942</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21,494</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12,321</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9"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EBITDA</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24,652</w:t>
            </w:r>
          </w:p>
        </w:tc>
        <w:tc>
          <w:tcPr>
            <w:tcW w:w="28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55,227</w:t>
            </w:r>
          </w:p>
        </w:tc>
        <w:tc>
          <w:tcPr>
            <w:tcW w:w="771" w:type="dxa"/>
            <w:tcBorders/>
            <w:shd w:fill="CFF0FC" w:val="clear"/>
            <w:vAlign w:val="center"/>
          </w:tcPr>
          <w:p>
            <w:pPr>
              <w:pStyle w:val="TableContents"/>
              <w:bidi w:val="0"/>
              <w:spacing w:before="0" w:after="283"/>
              <w:ind w:left="0" w:right="0" w:firstLine="100"/>
              <w:jc w:val="left"/>
              <w:rPr/>
            </w:pPr>
            <w:r>
              <w:rPr/>
              <w:t> </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14,377</w:t>
            </w:r>
          </w:p>
        </w:tc>
        <w:tc>
          <w:tcPr>
            <w:tcW w:w="278"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170,394</w:t>
            </w:r>
          </w:p>
        </w:tc>
        <w:tc>
          <w:tcPr>
            <w:tcW w:w="617" w:type="dxa"/>
            <w:tcBorders/>
            <w:shd w:fill="CFF0FC" w:val="clear"/>
            <w:vAlign w:val="center"/>
          </w:tcPr>
          <w:p>
            <w:pPr>
              <w:pStyle w:val="TableContents"/>
              <w:bidi w:val="0"/>
              <w:spacing w:before="0" w:after="283"/>
              <w:ind w:left="0" w:right="0" w:firstLine="400"/>
              <w:jc w:val="left"/>
              <w:rPr/>
            </w:pPr>
            <w:r>
              <w:rPr/>
              <w:t> </w:t>
            </w:r>
          </w:p>
        </w:tc>
      </w:tr>
      <w:tr>
        <w:trPr/>
        <w:tc>
          <w:tcPr>
            <w:tcW w:w="262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Stock-based compensation expense and related employer payroll tax</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40,210</w:t>
            </w:r>
          </w:p>
        </w:tc>
        <w:tc>
          <w:tcPr>
            <w:tcW w:w="28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29,565</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107,483</w:t>
            </w:r>
          </w:p>
        </w:tc>
        <w:tc>
          <w:tcPr>
            <w:tcW w:w="278"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82,874</w:t>
            </w:r>
          </w:p>
        </w:tc>
        <w:tc>
          <w:tcPr>
            <w:tcW w:w="617" w:type="dxa"/>
            <w:tcBorders/>
            <w:shd w:fill="FFFFFF" w:val="clear"/>
            <w:vAlign w:val="center"/>
          </w:tcPr>
          <w:p>
            <w:pPr>
              <w:pStyle w:val="TableContents"/>
              <w:bidi w:val="0"/>
              <w:spacing w:before="0" w:after="283"/>
              <w:ind w:left="0" w:right="0" w:firstLine="400"/>
              <w:jc w:val="left"/>
              <w:rPr/>
            </w:pPr>
            <w:r>
              <w:rPr/>
              <w:t> </w:t>
            </w:r>
          </w:p>
        </w:tc>
      </w:tr>
      <w:tr>
        <w:trPr/>
        <w:tc>
          <w:tcPr>
            <w:tcW w:w="262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acquired technologies—Cost of revenue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color w:val="000000"/>
              </w:rPr>
            </w:pPr>
            <w:r>
              <w:rPr>
                <w:color w:val="000000"/>
              </w:rPr>
              <w:t>—</w:t>
            </w:r>
          </w:p>
        </w:tc>
        <w:tc>
          <w:tcPr>
            <w:tcW w:w="28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w:t>
            </w:r>
          </w:p>
        </w:tc>
        <w:tc>
          <w:tcPr>
            <w:tcW w:w="278"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617" w:type="dxa"/>
            <w:tcBorders/>
            <w:shd w:fill="CFF0FC" w:val="clear"/>
            <w:vAlign w:val="center"/>
          </w:tcPr>
          <w:p>
            <w:pPr>
              <w:pStyle w:val="TableContents"/>
              <w:bidi w:val="0"/>
              <w:spacing w:before="0" w:after="283"/>
              <w:ind w:left="0" w:right="0" w:firstLine="400"/>
              <w:jc w:val="left"/>
              <w:rPr/>
            </w:pPr>
            <w:r>
              <w:rPr/>
              <w:t> </w:t>
            </w:r>
          </w:p>
        </w:tc>
      </w:tr>
      <w:tr>
        <w:trPr/>
        <w:tc>
          <w:tcPr>
            <w:tcW w:w="262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goodwill</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color w:val="000000"/>
              </w:rPr>
            </w:pPr>
            <w:r>
              <w:rPr>
                <w:color w:val="000000"/>
              </w:rPr>
              <w:t>—</w:t>
            </w:r>
          </w:p>
        </w:tc>
        <w:tc>
          <w:tcPr>
            <w:tcW w:w="28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color w:val="000000"/>
              </w:rPr>
            </w:pPr>
            <w:r>
              <w:rPr>
                <w:color w:val="000000"/>
              </w:rPr>
              <w:t>—</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77,405</w:t>
            </w:r>
          </w:p>
        </w:tc>
        <w:tc>
          <w:tcPr>
            <w:tcW w:w="278"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617" w:type="dxa"/>
            <w:tcBorders/>
            <w:shd w:fill="FFFFFF" w:val="clear"/>
            <w:vAlign w:val="center"/>
          </w:tcPr>
          <w:p>
            <w:pPr>
              <w:pStyle w:val="TableContents"/>
              <w:bidi w:val="0"/>
              <w:spacing w:before="0" w:after="283"/>
              <w:ind w:left="0" w:right="0" w:firstLine="400"/>
              <w:jc w:val="left"/>
              <w:rPr/>
            </w:pPr>
            <w:r>
              <w:rPr/>
              <w:t> </w:t>
            </w:r>
          </w:p>
        </w:tc>
      </w:tr>
      <w:tr>
        <w:trPr/>
        <w:tc>
          <w:tcPr>
            <w:tcW w:w="262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color w:val="000000"/>
              </w:rPr>
            </w:pPr>
            <w:r>
              <w:rPr>
                <w:color w:val="000000"/>
              </w:rPr>
              <w:t>—</w:t>
            </w:r>
          </w:p>
        </w:tc>
        <w:tc>
          <w:tcPr>
            <w:tcW w:w="28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4,906</w:t>
            </w:r>
          </w:p>
        </w:tc>
        <w:tc>
          <w:tcPr>
            <w:tcW w:w="278"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617" w:type="dxa"/>
            <w:tcBorders/>
            <w:shd w:fill="CFF0FC" w:val="clear"/>
            <w:vAlign w:val="center"/>
          </w:tcPr>
          <w:p>
            <w:pPr>
              <w:pStyle w:val="TableContents"/>
              <w:bidi w:val="0"/>
              <w:spacing w:before="0" w:after="283"/>
              <w:ind w:left="0" w:right="0" w:firstLine="400"/>
              <w:jc w:val="left"/>
              <w:rPr/>
            </w:pPr>
            <w:r>
              <w:rPr/>
              <w:t> </w:t>
            </w:r>
          </w:p>
        </w:tc>
      </w:tr>
      <w:tr>
        <w:trPr/>
        <w:tc>
          <w:tcPr>
            <w:tcW w:w="262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Change in fair value of derivative instruments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w:t>
            </w:r>
          </w:p>
        </w:tc>
        <w:tc>
          <w:tcPr>
            <w:tcW w:w="28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(5,991</w:t>
            </w:r>
          </w:p>
        </w:tc>
        <w:tc>
          <w:tcPr>
            <w:tcW w:w="77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w:t>
            </w:r>
          </w:p>
        </w:tc>
        <w:tc>
          <w:tcPr>
            <w:tcW w:w="2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(5,991</w:t>
            </w:r>
          </w:p>
        </w:tc>
        <w:tc>
          <w:tcPr>
            <w:tcW w:w="617"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2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Plaintiff litigation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w:t>
            </w:r>
          </w:p>
        </w:tc>
        <w:tc>
          <w:tcPr>
            <w:tcW w:w="28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3,918</w:t>
            </w:r>
          </w:p>
        </w:tc>
        <w:tc>
          <w:tcPr>
            <w:tcW w:w="278"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617" w:type="dxa"/>
            <w:tcBorders/>
            <w:shd w:fill="CFF0FC" w:val="clear"/>
            <w:vAlign w:val="center"/>
          </w:tcPr>
          <w:p>
            <w:pPr>
              <w:pStyle w:val="TableContents"/>
              <w:bidi w:val="0"/>
              <w:spacing w:before="0" w:after="283"/>
              <w:ind w:left="0" w:right="0" w:firstLine="400"/>
              <w:jc w:val="left"/>
              <w:rPr/>
            </w:pPr>
            <w:r>
              <w:rPr/>
              <w:t> </w:t>
            </w:r>
          </w:p>
        </w:tc>
      </w:tr>
      <w:tr>
        <w:trPr/>
        <w:tc>
          <w:tcPr>
            <w:tcW w:w="262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Change in fair value of warrant liabilities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26,223</w:t>
            </w:r>
          </w:p>
        </w:tc>
        <w:tc>
          <w:tcPr>
            <w:tcW w:w="28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w:t>
            </w:r>
          </w:p>
        </w:tc>
        <w:tc>
          <w:tcPr>
            <w:tcW w:w="77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45,403</w:t>
            </w:r>
          </w:p>
        </w:tc>
        <w:tc>
          <w:tcPr>
            <w:tcW w:w="278"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(23,452</w:t>
            </w:r>
          </w:p>
        </w:tc>
        <w:tc>
          <w:tcPr>
            <w:tcW w:w="617"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2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M&amp;A and integration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color w:val="000000"/>
              </w:rPr>
            </w:pPr>
            <w:r>
              <w:rPr>
                <w:color w:val="000000"/>
              </w:rPr>
              <w:t>—</w:t>
            </w:r>
          </w:p>
        </w:tc>
        <w:tc>
          <w:tcPr>
            <w:tcW w:w="28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color w:val="000000"/>
              </w:rPr>
            </w:pPr>
            <w:r>
              <w:rPr>
                <w:color w:val="000000"/>
              </w:rPr>
              <w:t>—</w:t>
            </w:r>
          </w:p>
        </w:tc>
        <w:tc>
          <w:tcPr>
            <w:tcW w:w="278"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1,761</w:t>
            </w:r>
          </w:p>
        </w:tc>
        <w:tc>
          <w:tcPr>
            <w:tcW w:w="617" w:type="dxa"/>
            <w:tcBorders/>
            <w:shd w:fill="CFF0FC" w:val="clear"/>
            <w:vAlign w:val="center"/>
          </w:tcPr>
          <w:p>
            <w:pPr>
              <w:pStyle w:val="TableContents"/>
              <w:bidi w:val="0"/>
              <w:spacing w:before="0" w:after="283"/>
              <w:ind w:left="0" w:right="0" w:firstLine="400"/>
              <w:jc w:val="left"/>
              <w:rPr/>
            </w:pPr>
            <w:r>
              <w:rPr/>
              <w:t> </w:t>
            </w:r>
          </w:p>
        </w:tc>
      </w:tr>
      <w:tr>
        <w:trPr/>
        <w:tc>
          <w:tcPr>
            <w:tcW w:w="262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Lease overlap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color w:val="000000"/>
              </w:rPr>
            </w:pPr>
            <w:r>
              <w:rPr>
                <w:color w:val="000000"/>
              </w:rPr>
              <w:t>—</w:t>
            </w:r>
          </w:p>
        </w:tc>
        <w:tc>
          <w:tcPr>
            <w:tcW w:w="28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color w:val="000000"/>
              </w:rPr>
            </w:pPr>
            <w:r>
              <w:rPr>
                <w:color w:val="000000"/>
              </w:rPr>
              <w:t>—</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278"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w:t>
            </w:r>
          </w:p>
        </w:tc>
        <w:tc>
          <w:tcPr>
            <w:tcW w:w="617" w:type="dxa"/>
            <w:tcBorders/>
            <w:shd w:fill="FFFFFF" w:val="clear"/>
            <w:vAlign w:val="center"/>
          </w:tcPr>
          <w:p>
            <w:pPr>
              <w:pStyle w:val="TableContents"/>
              <w:bidi w:val="0"/>
              <w:spacing w:before="0" w:after="283"/>
              <w:ind w:left="0" w:right="0" w:firstLine="400"/>
              <w:jc w:val="left"/>
              <w:rPr/>
            </w:pPr>
            <w:r>
              <w:rPr/>
              <w:t> </w:t>
            </w:r>
          </w:p>
        </w:tc>
      </w:tr>
      <w:tr>
        <w:trPr/>
        <w:tc>
          <w:tcPr>
            <w:tcW w:w="262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Lease abandonment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color w:val="000000"/>
              </w:rPr>
            </w:pPr>
            <w:r>
              <w:rPr>
                <w:color w:val="000000"/>
              </w:rPr>
              <w:t>—</w:t>
            </w:r>
          </w:p>
        </w:tc>
        <w:tc>
          <w:tcPr>
            <w:tcW w:w="28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color w:val="000000"/>
              </w:rPr>
            </w:pPr>
            <w:r>
              <w:rPr>
                <w:color w:val="000000"/>
              </w:rPr>
              <w:t>—</w:t>
            </w:r>
          </w:p>
        </w:tc>
        <w:tc>
          <w:tcPr>
            <w:tcW w:w="278"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w:t>
            </w:r>
          </w:p>
        </w:tc>
        <w:tc>
          <w:tcPr>
            <w:tcW w:w="617" w:type="dxa"/>
            <w:tcBorders/>
            <w:shd w:fill="CFF0FC" w:val="clear"/>
            <w:vAlign w:val="center"/>
          </w:tcPr>
          <w:p>
            <w:pPr>
              <w:pStyle w:val="TableContents"/>
              <w:bidi w:val="0"/>
              <w:spacing w:before="0" w:after="283"/>
              <w:ind w:left="0" w:right="0" w:firstLine="400"/>
              <w:jc w:val="left"/>
              <w:rPr/>
            </w:pPr>
            <w:r>
              <w:rPr/>
              <w:t> </w:t>
            </w:r>
          </w:p>
        </w:tc>
      </w:tr>
      <w:tr>
        <w:trPr/>
        <w:tc>
          <w:tcPr>
            <w:tcW w:w="262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Business Combination transaction and related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color w:val="000000"/>
              </w:rPr>
            </w:pPr>
            <w:r>
              <w:rPr>
                <w:color w:val="000000"/>
              </w:rPr>
              <w:t>—</w:t>
            </w:r>
          </w:p>
        </w:tc>
        <w:tc>
          <w:tcPr>
            <w:tcW w:w="28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278"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1,156</w:t>
            </w:r>
          </w:p>
        </w:tc>
        <w:tc>
          <w:tcPr>
            <w:tcW w:w="617" w:type="dxa"/>
            <w:tcBorders/>
            <w:shd w:fill="FFFFFF" w:val="clear"/>
            <w:vAlign w:val="center"/>
          </w:tcPr>
          <w:p>
            <w:pPr>
              <w:pStyle w:val="TableContents"/>
              <w:bidi w:val="0"/>
              <w:spacing w:before="0" w:after="283"/>
              <w:ind w:left="0" w:right="0" w:firstLine="400"/>
              <w:jc w:val="left"/>
              <w:rPr/>
            </w:pPr>
            <w:r>
              <w:rPr/>
              <w:t> </w:t>
            </w:r>
          </w:p>
        </w:tc>
      </w:tr>
      <w:tr>
        <w:trPr/>
        <w:tc>
          <w:tcPr>
            <w:tcW w:w="2629"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Income related to divestiture, net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right"/>
              <w:rPr>
                <w:color w:val="000000"/>
              </w:rPr>
            </w:pPr>
            <w:r>
              <w:rPr>
                <w:color w:val="000000"/>
              </w:rPr>
              <w:t>—</w:t>
            </w:r>
          </w:p>
        </w:tc>
        <w:tc>
          <w:tcPr>
            <w:tcW w:w="28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w:t>
            </w:r>
          </w:p>
        </w:tc>
        <w:tc>
          <w:tcPr>
            <w:tcW w:w="771"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color w:val="000000"/>
              </w:rPr>
            </w:pPr>
            <w:r>
              <w:rPr>
                <w:color w:val="000000"/>
              </w:rPr>
              <w:t>—</w:t>
            </w:r>
          </w:p>
        </w:tc>
        <w:tc>
          <w:tcPr>
            <w:tcW w:w="278"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w:t>
            </w:r>
          </w:p>
        </w:tc>
        <w:tc>
          <w:tcPr>
            <w:tcW w:w="617"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2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Gain on sale of cost method investment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(3,587</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6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92,927</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78,116</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253,360</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225,297</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9"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Adjusted EBITDA Margin</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28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771"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2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6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Net Income and Adjusted Earnings Per Share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believe that Adjusted Net Income, as defined below, and Adjusted Earnings Per Share are useful in evaluating our operational performance distinct and apart from financing costs, certain expenses and non-operational expenses. Adjusted Net Income is defined as net (loss) income adjusted for the after-tax effects of amortization, impairment charges, stock-based compensation expense and related employer payroll tax, change in fair value of derivative instruments, plaintiff litigation costs, change in fair value of warrant liabilities, M&amp;A and integration costs, lease overlap costs for the incremental expenses associated with the Company’s new corporate headquarters prior to termination of its then existing headquarters’ lease, lease abandonment charges, Business Combination transaction costs, net income related to divestiture and gain on sale of cost method investment.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reconciles net (loss) income to Adjusted Net Income and Adjusted Earnings per Share for the three and nine months ended September 30, 2023 and 2022:</w:t>
      </w:r>
    </w:p>
    <w:tbl>
      <w:tblPr>
        <w:tblW w:w="10467" w:type="dxa"/>
        <w:jc w:val="left"/>
        <w:tblInd w:w="0" w:type="dxa"/>
        <w:tblLayout w:type="fixed"/>
        <w:tblCellMar>
          <w:top w:w="28" w:type="dxa"/>
          <w:left w:w="28" w:type="dxa"/>
          <w:bottom w:w="28" w:type="dxa"/>
          <w:right w:w="28" w:type="dxa"/>
        </w:tblCellMar>
      </w:tblPr>
      <w:tblGrid>
        <w:gridCol w:w="1866"/>
        <w:gridCol w:w="646"/>
        <w:gridCol w:w="211"/>
        <w:gridCol w:w="1141"/>
        <w:gridCol w:w="166"/>
        <w:gridCol w:w="146"/>
        <w:gridCol w:w="211"/>
        <w:gridCol w:w="1141"/>
        <w:gridCol w:w="666"/>
        <w:gridCol w:w="646"/>
        <w:gridCol w:w="211"/>
        <w:gridCol w:w="1141"/>
        <w:gridCol w:w="166"/>
        <w:gridCol w:w="146"/>
        <w:gridCol w:w="211"/>
        <w:gridCol w:w="1141"/>
        <w:gridCol w:w="611"/>
      </w:tblGrid>
      <w:tr>
        <w:trPr/>
        <w:tc>
          <w:tcPr>
            <w:tcW w:w="18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 income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9,795</w:t>
            </w:r>
          </w:p>
        </w:tc>
        <w:tc>
          <w:tcPr>
            <w:tcW w:w="666" w:type="dxa"/>
            <w:tcBorders/>
            <w:shd w:fill="CFF0FC" w:val="clear"/>
            <w:vAlign w:val="center"/>
          </w:tcPr>
          <w:p>
            <w:pPr>
              <w:pStyle w:val="TableContents"/>
              <w:bidi w:val="0"/>
              <w:spacing w:before="0" w:after="283"/>
              <w:ind w:left="0" w:right="0" w:firstLine="100"/>
              <w:jc w:val="left"/>
              <w:rPr/>
            </w:pPr>
            <w:r>
              <w:rPr/>
              <w:t> </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(116,362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37,334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8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18,066</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54,212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866"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Amortization of acquired technologies—Cost of revenue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6,748</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20,193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8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acquired technologies—Cost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866"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goodwill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8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Impairment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866"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Stock-based compensation expense and related employer payroll tax</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29,565</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82,874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8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Change in fair value of derivative instruments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(5,991</w:t>
            </w:r>
          </w:p>
        </w:tc>
        <w:tc>
          <w:tcPr>
            <w:tcW w:w="6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866"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Plaintiff litigation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8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Change in fair value of warrant liabilities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w:t>
            </w:r>
          </w:p>
        </w:tc>
        <w:tc>
          <w:tcPr>
            <w:tcW w:w="6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(23,452</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866"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M&amp;A and integration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8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Lease overlap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866"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Lease abandonment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8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Business Combination transaction and related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866"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Income related to divestiture, net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w:t>
            </w:r>
          </w:p>
        </w:tc>
        <w:tc>
          <w:tcPr>
            <w:tcW w:w="666"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8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Gain on sale of cost method investment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666" w:type="dxa"/>
            <w:tcBorders/>
            <w:shd w:fill="FFFFFF"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(3,587</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866" w:type="dxa"/>
            <w:tcBorders/>
            <w:shd w:fill="CFF0FC" w:val="cle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Tax effect of adjustments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(10,894</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(34,193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net income</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46,604</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132,449</w:t>
            </w:r>
          </w:p>
        </w:tc>
        <w:tc>
          <w:tcPr>
            <w:tcW w:w="611" w:type="dxa"/>
            <w:tcBorders/>
            <w:shd w:fill="FFFFFF" w:val="clear"/>
            <w:vAlign w:val="center"/>
          </w:tcPr>
          <w:p>
            <w:pPr>
              <w:pStyle w:val="TableContents"/>
              <w:bidi w:val="0"/>
              <w:spacing w:before="0" w:after="283"/>
              <w:jc w:val="left"/>
              <w:rPr/>
            </w:pPr>
            <w:r>
              <w:rPr/>
              <w:t> </w:t>
            </w:r>
          </w:p>
        </w:tc>
      </w:tr>
      <w:tr>
        <w:trPr/>
        <w:tc>
          <w:tcPr>
            <w:tcW w:w="1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net income per share attributable to common stockholders:</w:t>
            </w:r>
          </w:p>
        </w:tc>
        <w:tc>
          <w:tcPr>
            <w:tcW w:w="6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18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0.08</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18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0.07</w:t>
            </w:r>
          </w:p>
        </w:tc>
        <w:tc>
          <w:tcPr>
            <w:tcW w:w="66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0.21</w:t>
            </w:r>
          </w:p>
        </w:tc>
        <w:tc>
          <w:tcPr>
            <w:tcW w:w="611" w:type="dxa"/>
            <w:tcBorders/>
            <w:shd w:fill="CFF0FC" w:val="clear"/>
            <w:vAlign w:val="center"/>
          </w:tcPr>
          <w:p>
            <w:pPr>
              <w:pStyle w:val="TableContents"/>
              <w:bidi w:val="0"/>
              <w:spacing w:before="0" w:after="283"/>
              <w:jc w:val="left"/>
              <w:rPr/>
            </w:pPr>
            <w:r>
              <w:rPr/>
              <w:t> </w:t>
            </w:r>
          </w:p>
        </w:tc>
      </w:tr>
      <w:tr>
        <w:trPr/>
        <w:tc>
          <w:tcPr>
            <w:tcW w:w="1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outstanding:</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18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624,976,557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609,421,073</w:t>
            </w:r>
          </w:p>
        </w:tc>
        <w:tc>
          <w:tcPr>
            <w:tcW w:w="66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620,841,922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606,181,316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18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657,570,205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643,582,922</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652,296,866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642,208,622</w:t>
            </w:r>
          </w:p>
        </w:tc>
        <w:tc>
          <w:tcPr>
            <w:tcW w:w="61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Free Cash Flow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believe that Free Cash Flow, as defined below, provides meaningful supplemental information regarding our ability to generate cash and fund our operations and capital expenditures. Free Cash Flow is defined as net cash provided by operating activities less cash used for the purchases of software, equipment, and property.</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reconciles net cash provided by operating activities to Free Cash Flow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3589"/>
        <w:gridCol w:w="146"/>
        <w:gridCol w:w="268"/>
        <w:gridCol w:w="937"/>
        <w:gridCol w:w="210"/>
        <w:gridCol w:w="185"/>
        <w:gridCol w:w="268"/>
        <w:gridCol w:w="937"/>
        <w:gridCol w:w="166"/>
        <w:gridCol w:w="146"/>
        <w:gridCol w:w="253"/>
        <w:gridCol w:w="938"/>
        <w:gridCol w:w="199"/>
        <w:gridCol w:w="175"/>
        <w:gridCol w:w="253"/>
        <w:gridCol w:w="938"/>
        <w:gridCol w:w="597"/>
      </w:tblGrid>
      <w:tr>
        <w:trPr/>
        <w:tc>
          <w:tcPr>
            <w:tcW w:w="3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5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operating activities</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60,506</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163,138</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right"/>
              <w:rPr/>
            </w:pPr>
            <w:r>
              <w:rPr/>
              <w:t> </w:t>
            </w:r>
          </w:p>
        </w:tc>
        <w:tc>
          <w:tcPr>
            <w:tcW w:w="2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118,438</w:t>
            </w:r>
          </w:p>
        </w:tc>
        <w:tc>
          <w:tcPr>
            <w:tcW w:w="597" w:type="dxa"/>
            <w:tcBorders/>
            <w:shd w:fill="CFF0FC" w:val="clear"/>
            <w:vAlign w:val="center"/>
          </w:tcPr>
          <w:p>
            <w:pPr>
              <w:pStyle w:val="TableContents"/>
              <w:bidi w:val="0"/>
              <w:spacing w:before="0" w:after="283"/>
              <w:ind w:left="0" w:right="0" w:firstLine="400"/>
              <w:jc w:val="left"/>
              <w:rPr/>
            </w:pPr>
            <w:r>
              <w:rPr/>
              <w:t> </w:t>
            </w:r>
          </w:p>
        </w:tc>
      </w:tr>
      <w:tr>
        <w:trPr/>
        <w:tc>
          <w:tcPr>
            <w:tcW w:w="358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Less: Purchases of software, equipment, and property</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5"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(43,187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(38,844</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Free Cash Flow</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46,403</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119,951</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79,594</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financed our operations with cash flows from operations. The Company generated $163.1 million of cash flows from operating activities during the nine months ended September 30, 2023. As of September 30, 2023, the Company had cash and cash equivalents of $448.7 million, a working capital surplus of $465.2 million and an accumulated deficit totaling $824.3 million. As of September 30, 2023, the Company had $786.0 million aggregate principal outstanding on its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Although we are not currently a party to any material definitive agreement regarding potential investments in, or acquisitions of, complementary businesses, applications or technologies, we may enter into these types of arrangements, which could reduce our cash</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and cash equivalents or require us to seek additional equity or debt financing. Additional funds from financing arrangements may not be available on terms favorable to us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September 21, 2021, CCC Intelligent Solutions Inc., an indirect wholly owned subsidiary of the Company, together with certain of the Company’s subsidiaries acting as guarantors entered into a credit agreement (as amended, the "2021 Credit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proceeds of the 2021 Credit Agreement and cash on hand were used to repay all outstanding borrowings under the Company's previous credit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2021 Credit Agreement consists of an $800.0 million term loan ("Term B Loan") and a revolving credit facility for an 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 B Loan requires quarterly principal payments of $2.0 million until June 30, 2028, with the remaining outstanding principal amount required to be paid on the maturity date, September 21, 2028. Beginning with the fiscal year ended December 31, 2022, if the Company's leverage ratio, as defined in the 2021 Credit Agreement is greater than 3.5, the Term B Loan requires a principal prepayment,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2022, the Company's leverage ratio did not exceed the 3.5 threshold and the Company was not subject to the annual excess cash flow calculation and, as such, was not required to make a principal prepayment.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amount outstanding on the Term B Loan was $786.0 million, of which, $8.0 million is classified as current.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Borrowings under the 2021 Credit Facilities bear interest at rates based on the ratio of CCC Intelligent Solutions Inc. and certain of its subsidiaries’ consolidated first lien net indebtedness to consolidated EBITDA for applicable periods specified in the 2021 Credit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May 19, 2023, the Company entered into Amendment No. 1 to the 2021 Credit Agreement (the "Amendment Credit Agreement") to establish SOFR as the benchmark rate for determining the applicable interest rate, replacing LIBOR. No other terms, including the amount of borrowings, required payments or maturity date, were changed as a result of the Amendment.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Subsequent to the execution of the Amendment, the interest rate per annum applicable to the loans is based on a fluctuating rate of interest equal to the sum of an applicable rate and term SOFR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Prior to the execution of the Amendment, the interest rate per annum applicable to the loans was based on a fluctuating rate of interest equal to the sum of an applicable rate and, at the Company’s election from time to time, either: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quarterly commitment fee of up to 0.50% is payable on the unused portion of the 2021 Revolving Credit Facility. The 2021 Revolving Credit Facility matures on September 21, 2026.</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months ended September 30, 2023 and 2022, the weighted-average interest rate on the outstanding borrowings under the Term B Loan was 7.7% and 4.6%,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and 2022, the weighted-average interest rate on the outstanding borrowings under the Term B Loan was 7.3% and 3.6%,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has an outstanding standby letter of credit for $0.7 million which reduces the amount available to be borrowed under the 2021 Revolving Credit Facility. As of September 30, 2023, $249.3 million was available to be borrowed under the 2021 Revolving Credit Facility.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terms of the 2021 Credit Agreement include a financial covenant which requires that, at the end of each fiscal quarter, if the aggregate amount of borrowings under the 2021 Revolving Credit Facility exceeds 35% of the aggregate commitments, the leverage ratio of CCC Intelligent Solutions Inc. and certain of its subsidiaries cannot exceed 6.25 to 1.00. Borrowings under the 2021 Revolving Credit Facility did not exceed 35% of the aggregate commitments and the Company was not subject to the leverage test as of September 30, 2023.</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Interest Rate Cap</w:t>
      </w:r>
      <w:r>
        <w:rPr>
          <w:rFonts w:ascii="Times New Roman" w:hAnsi="Times New Roman"/>
          <w:color w:val="000000"/>
          <w:sz w:val="20"/>
        </w:rPr>
        <w:t>—</w:t>
      </w:r>
      <w:r>
        <w:rPr>
          <w:rFonts w:ascii="Times New Roman" w:hAnsi="Times New Roman"/>
          <w:b w:val="false"/>
          <w:color w:val="000000"/>
          <w:sz w:val="20"/>
        </w:rPr>
        <w:t>In August 2022, the Company entered into two interest rate cap agreements to reduce its exposure to increases in interest rates applicable to its floating rate long-term debt. The aggregate notional value of the interest rate cap agreements is $600.0 million with a cap rate of 4.0% and an expiration date of July 31,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May 2023, the Company transitioned the referenced interest rate within the two interest rate cap agreements from LIBOR to SOFR by terminating the original agreements and simultaneously entering into new agreements. The terms of the new agreements were unchanged except for the referenced interest rate.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provides a summary of cash flow data for the nine months ended September 30, 2023 and 2022:</w:t>
      </w:r>
      <w:r>
        <w:rPr>
          <w:rFonts w:ascii="Times New Roman" w:hAnsi="Times New Roman"/>
          <w:color w:val="000000"/>
          <w:sz w:val="20"/>
        </w:rPr>
        <w:t xml:space="preserve"> </w:t>
      </w:r>
    </w:p>
    <w:tbl>
      <w:tblPr>
        <w:tblW w:w="7019" w:type="dxa"/>
        <w:jc w:val="left"/>
        <w:tblInd w:w="0" w:type="dxa"/>
        <w:tblLayout w:type="fixed"/>
        <w:tblCellMar>
          <w:top w:w="28" w:type="dxa"/>
          <w:left w:w="28" w:type="dxa"/>
          <w:bottom w:w="28" w:type="dxa"/>
          <w:right w:w="28" w:type="dxa"/>
        </w:tblCellMar>
      </w:tblPr>
      <w:tblGrid>
        <w:gridCol w:w="3466"/>
        <w:gridCol w:w="146"/>
        <w:gridCol w:w="275"/>
        <w:gridCol w:w="1020"/>
        <w:gridCol w:w="216"/>
        <w:gridCol w:w="190"/>
        <w:gridCol w:w="275"/>
        <w:gridCol w:w="1020"/>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163,138</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118,438</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(43,187</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(67,185</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5,383</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15,006</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effect of exchange rate change</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FFFFFF" w:val="cle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cash and cash equivalents</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124,945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righ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operating activities was $163.1 million for the nine months ended September 30, 2023. Net cash provided by operating activities consists of net loss of $116.4 million, adjusted for $296.1 million of non-cash items, ($12.9) million for changes in working capital and ($3.7) million for the effect of changes in other operating assets and liabilities. Significant non-cash adjustments include stock-based compensation expense of $104.5 million, depreciation and amortization of $102.0 million, goodwill and intangible asset impairment charges of $82.7 million, a change in fair value of warrant liabilities of $45.4 million, deferred income tax benefits of ($40.8) million. The change in net operating assets and liabilities was primarily a result of an increase in accounts receivable of $19.3 million due to timing of receipts of payments from customers, a decrease in accounts payable of $9.4 million due to timing of cash disbursements and a decrease in accrued expenses of $9.3 million due to timing of cash disbursements and employee incentive plan payments, partially offset by a change in income taxes of $12.2 million due to timing of payments, a decrease in other current assets of $6.7 million due to timing of payments for prepaid and other deferred costs and an increase in deferred revenue of $6.6 million due to timing of customer receipts and revenue recognition.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Net cash used in investing activities was $43.2 million for the nine months ended September 30, 2023. Net cash used in investing activities was due to capitalized internally developed software projects and purchases of software, equipment, and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 was $5.4 million for the nine months ended September 30, 2023. Net cash provided by financing activities was primarily due to $23.1 million of proceeds from stock option exercises and $4.8 million of proceeds from the issuance of stock under the employee stock purchase plan, partially offset by $16.4 million of tax payments related to the net share settlement of employee equity awards and $6.0 million of principal payments of long-term debt.</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See Note 2 to our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condensed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Except as described below, there have been no material changes to our critical accounting estimates as compared to the critical accounting policies and estimates disclosed in our audited consolidated financial statements and notes thereto for the year ended December 31, 2022, included in our Annual Report on Form 10-K.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Valuation of 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perform an annual assessment for impairment of goodwill and indefinite-lived intangible assets as of November 30 each fiscal year, or whenever events occur or circumstances indicate that it is more likely than not that the fair value of a reporting unit or indefinite-lived intangible asset is below its carrying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process of evaluating the potential impairment of goodwill is subjective and requires significant judgment. In estimating the fair value of a reporting unit for the purposes of our annual or periodic impairment analyses, we make estimates and significant judgments about the future cash flows of that reporting unit. Our cash flow forecasts are based on assumptions that represent the highest and best use for our reporting units. Changes in judgment on these assumptions and estimates could result in goodwill impairment charges. We believe that the assumptions and estimates utilized are appropriate based on the information available to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two reporting units, Domestic and China, for purposes of analyzing goodwill. As a result of adverse macroeconomic impacts due to changes in market conditions and increases in interest rates, which contributed to downward revisions to future projected earnings and cash flows, we performed a quantitative goodwill test of our China reporting as of May 31, 2023. As a result of our quantitative impairment test, we determined the fair value of our China reporting was less than its carrying value and we recorded a goodwill impairment charge of $77.4 million during the three months ended June 30,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used a quantitative approach to measure the fair value of our China reporting unit using a discounted cash flow approach, which is a Level 3 measurement. The discounted cash flow analysis requires significant judgments, including estimates of future cash flows, which are dependent on internal forecasts and determination of the Company’s weighted average cost of capital, which is risk-adjusted to reflect the specific risk profile of the reporting unit being tested. The weighted average cost of capital used for the China reporting unit in the Company’s analysis was 12.5%.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was no impairment charge related to goodwill recorded during the three months ended September 30, 2023 or during the three and nine months ended September 30, 2022.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Intangible assets with finite lives and software, equipment and property are amortized or depreciated over their estimated useful life on a straight-line basis. We monitor conditions related to these assets to determine whether events and circumstances warrant a revision to the remaining amortization or depreciation period. We test these assets for potential impairment whenever our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regarding estimates of the future cash flows associated with each asset.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the Company recorded an impairment charge to its China reporting unit's customer relationships and acquired technologies intangible assets. The Company's forecasted revenue and expense cash flow projections indicated the carrying amounts of the intangible assets were not recoverable and therefore the Company recorded an impairment charge of $5.3 million during the three months ended June 30,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was no impairment charge related to intangible assets recorded during the three months ended September 30, 2023 or during the three and nine months ended September 30, 2022.</w:t>
      </w:r>
    </w:p>
    <w:p>
      <w:pPr>
        <w:pStyle w:val="TextBody"/>
        <w:bidi w:val="0"/>
        <w:spacing w:before="240" w:after="283"/>
        <w:jc w:val="left"/>
        <w:rPr>
          <w:rFonts w:ascii="Times New Roman" w:hAnsi="Times New Roman"/>
          <w:sz w:val="20"/>
        </w:rPr>
      </w:pPr>
      <w:bookmarkStart w:id="11" w:name="item_3_quantitative_qualitative_disclo"/>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material changes in our market risk compared to the disclosures in Part II, Item 7A of our Annual Report on Form 10-K for the year ended December 31, 2022.</w:t>
      </w:r>
    </w:p>
    <w:p>
      <w:pPr>
        <w:pStyle w:val="TextBody"/>
        <w:bidi w:val="0"/>
        <w:spacing w:before="240" w:after="283"/>
        <w:jc w:val="both"/>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Evaluation of Disclosure Controls and Procedures</w:t>
      </w:r>
    </w:p>
    <w:p>
      <w:pPr>
        <w:pStyle w:val="TextBody"/>
        <w:bidi w:val="0"/>
        <w:jc w:val="both"/>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officer and principal financial officer have concluded that as of September 30, 2023,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val="false"/>
          <w:i/>
          <w:color w:val="000000"/>
          <w:sz w:val="20"/>
        </w:rPr>
      </w:pPr>
      <w:r>
        <w:rPr>
          <w:rFonts w:ascii="Times New Roman" w:hAnsi="Times New Roman"/>
          <w:b w:val="false"/>
          <w:i/>
          <w:color w:val="000000"/>
          <w:sz w:val="20"/>
        </w:rPr>
        <w:t>Changes in Internal Control over Financial Reporting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were no changes in our internal control over financial reporting during the three months ended September 30, 2023 identified in management’s evaluation pursuant to in Rules 13a-15(d) and 15d-15(d) of the Exchange Act that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part_ii_other_information"/>
      <w:bookmarkEnd w:id="13"/>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risk factors relating to our business, please refer to the section entitled "Risk Factors" in our Annual Report on Form 10-K for the year ended December 31, 2022. Any of these factors could result in a significant or material adverse effect on the results of our operations or financial condition. Additional risk factors not presently known to us or that we currently deem immaterial may also impair our business or results of operations.</w:t>
      </w:r>
    </w:p>
    <w:p>
      <w:pPr>
        <w:pStyle w:val="TextBody"/>
        <w:bidi w:val="0"/>
        <w:spacing w:before="24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months ended September 30, 2023, each of Mary Jo Prigge, the Executive Vice President, Chief Service Delivery Officer of the Company</w:t>
      </w:r>
      <w:r>
        <w:rPr>
          <w:rFonts w:ascii="Times New Roman" w:hAnsi="Times New Roman"/>
          <w:color w:val="000000"/>
          <w:sz w:val="20"/>
        </w:rPr>
        <w:t xml:space="preserve"> </w:t>
      </w:r>
      <w:r>
        <w:rPr>
          <w:rFonts w:ascii="Times New Roman" w:hAnsi="Times New Roman"/>
          <w:b w:val="false"/>
          <w:color w:val="000000"/>
          <w:sz w:val="20"/>
        </w:rPr>
        <w:t>and Rodney Christo, the Chief Accounting Officer of the Company, terminated Rule 10b5-1 trading arrangements</w:t>
      </w:r>
      <w:r>
        <w:rPr>
          <w:rFonts w:ascii="Times New Roman" w:hAnsi="Times New Roman"/>
          <w:color w:val="000000"/>
          <w:sz w:val="20"/>
        </w:rPr>
        <w:t xml:space="preserve"> </w:t>
      </w:r>
      <w:r>
        <w:rPr>
          <w:rFonts w:ascii="Times New Roman" w:hAnsi="Times New Roman"/>
          <w:b w:val="false"/>
          <w:color w:val="000000"/>
          <w:sz w:val="20"/>
        </w:rPr>
        <w:t>intended to satisfy the affirmative defense of Rule 10b5–1(c). Ms. Prigge’s 10b-5-1 trading arrangement had been adopted on June 20, 2023</w:t>
      </w:r>
      <w:r>
        <w:rPr>
          <w:rFonts w:ascii="Times New Roman" w:hAnsi="Times New Roman"/>
          <w:color w:val="000000"/>
          <w:sz w:val="20"/>
        </w:rPr>
        <w:t xml:space="preserve"> </w:t>
      </w:r>
      <w:r>
        <w:rPr>
          <w:rFonts w:ascii="Times New Roman" w:hAnsi="Times New Roman"/>
          <w:b w:val="false"/>
          <w:color w:val="000000"/>
          <w:sz w:val="20"/>
        </w:rPr>
        <w:t>and Mr. Christo’s trading arrangement had been adopted on August 9, 2022.</w:t>
      </w:r>
    </w:p>
    <w:p>
      <w:pPr>
        <w:pStyle w:val="TextBody"/>
        <w:bidi w:val="0"/>
        <w:spacing w:before="360" w:after="283"/>
        <w:jc w:val="both"/>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exhibits are filed as part of, or incorporated by reference into, this Quarterly Report on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80"/>
        <w:gridCol w:w="146"/>
        <w:gridCol w:w="9179"/>
      </w:tblGrid>
      <w:tr>
        <w:trPr/>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79" w:type="dxa"/>
            <w:tcBorders/>
            <w:vAlign w:val="center"/>
          </w:tcPr>
          <w:p>
            <w:pPr>
              <w:pStyle w:val="TableContents"/>
              <w:bidi w:val="0"/>
              <w:spacing w:before="0" w:after="283"/>
              <w:jc w:val="left"/>
              <w:rPr>
                <w:sz w:val="4"/>
                <w:szCs w:val="4"/>
              </w:rPr>
            </w:pPr>
            <w:r>
              <w:rPr>
                <w:sz w:val="4"/>
                <w:szCs w:val="4"/>
              </w:rPr>
            </w:r>
          </w:p>
        </w:tc>
      </w:tr>
      <w:tr>
        <w:trPr/>
        <w:tc>
          <w:tcPr>
            <w:tcW w:w="880"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12" w:space="0" w:color="000000"/>
            </w:tcBorders>
            <w:tcMar>
              <w:top w:w="0" w:type="dxa"/>
              <w:left w:w="0" w:type="dxa"/>
              <w:bottom w:w="35" w:type="dxa"/>
              <w:right w:w="0" w:type="dxa"/>
            </w:tcMar>
            <w:vAlign w:val="center"/>
          </w:tcPr>
          <w:p>
            <w:pPr>
              <w:pStyle w:val="TableContents"/>
              <w:bidi w:val="0"/>
              <w:spacing w:before="0" w:after="283"/>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7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ccs-ex31_1.htm">
              <w:r>
                <w:rPr>
                  <w:rStyle w:val="InternetLink"/>
                  <w:rFonts w:ascii="Times New Roman" w:hAnsi="Times New Roman"/>
                  <w:b w:val="false"/>
                  <w:color w:val="0000FF"/>
                  <w:sz w:val="20"/>
                  <w:u w:val="single"/>
                </w:rPr>
                <w:t>Certification of Chief Executive Officer (Principal Executive Officer) Pursuant to Rules 13a-14(a) and 15d-14(a) under the Securities Exchange Act of 1934, as Adopted Pursuant to Section 302 of the Sarbanes-Oxley Act of 2002.</w:t>
              </w:r>
            </w:hyperlink>
          </w:p>
        </w:tc>
      </w:tr>
      <w:tr>
        <w:trPr/>
        <w:tc>
          <w:tcPr>
            <w:tcW w:w="8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jc w:val="left"/>
              <w:rPr/>
            </w:pPr>
            <w:hyperlink w:anchor="cccs-ex31_2.htm">
              <w:r>
                <w:rPr>
                  <w:rStyle w:val="InternetLink"/>
                  <w:rFonts w:ascii="Times New Roman" w:hAnsi="Times New Roman"/>
                  <w:b w:val="false"/>
                  <w:color w:val="0000FF"/>
                  <w:sz w:val="20"/>
                  <w:u w:val="single"/>
                </w:rPr>
                <w:t>Certification of Chief Financial Officer (Principal Financial and Accounting Officer) Pursuant to Rules 13a-14(a) and 15d-14(a) under the Securities Exchange Act of 1934, as Adopted Pursuant to Section 302 of the Sarbanes-Oxley Act of 2002.</w:t>
              </w:r>
            </w:hyperlink>
          </w:p>
        </w:tc>
      </w:tr>
      <w:tr>
        <w:trPr/>
        <w:tc>
          <w:tcPr>
            <w:tcW w:w="8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7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ccs-ex32_1.htm">
              <w:r>
                <w:rPr>
                  <w:rStyle w:val="InternetLink"/>
                  <w:rFonts w:ascii="Times New Roman" w:hAnsi="Times New Roman"/>
                  <w:b w:val="false"/>
                  <w:color w:val="0000FF"/>
                  <w:sz w:val="20"/>
                  <w:u w:val="single"/>
                </w:rPr>
                <w:t>Certification of Chief Executive Officer (Principal Executive Officer) Pursuant to 18 U.S.C. Section 1350, as Adopted Pursuant to Section 906 of the Sarbanes-Oxley Act of 2002.</w:t>
              </w:r>
            </w:hyperlink>
          </w:p>
        </w:tc>
      </w:tr>
      <w:tr>
        <w:trPr/>
        <w:tc>
          <w:tcPr>
            <w:tcW w:w="8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jc w:val="left"/>
              <w:rPr/>
            </w:pPr>
            <w:hyperlink w:anchor="cccs-ex32_2.htm">
              <w:r>
                <w:rPr>
                  <w:rStyle w:val="InternetLink"/>
                  <w:rFonts w:ascii="Times New Roman" w:hAnsi="Times New Roman"/>
                  <w:b w:val="false"/>
                  <w:color w:val="0000FF"/>
                  <w:sz w:val="20"/>
                  <w:u w:val="single"/>
                </w:rPr>
                <w:t>Certification of Chief Financial Officer Pursuant to 18 U.S.C. Section 1350, as Adopted Pursuant to Section 906 of the Sarbanes-Oxley Act of 2002.</w:t>
              </w:r>
            </w:hyperlink>
          </w:p>
        </w:tc>
      </w:tr>
      <w:tr>
        <w:trPr/>
        <w:tc>
          <w:tcPr>
            <w:tcW w:w="8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w:t>
            </w:r>
          </w:p>
        </w:tc>
      </w:tr>
      <w:tr>
        <w:trPr/>
        <w:tc>
          <w:tcPr>
            <w:tcW w:w="8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8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8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8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8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8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jc w:val="left"/>
        <w:rPr>
          <w:rFonts w:ascii="Times New Roman" w:hAnsi="Times New Roman"/>
          <w:sz w:val="20"/>
        </w:rPr>
      </w:pPr>
      <w:r>
        <w:rPr>
          <w:rFonts w:ascii="Times New Roman" w:hAnsi="Times New Roman"/>
          <w:b w:val="false"/>
          <w:color w:val="000000"/>
          <w:sz w:val="20"/>
        </w:rPr>
        <w:t>__________</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Furnished herewith</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8583" w:type="dxa"/>
        <w:jc w:val="left"/>
        <w:tblInd w:w="0" w:type="dxa"/>
        <w:tblLayout w:type="fixed"/>
        <w:tblCellMar>
          <w:top w:w="28" w:type="dxa"/>
          <w:left w:w="28" w:type="dxa"/>
          <w:bottom w:w="28" w:type="dxa"/>
          <w:right w:w="28" w:type="dxa"/>
        </w:tblCellMar>
      </w:tblPr>
      <w:tblGrid>
        <w:gridCol w:w="2206"/>
        <w:gridCol w:w="631"/>
        <w:gridCol w:w="5746"/>
      </w:tblGrid>
      <w:tr>
        <w:trPr/>
        <w:tc>
          <w:tcPr>
            <w:tcW w:w="22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6, 2023</w:t>
            </w:r>
          </w:p>
        </w:tc>
        <w:tc>
          <w:tcPr>
            <w:tcW w:w="63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CCC INTELLIGENT SOLUTIONS HOLDINGS INC.</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574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Githesh Ramamurthy</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Githesh Ramamurthy</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5746" w:type="dxa"/>
            <w:tcBorders/>
            <w:tcMar>
              <w:top w:w="0" w:type="dxa"/>
              <w:left w:w="0" w:type="dxa"/>
              <w:bottom w:w="0" w:type="dxa"/>
              <w:right w:w="0" w:type="dxa"/>
            </w:tcM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Executive Officer and Chairman of the Board of Directors</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(Principal Executive Officer)</w:t>
            </w:r>
          </w:p>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6, 2023</w:t>
            </w:r>
          </w:p>
        </w:tc>
        <w:tc>
          <w:tcPr>
            <w:tcW w:w="63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574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Brian Herb</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Brian Herb</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5746" w:type="dxa"/>
            <w:tcBorders/>
            <w:tcMar>
              <w:top w:w="0" w:type="dxa"/>
              <w:left w:w="0" w:type="dxa"/>
              <w:bottom w:w="0" w:type="dxa"/>
              <w:right w:w="0" w:type="dxa"/>
            </w:tcM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Executive Vice President, Chief Financial and Administrative Officer</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ccs-ex31_1.htm"/>
      <w:bookmarkStart w:id="22" w:name="kscccsex31_1"/>
      <w:bookmarkEnd w:id="21"/>
      <w:bookmarkEnd w:id="2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Githesh Ramamurthy, certify that:</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CCC Intelligent Solutions Holdings Inc.;</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252525"/>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5039" w:type="dxa"/>
        <w:jc w:val="left"/>
        <w:tblInd w:w="0" w:type="dxa"/>
        <w:tblLayout w:type="fixed"/>
        <w:tblCellMar>
          <w:top w:w="28" w:type="dxa"/>
          <w:left w:w="28" w:type="dxa"/>
          <w:bottom w:w="28" w:type="dxa"/>
          <w:right w:w="28" w:type="dxa"/>
        </w:tblCellMar>
      </w:tblPr>
      <w:tblGrid>
        <w:gridCol w:w="1301"/>
        <w:gridCol w:w="1264"/>
        <w:gridCol w:w="605"/>
        <w:gridCol w:w="605"/>
        <w:gridCol w:w="605"/>
        <w:gridCol w:w="659"/>
      </w:tblGrid>
      <w:tr>
        <w:trPr/>
        <w:tc>
          <w:tcPr>
            <w:tcW w:w="130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30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26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05"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05"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05"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256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b w:val="false"/>
                <w:color w:val="000000"/>
                <w:sz w:val="20"/>
              </w:rPr>
            </w:pPr>
            <w:r>
              <w:rPr>
                <w:rFonts w:ascii="Times New Roman" w:hAnsi="Times New Roman"/>
                <w:b w:val="false"/>
                <w:color w:val="000000"/>
                <w:sz w:val="20"/>
              </w:rPr>
              <w:t>Dated: November 6, 2023</w:t>
            </w:r>
          </w:p>
        </w:tc>
        <w:tc>
          <w:tcPr>
            <w:tcW w:w="2474" w:type="dxa"/>
            <w:gridSpan w:val="4"/>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b w:val="false"/>
                <w:color w:val="000000"/>
                <w:sz w:val="20"/>
              </w:rPr>
            </w:pPr>
            <w:r>
              <w:rPr>
                <w:rFonts w:ascii="Times New Roman" w:hAnsi="Times New Roman"/>
                <w:b w:val="false"/>
                <w:color w:val="000000"/>
                <w:sz w:val="20"/>
              </w:rPr>
              <w:t>/s/ Githesh Ramamurthy</w:t>
            </w:r>
          </w:p>
        </w:tc>
      </w:tr>
      <w:tr>
        <w:trPr/>
        <w:tc>
          <w:tcPr>
            <w:tcW w:w="256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2474"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b w:val="false"/>
                <w:color w:val="000000"/>
                <w:sz w:val="20"/>
              </w:rPr>
            </w:pPr>
            <w:r>
              <w:rPr>
                <w:rFonts w:ascii="Times New Roman" w:hAnsi="Times New Roman"/>
                <w:b w:val="false"/>
                <w:color w:val="000000"/>
                <w:sz w:val="20"/>
              </w:rPr>
              <w:t>Githesh Ramamurthy</w:t>
            </w:r>
          </w:p>
        </w:tc>
      </w:tr>
    </w:tbl>
    <w:p>
      <w:pPr>
        <w:pStyle w:val="HorizontalLine"/>
        <w:pBdr>
          <w:bottom w:val="double" w:sz="2" w:space="0" w:color="808080"/>
        </w:pBdr>
        <w:bidi w:val="0"/>
        <w:spacing w:before="0" w:after="283"/>
        <w:jc w:val="left"/>
        <w:rPr/>
      </w:pPr>
      <w:r>
        <w:rPr/>
      </w:r>
    </w:p>
    <w:tbl>
      <w:tblPr>
        <w:tblW w:w="2937" w:type="dxa"/>
        <w:jc w:val="left"/>
        <w:tblInd w:w="0" w:type="dxa"/>
        <w:tblLayout w:type="fixed"/>
        <w:tblCellMar>
          <w:top w:w="28" w:type="dxa"/>
          <w:left w:w="28" w:type="dxa"/>
          <w:bottom w:w="28" w:type="dxa"/>
          <w:right w:w="28" w:type="dxa"/>
        </w:tblCellMar>
      </w:tblPr>
      <w:tblGrid>
        <w:gridCol w:w="521"/>
        <w:gridCol w:w="2416"/>
      </w:tblGrid>
      <w:tr>
        <w:trPr/>
        <w:tc>
          <w:tcPr>
            <w:tcW w:w="52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52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b w:val="false"/>
                <w:i/>
                <w:color w:val="000000"/>
                <w:sz w:val="20"/>
              </w:rPr>
            </w:pPr>
            <w:r>
              <w:rPr>
                <w:rFonts w:ascii="Times New Roman" w:hAnsi="Times New Roman"/>
                <w:b w:val="false"/>
                <w:i/>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cccs-ex31_2.htm"/>
      <w:bookmarkStart w:id="24" w:name="kscccs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Brian Herb, certify that:</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CCC Intelligent Solutions Holdings Inc.;</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252525"/>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840" w:type="dxa"/>
        <w:jc w:val="left"/>
        <w:tblInd w:w="0" w:type="dxa"/>
        <w:tblLayout w:type="fixed"/>
        <w:tblCellMar>
          <w:top w:w="28" w:type="dxa"/>
          <w:left w:w="28" w:type="dxa"/>
          <w:bottom w:w="28" w:type="dxa"/>
          <w:right w:w="28" w:type="dxa"/>
        </w:tblCellMar>
      </w:tblPr>
      <w:tblGrid>
        <w:gridCol w:w="1344"/>
        <w:gridCol w:w="1221"/>
        <w:gridCol w:w="296"/>
        <w:gridCol w:w="296"/>
        <w:gridCol w:w="296"/>
        <w:gridCol w:w="387"/>
      </w:tblGrid>
      <w:tr>
        <w:trPr/>
        <w:tc>
          <w:tcPr>
            <w:tcW w:w="134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344"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b w:val="false"/>
                <w:color w:val="000000"/>
                <w:sz w:val="20"/>
              </w:rPr>
            </w:pPr>
            <w:r>
              <w:rPr>
                <w:rFonts w:ascii="Times New Roman" w:hAnsi="Times New Roman"/>
                <w:b w:val="false"/>
                <w:color w:val="000000"/>
                <w:sz w:val="20"/>
              </w:rPr>
              <w:t>Dated: November 6, 2023</w:t>
            </w:r>
          </w:p>
        </w:tc>
        <w:tc>
          <w:tcPr>
            <w:tcW w:w="1275"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Brian Herb</w:t>
            </w:r>
          </w:p>
        </w:tc>
      </w:tr>
      <w:tr>
        <w:trPr/>
        <w:tc>
          <w:tcPr>
            <w:tcW w:w="25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Brian Herb</w:t>
            </w:r>
          </w:p>
        </w:tc>
      </w:tr>
    </w:tbl>
    <w:p>
      <w:pPr>
        <w:pStyle w:val="HorizontalLine"/>
        <w:pBdr>
          <w:bottom w:val="double" w:sz="2" w:space="0" w:color="808080"/>
        </w:pBdr>
        <w:bidi w:val="0"/>
        <w:spacing w:before="0" w:after="283"/>
        <w:jc w:val="left"/>
        <w:rPr/>
      </w:pPr>
      <w:r>
        <w:rPr/>
      </w:r>
    </w:p>
    <w:tbl>
      <w:tblPr>
        <w:tblW w:w="5952" w:type="dxa"/>
        <w:jc w:val="left"/>
        <w:tblInd w:w="0" w:type="dxa"/>
        <w:tblLayout w:type="fixed"/>
        <w:tblCellMar>
          <w:top w:w="28" w:type="dxa"/>
          <w:left w:w="28" w:type="dxa"/>
          <w:bottom w:w="28" w:type="dxa"/>
          <w:right w:w="28" w:type="dxa"/>
        </w:tblCellMar>
      </w:tblPr>
      <w:tblGrid>
        <w:gridCol w:w="161"/>
        <w:gridCol w:w="5791"/>
      </w:tblGrid>
      <w:tr>
        <w:trPr/>
        <w:tc>
          <w:tcPr>
            <w:tcW w:w="161"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Executive Vice President, Chief Financial and Administrative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ccs-ex32_1.htm"/>
      <w:bookmarkStart w:id="26" w:name="kscccs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18 U.S.C. Section 1350</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of CCC Intelligent Solutions Holdings Inc. (the “Company”) for the period ended September 30, 2023, as filed with the U.S. Securities and Exchange Commission (the “Report”), I, Githesh Ramamurthy, Chief Executive Officer and Chairman of the Board of Directors of the Company, hereby certify, pursuant to 18 U.S.C. Section 1350, as adopted pursuant to Section 906 of the Sarbanes-Oxley Act of 2002, that, to my knowledge:</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318" w:type="dxa"/>
        <w:jc w:val="left"/>
        <w:tblInd w:w="0" w:type="dxa"/>
        <w:tblLayout w:type="fixed"/>
        <w:tblCellMar>
          <w:top w:w="28" w:type="dxa"/>
          <w:left w:w="28" w:type="dxa"/>
          <w:bottom w:w="28" w:type="dxa"/>
          <w:right w:w="28" w:type="dxa"/>
        </w:tblCellMar>
      </w:tblPr>
      <w:tblGrid>
        <w:gridCol w:w="1154"/>
        <w:gridCol w:w="1051"/>
        <w:gridCol w:w="489"/>
        <w:gridCol w:w="489"/>
        <w:gridCol w:w="489"/>
        <w:gridCol w:w="646"/>
      </w:tblGrid>
      <w:tr>
        <w:trPr/>
        <w:tc>
          <w:tcPr>
            <w:tcW w:w="115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154"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6, 2023</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Githesh Ramamurthy</w:t>
            </w:r>
          </w:p>
        </w:tc>
      </w:tr>
      <w:tr>
        <w:trPr/>
        <w:tc>
          <w:tcPr>
            <w:tcW w:w="2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Githesh Ramamurthy</w:t>
            </w:r>
          </w:p>
        </w:tc>
      </w:tr>
      <w:tr>
        <w:trPr/>
        <w:tc>
          <w:tcPr>
            <w:tcW w:w="2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cccs-ex32_2.htm"/>
      <w:bookmarkStart w:id="28" w:name="kscccsex32_2"/>
      <w:bookmarkEnd w:id="27"/>
      <w:bookmarkEnd w:id="28"/>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18 U.S.C. Section 1350</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of CCC Intelligent Solutions Holdings Inc. (the “Company”) for the period ended September 30, 2023, as filed with the U.S. Securities and Exchange Commission (the “Report”), I, Brian Herb, Executive Vice President, Chief Financial and Administrative Officer of the Company, hereby certify, pursuant to 18 U.S.C. Section 1350, as adopted pursuant to Section 906 of the Sarbanes-Oxley Act of 2002, that, to my knowledge:</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7994" w:type="dxa"/>
        <w:jc w:val="left"/>
        <w:tblInd w:w="0" w:type="dxa"/>
        <w:tblLayout w:type="fixed"/>
        <w:tblCellMar>
          <w:top w:w="28" w:type="dxa"/>
          <w:left w:w="28" w:type="dxa"/>
          <w:bottom w:w="28" w:type="dxa"/>
          <w:right w:w="28" w:type="dxa"/>
        </w:tblCellMar>
      </w:tblPr>
      <w:tblGrid>
        <w:gridCol w:w="1154"/>
        <w:gridCol w:w="1051"/>
        <w:gridCol w:w="1341"/>
        <w:gridCol w:w="1341"/>
        <w:gridCol w:w="1341"/>
        <w:gridCol w:w="1766"/>
      </w:tblGrid>
      <w:tr>
        <w:trPr/>
        <w:tc>
          <w:tcPr>
            <w:tcW w:w="115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r>
      <w:tr>
        <w:trPr/>
        <w:tc>
          <w:tcPr>
            <w:tcW w:w="1154"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6, 2023</w:t>
            </w:r>
          </w:p>
        </w:tc>
        <w:tc>
          <w:tcPr>
            <w:tcW w:w="578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Brian Herb</w:t>
            </w:r>
          </w:p>
        </w:tc>
      </w:tr>
      <w:tr>
        <w:trPr/>
        <w:tc>
          <w:tcPr>
            <w:tcW w:w="2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89"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Brian Herb</w:t>
            </w:r>
          </w:p>
        </w:tc>
      </w:tr>
      <w:tr>
        <w:trPr/>
        <w:tc>
          <w:tcPr>
            <w:tcW w:w="2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8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Executive Vice President, Chief Financial and Administrative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23574</Words>
  <Characters>131090</Characters>
  <CharactersWithSpaces>157752</CharactersWithSpaces>
  <Paragraphs>10468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