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005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00507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Schloss Eileen</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line="371" w:lineRule="auto"/>
        <w:rPr>
          <w:sz w:val="20"/>
          <w:szCs w:val="20"/>
          <w:color w:val="auto"/>
        </w:rPr>
      </w:pPr>
      <w:r>
        <w:rPr>
          <w:rFonts w:ascii="Times New Roman" w:cs="Times New Roman" w:eastAsia="Times New Roman" w:hAnsi="Times New Roman"/>
          <w:sz w:val="16"/>
          <w:szCs w:val="16"/>
          <w:color w:val="0000FF"/>
        </w:rPr>
        <w:t>C/O CCC INTELLIGENT SOLUTIONS HOLDINGS 167 N. GREEN STREET, 9TH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CHICAGO</w:t>
      </w:r>
      <w:r>
        <w:rPr>
          <w:sz w:val="20"/>
          <w:szCs w:val="20"/>
          <w:color w:val="auto"/>
        </w:rPr>
        <w:tab/>
      </w:r>
      <w:r>
        <w:rPr>
          <w:rFonts w:ascii="Times New Roman" w:cs="Times New Roman" w:eastAsia="Times New Roman" w:hAnsi="Times New Roman"/>
          <w:sz w:val="16"/>
          <w:szCs w:val="16"/>
          <w:color w:val="0000FF"/>
        </w:rPr>
        <w:t>IL</w:t>
      </w:r>
      <w:r>
        <w:rPr>
          <w:sz w:val="20"/>
          <w:szCs w:val="20"/>
          <w:color w:val="auto"/>
        </w:rPr>
        <w:tab/>
      </w:r>
      <w:r>
        <w:rPr>
          <w:rFonts w:ascii="Times New Roman" w:cs="Times New Roman" w:eastAsia="Times New Roman" w:hAnsi="Times New Roman"/>
          <w:sz w:val="16"/>
          <w:szCs w:val="16"/>
          <w:color w:val="0000FF"/>
        </w:rPr>
        <w:t>60607</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CCC Intelligent Solutions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CCC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05/21/2026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20" w:space="1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05/21/2026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31,250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81,384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31,250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31,250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60,573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60,573</w:t>
            </w:r>
          </w:p>
        </w:tc>
        <w:tc>
          <w:tcPr>
            <w:tcW w:w="500" w:type="dxa"/>
            <w:vAlign w:val="bottom"/>
          </w:tcPr>
          <w:p>
            <w:pPr>
              <w:spacing w:after="0"/>
              <w:rPr>
                <w:sz w:val="12"/>
                <w:szCs w:val="12"/>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60,573</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-2195830</wp:posOffset>
            </wp:positionV>
            <wp:extent cx="28575" cy="2200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009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22, 2026 and the date of the next annual meeting of the stockholders of the Issuer, generally subject to the Reporting Person's continued service to the Issuer through such vesting and settlement date.</w:t>
      </w:r>
    </w:p>
    <w:p>
      <w:pPr>
        <w:spacing w:after="0" w:line="26" w:lineRule="exact"/>
        <w:rPr>
          <w:rFonts w:ascii="Times New Roman" w:cs="Times New Roman" w:eastAsia="Times New Roman" w:hAnsi="Times New Roman"/>
          <w:sz w:val="13"/>
          <w:szCs w:val="13"/>
          <w:color w:val="008000"/>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21, 2027 and the date of the next annual meeting of the stockholders of the Issuer, generally subject to the Reporting Person's continued service to the Issuer through such vesting and settlement date.</w:t>
      </w:r>
    </w:p>
    <w:p>
      <w:pPr>
        <w:spacing w:after="0" w:line="26"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Charles C. Vos as Attorney-</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in-Fact for Eileen Schloss</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0574" TargetMode="External"/><Relationship Id="rId14"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2026-05-26T07:16:14Z</dcterms:created>
  <dcterms:modified xsi:type="dcterms:W3CDTF">2026-05-26T07:16:14Z</dcterms:modified>
</cp:coreProperties>
</file>